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highlight w:val="none"/>
        </w:rPr>
      </w:pPr>
    </w:p>
    <w:p>
      <w:pPr>
        <w:jc w:val="center"/>
        <w:rPr>
          <w:rFonts w:ascii="方正小标宋_GBK" w:hAnsi="宋体" w:eastAsia="方正小标宋_GBK"/>
          <w:sz w:val="44"/>
          <w:szCs w:val="44"/>
          <w:highlight w:val="none"/>
        </w:rPr>
      </w:pPr>
    </w:p>
    <w:p>
      <w:pPr>
        <w:jc w:val="cente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塔城地区沙湾市融媒体中心</w:t>
      </w:r>
    </w:p>
    <w:p>
      <w:pPr>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（沙湾市广播电视台）</w:t>
      </w:r>
    </w:p>
    <w:p>
      <w:pPr>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 xml:space="preserve"> 2023年度部门决算</w:t>
      </w:r>
    </w:p>
    <w:p>
      <w:pPr>
        <w:jc w:val="cente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rPr>
          <w:rFonts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pPr>
        <w:jc w:val="center"/>
        <w:rPr>
          <w:rFonts w:ascii="仿宋_GB2312" w:hAnsi="仿宋_GB2312" w:eastAsia="仿宋_GB2312" w:cs="仿宋_GB2312"/>
          <w:bCs/>
          <w:kern w:val="0"/>
          <w:sz w:val="32"/>
          <w:szCs w:val="32"/>
          <w:highlight w:val="none"/>
        </w:rPr>
      </w:pPr>
      <w:r>
        <w:rPr>
          <w:rFonts w:hint="eastAsia" w:ascii="仿宋_GB2312" w:hAnsi="仿宋_GB2312" w:eastAsia="仿宋_GB2312" w:cs="仿宋_GB2312"/>
          <w:b/>
          <w:kern w:val="0"/>
          <w:sz w:val="36"/>
          <w:szCs w:val="36"/>
          <w:highlight w:val="none"/>
        </w:rPr>
        <w:t>目  录</w:t>
      </w:r>
    </w:p>
    <w:p>
      <w:pPr>
        <w:pStyle w:val="7"/>
        <w:tabs>
          <w:tab w:val="right" w:pos="8306"/>
        </w:tabs>
        <w:rPr>
          <w:rFonts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highlight w:val="none"/>
        </w:rPr>
        <w:fldChar w:fldCharType="begin"/>
      </w:r>
      <w:r>
        <w:rPr>
          <w:highlight w:val="none"/>
        </w:rPr>
        <w:instrText xml:space="preserve"> HYPERLINK \l "_Toc32314" </w:instrText>
      </w:r>
      <w:r>
        <w:rPr>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"_Toc30567" </w:instrText>
      </w:r>
      <w:r>
        <w:rPr>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"_Toc2151" </w:instrText>
      </w:r>
      <w:r>
        <w:rPr>
          <w:highlight w:val="none"/>
        </w:rPr>
        <w:fldChar w:fldCharType="separate"/>
      </w:r>
      <w:r>
        <w:rPr>
          <w:rFonts w:hint="eastAsia" w:ascii="仿宋_GB2312" w:hAnsi="仿宋_GB2312" w:eastAsia="仿宋_GB2312" w:cs="仿宋_GB2312"/>
          <w:bCs/>
          <w:kern w:val="0"/>
          <w:sz w:val="32"/>
          <w:szCs w:val="32"/>
          <w:highlight w:val="none"/>
        </w:rPr>
        <w:t>二、机构设置及人员情况</w:t>
      </w:r>
      <w:r>
        <w:rPr>
          <w:rFonts w:hint="eastAsia" w:ascii="仿宋_GB2312" w:hAnsi="仿宋_GB2312" w:eastAsia="仿宋_GB2312" w:cs="仿宋_GB2312"/>
          <w:bCs/>
          <w:kern w:val="0"/>
          <w:sz w:val="32"/>
          <w:szCs w:val="32"/>
          <w:highlight w:val="none"/>
        </w:rPr>
        <w:fldChar w:fldCharType="end"/>
      </w:r>
    </w:p>
    <w:p>
      <w:pPr>
        <w:pStyle w:val="7"/>
        <w:tabs>
          <w:tab w:val="right" w:pos="8306"/>
        </w:tabs>
        <w:rPr>
          <w:rFonts w:ascii="仿宋_GB2312" w:hAnsi="仿宋_GB2312" w:eastAsia="仿宋_GB2312" w:cs="仿宋_GB2312"/>
          <w:b/>
          <w:bCs/>
          <w:sz w:val="32"/>
          <w:szCs w:val="32"/>
          <w:highlight w:val="none"/>
        </w:rPr>
      </w:pPr>
      <w:r>
        <w:rPr>
          <w:highlight w:val="none"/>
        </w:rPr>
        <w:fldChar w:fldCharType="begin"/>
      </w:r>
      <w:r>
        <w:rPr>
          <w:highlight w:val="none"/>
        </w:rPr>
        <w:instrText xml:space="preserve"> HYPERLINK \l "_Toc29374" </w:instrText>
      </w:r>
      <w:r>
        <w:rPr>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"_Toc25314" </w:instrText>
      </w:r>
      <w:r>
        <w:rPr>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"_Toc12142" </w:instrText>
      </w:r>
      <w:r>
        <w:rPr>
          <w:highlight w:val="none"/>
        </w:rPr>
        <w:fldChar w:fldCharType="separate"/>
      </w:r>
      <w:r>
        <w:rPr>
          <w:rFonts w:hint="eastAsia" w:ascii="仿宋_GB2312" w:hAnsi="仿宋_GB2312" w:eastAsia="仿宋_GB2312" w:cs="仿宋_GB2312"/>
          <w:bCs/>
          <w:kern w:val="0"/>
          <w:sz w:val="32"/>
          <w:szCs w:val="32"/>
          <w:highlight w:val="none"/>
        </w:rPr>
        <w:t>二、收入决算情况说明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"_Toc13201" </w:instrText>
      </w:r>
      <w:r>
        <w:rPr>
          <w:highlight w:val="none"/>
        </w:rPr>
        <w:fldChar w:fldCharType="separate"/>
      </w:r>
      <w:r>
        <w:rPr>
          <w:rFonts w:hint="eastAsia" w:ascii="仿宋_GB2312" w:hAnsi="仿宋_GB2312" w:eastAsia="仿宋_GB2312" w:cs="仿宋_GB2312"/>
          <w:bCs/>
          <w:kern w:val="0"/>
          <w:sz w:val="32"/>
          <w:szCs w:val="32"/>
          <w:highlight w:val="none"/>
        </w:rPr>
        <w:t>三、支出决算情况说明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"_Toc26564" </w:instrText>
      </w:r>
      <w:r>
        <w:rPr>
          <w:highlight w:val="none"/>
        </w:rPr>
        <w:fldChar w:fldCharType="separate"/>
      </w:r>
      <w:r>
        <w:rPr>
          <w:rFonts w:hint="eastAsia" w:ascii="仿宋_GB2312" w:hAnsi="仿宋_GB2312" w:eastAsia="仿宋_GB2312" w:cs="仿宋_GB2312"/>
          <w:bCs/>
          <w:kern w:val="0"/>
          <w:sz w:val="32"/>
          <w:szCs w:val="32"/>
          <w:highlight w:val="none"/>
        </w:rPr>
        <w:t>四、财政拨款收入支出决算总体情况说明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"_Toc20360" </w:instrText>
      </w:r>
      <w:r>
        <w:rPr>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"_Toc30870" </w:instrText>
      </w:r>
      <w:r>
        <w:rPr>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"_Toc21518" </w:instrText>
      </w:r>
      <w:r>
        <w:rPr>
          <w:highlight w:val="none"/>
        </w:rPr>
        <w:fldChar w:fldCharType="separate"/>
      </w:r>
      <w:r>
        <w:rPr>
          <w:rFonts w:hint="eastAsia" w:ascii="仿宋_GB2312" w:hAnsi="仿宋_GB2312" w:eastAsia="仿宋_GB2312" w:cs="仿宋_GB2312"/>
          <w:bCs/>
          <w:kern w:val="0"/>
          <w:sz w:val="32"/>
          <w:szCs w:val="32"/>
          <w:highlight w:val="none"/>
        </w:rPr>
        <w:t>七、财政拨款“三公”经费支出决算情况说明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"_Toc5810" </w:instrText>
      </w:r>
      <w:r>
        <w:rPr>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八、政府性基金预算财政拨款收入支出决算情况说明</w:t>
      </w:r>
      <w:r>
        <w:rPr>
          <w:rFonts w:hint="eastAsia" w:ascii="仿宋_GB2312" w:hAnsi="仿宋_GB2312" w:eastAsia="仿宋_GB2312" w:cs="仿宋_GB2312"/>
          <w:bCs/>
          <w:kern w:val="0"/>
          <w:sz w:val="32"/>
          <w:szCs w:val="32"/>
          <w:highlight w:val="none"/>
        </w:rPr>
        <w:fldChar w:fldCharType="end"/>
      </w:r>
    </w:p>
    <w:p>
      <w:pPr>
        <w:rPr>
          <w:highlight w:val="none"/>
        </w:rPr>
      </w:pPr>
      <w:r>
        <w:rPr>
          <w:highlight w:val="none"/>
        </w:rPr>
        <w:fldChar w:fldCharType="begin"/>
      </w:r>
      <w:r>
        <w:rPr>
          <w:highlight w:val="none"/>
        </w:rPr>
        <w:instrText xml:space="preserve"> HYPERLINK \l "_Toc5810" </w:instrText>
      </w:r>
      <w:r>
        <w:rPr>
          <w:highlight w:val="none"/>
        </w:rPr>
        <w:fldChar w:fldCharType="separate"/>
      </w:r>
      <w:r>
        <w:rPr>
          <w:rFonts w:hint="eastAsia" w:ascii="仿宋_GB2312" w:hAnsi="仿宋_GB2312" w:eastAsia="仿宋_GB2312" w:cs="仿宋_GB2312"/>
          <w:bCs/>
          <w:kern w:val="0"/>
          <w:sz w:val="32"/>
          <w:szCs w:val="32"/>
          <w:highlight w:val="none"/>
        </w:rPr>
        <w:t>九、国有资本经营预算财政拨款收入支出决算情况说明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"_Toc1235" </w:instrText>
      </w:r>
      <w:r>
        <w:rPr>
          <w:highlight w:val="none"/>
        </w:rPr>
        <w:fldChar w:fldCharType="separate"/>
      </w: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bCs/>
          <w:kern w:val="0"/>
          <w:sz w:val="32"/>
          <w:szCs w:val="32"/>
          <w:highlight w:val="none"/>
        </w:rPr>
        <w:t>、其他重要事项的情况说明</w:t>
      </w:r>
      <w:r>
        <w:rPr>
          <w:rFonts w:hint="eastAsia" w:ascii="仿宋_GB2312" w:hAnsi="仿宋_GB2312" w:eastAsia="仿宋_GB2312" w:cs="仿宋_GB2312"/>
          <w:bCs/>
          <w:kern w:val="0"/>
          <w:sz w:val="32"/>
          <w:szCs w:val="32"/>
          <w:highlight w:val="none"/>
        </w:rPr>
        <w:fldChar w:fldCharType="end"/>
      </w:r>
    </w:p>
    <w:p>
      <w:pPr>
        <w:pStyle w:val="4"/>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"_Toc14519" </w:instrText>
      </w:r>
      <w:r>
        <w:rPr>
          <w:highlight w:val="none"/>
        </w:rPr>
        <w:fldChar w:fldCharType="separate"/>
      </w:r>
      <w:r>
        <w:rPr>
          <w:rFonts w:hint="eastAsia" w:ascii="仿宋_GB2312" w:hAnsi="仿宋_GB2312" w:eastAsia="仿宋_GB2312" w:cs="仿宋_GB2312"/>
          <w:sz w:val="32"/>
          <w:szCs w:val="32"/>
          <w:highlight w:val="none"/>
        </w:rPr>
        <w:t>（一）机关运行经费支出情况</w:t>
      </w:r>
      <w:r>
        <w:rPr>
          <w:rFonts w:hint="eastAsia" w:ascii="仿宋_GB2312" w:hAnsi="仿宋_GB2312" w:eastAsia="仿宋_GB2312" w:cs="仿宋_GB2312"/>
          <w:sz w:val="32"/>
          <w:szCs w:val="32"/>
          <w:highlight w:val="none"/>
        </w:rPr>
        <w:fldChar w:fldCharType="end"/>
      </w:r>
    </w:p>
    <w:p>
      <w:pPr>
        <w:pStyle w:val="4"/>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"_Toc227" </w:instrText>
      </w:r>
      <w:r>
        <w:rPr>
          <w:highlight w:val="none"/>
        </w:rPr>
        <w:fldChar w:fldCharType="separate"/>
      </w:r>
      <w:r>
        <w:rPr>
          <w:rFonts w:hint="eastAsia" w:ascii="仿宋_GB2312" w:hAnsi="仿宋_GB2312" w:eastAsia="仿宋_GB2312" w:cs="仿宋_GB2312"/>
          <w:sz w:val="32"/>
          <w:szCs w:val="32"/>
          <w:highlight w:val="none"/>
        </w:rPr>
        <w:t>（二）政府采购情况</w:t>
      </w:r>
      <w:r>
        <w:rPr>
          <w:rFonts w:hint="eastAsia" w:ascii="仿宋_GB2312" w:hAnsi="仿宋_GB2312" w:eastAsia="仿宋_GB2312" w:cs="仿宋_GB2312"/>
          <w:sz w:val="32"/>
          <w:szCs w:val="32"/>
          <w:highlight w:val="none"/>
        </w:rPr>
        <w:fldChar w:fldCharType="end"/>
      </w:r>
    </w:p>
    <w:p>
      <w:pPr>
        <w:pStyle w:val="4"/>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"_Toc8391" </w:instrText>
      </w:r>
      <w:r>
        <w:rPr>
          <w:highlight w:val="none"/>
        </w:rPr>
        <w:fldChar w:fldCharType="separate"/>
      </w:r>
      <w:r>
        <w:rPr>
          <w:rFonts w:hint="eastAsia" w:ascii="仿宋_GB2312" w:hAnsi="仿宋_GB2312" w:eastAsia="仿宋_GB2312" w:cs="仿宋_GB2312"/>
          <w:sz w:val="32"/>
          <w:szCs w:val="32"/>
          <w:highlight w:val="none"/>
        </w:rPr>
        <w:t>（三）国有资产占用情况说明</w:t>
      </w:r>
      <w:r>
        <w:rPr>
          <w:rFonts w:hint="eastAsia" w:ascii="仿宋_GB2312" w:hAnsi="仿宋_GB2312" w:eastAsia="仿宋_GB2312" w:cs="仿宋_GB2312"/>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"_Toc11283" </w:instrText>
      </w:r>
      <w:r>
        <w:rPr>
          <w:highlight w:val="none"/>
        </w:rPr>
        <w:fldChar w:fldCharType="separate"/>
      </w:r>
      <w:r>
        <w:rPr>
          <w:rFonts w:hint="eastAsia" w:ascii="仿宋_GB2312" w:hAnsi="仿宋_GB2312" w:eastAsia="仿宋_GB2312" w:cs="仿宋_GB2312"/>
          <w:bCs/>
          <w:kern w:val="0"/>
          <w:sz w:val="32"/>
          <w:szCs w:val="32"/>
          <w:highlight w:val="none"/>
        </w:rPr>
        <w:t>十一、预算绩效的情况说明</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pPr>
        <w:pStyle w:val="7"/>
        <w:tabs>
          <w:tab w:val="right" w:pos="8306"/>
        </w:tabs>
        <w:rPr>
          <w:rFonts w:ascii="仿宋_GB2312" w:hAnsi="仿宋_GB2312" w:eastAsia="仿宋_GB2312" w:cs="仿宋_GB2312"/>
          <w:b/>
          <w:bCs/>
          <w:sz w:val="32"/>
          <w:szCs w:val="32"/>
          <w:highlight w:val="none"/>
        </w:rPr>
      </w:pPr>
      <w:r>
        <w:rPr>
          <w:highlight w:val="none"/>
        </w:rPr>
        <w:fldChar w:fldCharType="begin"/>
      </w:r>
      <w:r>
        <w:rPr>
          <w:highlight w:val="none"/>
        </w:rPr>
        <w:instrText xml:space="preserve"> HYPERLINK \l "_Toc3250" </w:instrText>
      </w:r>
      <w:r>
        <w:rPr>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7"/>
        <w:tabs>
          <w:tab w:val="right" w:pos="8306"/>
        </w:tabs>
        <w:rPr>
          <w:rFonts w:ascii="仿宋_GB2312" w:hAnsi="仿宋_GB2312" w:eastAsia="仿宋_GB2312" w:cs="仿宋_GB2312"/>
          <w:b/>
          <w:bCs/>
          <w:sz w:val="32"/>
          <w:szCs w:val="32"/>
          <w:highlight w:val="none"/>
        </w:rPr>
      </w:pPr>
      <w:r>
        <w:rPr>
          <w:highlight w:val="none"/>
        </w:rPr>
        <w:fldChar w:fldCharType="begin"/>
      </w:r>
      <w:r>
        <w:rPr>
          <w:highlight w:val="none"/>
        </w:rPr>
        <w:instrText xml:space="preserve"> HYPERLINK \l "_Toc22784" </w:instrText>
      </w:r>
      <w:r>
        <w:rPr>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"_Toc2183" </w:instrText>
      </w:r>
      <w:r>
        <w:rPr>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"_Toc24532" </w:instrText>
      </w:r>
      <w:r>
        <w:rPr>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"_Toc32434" </w:instrText>
      </w:r>
      <w:r>
        <w:rPr>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"_Toc28786" </w:instrText>
      </w:r>
      <w:r>
        <w:rPr>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"_Toc14869" </w:instrText>
      </w:r>
      <w:r>
        <w:rPr>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"_Toc8884" </w:instrText>
      </w:r>
      <w:r>
        <w:rPr>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sz w:val="32"/>
          <w:szCs w:val="32"/>
          <w:highlight w:val="none"/>
        </w:rPr>
      </w:pPr>
      <w:r>
        <w:rPr>
          <w:highlight w:val="none"/>
        </w:rPr>
        <w:fldChar w:fldCharType="begin"/>
      </w:r>
      <w:r>
        <w:rPr>
          <w:highlight w:val="none"/>
        </w:rPr>
        <w:instrText xml:space="preserve"> HYPERLINK \l "_Toc29106" </w:instrText>
      </w:r>
      <w:r>
        <w:rPr>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bCs/>
          <w:kern w:val="0"/>
          <w:sz w:val="32"/>
          <w:szCs w:val="32"/>
          <w:highlight w:val="none"/>
        </w:rPr>
      </w:pPr>
      <w:r>
        <w:rPr>
          <w:highlight w:val="none"/>
        </w:rPr>
        <w:fldChar w:fldCharType="begin"/>
      </w:r>
      <w:r>
        <w:rPr>
          <w:highlight w:val="none"/>
        </w:rPr>
        <w:instrText xml:space="preserve"> HYPERLINK \l "_Toc7643" </w:instrText>
      </w:r>
      <w:r>
        <w:rPr>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8"/>
        <w:tabs>
          <w:tab w:val="right" w:pos="8306"/>
        </w:tabs>
        <w:ind w:left="0" w:leftChars="0"/>
        <w:rPr>
          <w:rFonts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九、《国有资本经营预算财政拨款收入支出决算表》</w:t>
      </w:r>
    </w:p>
    <w:p>
      <w:pPr>
        <w:rPr>
          <w:highlight w:val="none"/>
        </w:rPr>
      </w:pPr>
      <w:r>
        <w:rPr>
          <w:rFonts w:hint="eastAsia" w:ascii="仿宋_GB2312" w:hAnsi="仿宋_GB2312" w:eastAsia="仿宋_GB2312" w:cs="仿宋_GB2312"/>
          <w:sz w:val="32"/>
          <w:szCs w:val="32"/>
          <w:highlight w:val="none"/>
        </w:rPr>
        <w:fldChar w:fldCharType="end"/>
      </w:r>
    </w:p>
    <w:p>
      <w:pPr>
        <w:rPr>
          <w:rFonts w:ascii="仿宋_GB2312" w:eastAsia="仿宋_GB2312"/>
          <w:sz w:val="32"/>
          <w:szCs w:val="32"/>
          <w:highlight w:val="none"/>
        </w:rPr>
      </w:pPr>
      <w:r>
        <w:rPr>
          <w:rFonts w:hint="eastAsia" w:ascii="仿宋_GB2312" w:eastAsia="仿宋_GB2312"/>
          <w:sz w:val="32"/>
          <w:szCs w:val="32"/>
          <w:highlight w:val="none"/>
        </w:rPr>
        <w:br w:type="page"/>
      </w:r>
    </w:p>
    <w:p>
      <w:pPr>
        <w:jc w:val="center"/>
        <w:outlineLvl w:val="0"/>
        <w:rPr>
          <w:rFonts w:ascii="黑体" w:hAnsi="黑体" w:eastAsia="黑体"/>
          <w:sz w:val="32"/>
          <w:szCs w:val="32"/>
          <w:highlight w:val="none"/>
        </w:rPr>
      </w:pPr>
      <w:bookmarkStart w:id="0" w:name="_Toc32314"/>
      <w:bookmarkStart w:id="1" w:name="_Toc24028"/>
      <w:r>
        <w:rPr>
          <w:rFonts w:hint="eastAsia" w:ascii="黑体" w:hAnsi="黑体" w:eastAsia="黑体"/>
          <w:sz w:val="32"/>
          <w:szCs w:val="32"/>
          <w:highlight w:val="none"/>
        </w:rPr>
        <w:t>第一部分 单位概况</w:t>
      </w:r>
      <w:bookmarkEnd w:id="0"/>
      <w:bookmarkEnd w:id="1"/>
    </w:p>
    <w:p>
      <w:pPr>
        <w:ind w:firstLine="640" w:firstLineChars="200"/>
        <w:outlineLvl w:val="1"/>
        <w:rPr>
          <w:rFonts w:ascii="黑体" w:hAnsi="黑体" w:eastAsia="黑体" w:cs="宋体"/>
          <w:bCs/>
          <w:kern w:val="0"/>
          <w:sz w:val="32"/>
          <w:szCs w:val="32"/>
          <w:highlight w:val="none"/>
        </w:rPr>
      </w:pPr>
      <w:bookmarkStart w:id="2" w:name="_Toc30738"/>
      <w:bookmarkStart w:id="3" w:name="_Toc30567"/>
      <w:r>
        <w:rPr>
          <w:rFonts w:hint="eastAsia" w:ascii="黑体" w:hAnsi="黑体" w:eastAsia="黑体" w:cs="宋体"/>
          <w:bCs/>
          <w:kern w:val="0"/>
          <w:sz w:val="32"/>
          <w:szCs w:val="32"/>
          <w:highlight w:val="none"/>
        </w:rPr>
        <w:t>一、主要职能</w:t>
      </w:r>
      <w:bookmarkEnd w:id="2"/>
      <w:bookmarkEnd w:id="3"/>
    </w:p>
    <w:p>
      <w:pPr>
        <w:snapToGrid w:val="0"/>
        <w:spacing w:line="520" w:lineRule="exact"/>
        <w:ind w:firstLine="640" w:firstLineChars="200"/>
        <w:rPr>
          <w:rFonts w:hint="eastAsia" w:ascii="仿宋_GB2312" w:hAnsi="仿宋" w:eastAsia="仿宋_GB2312"/>
          <w:sz w:val="32"/>
          <w:szCs w:val="32"/>
          <w:highlight w:val="none"/>
        </w:rPr>
      </w:pPr>
      <w:bookmarkStart w:id="4" w:name="_Toc31238"/>
      <w:bookmarkStart w:id="5" w:name="_Toc2151"/>
      <w:r>
        <w:rPr>
          <w:rFonts w:hint="eastAsia" w:ascii="仿宋_GB2312" w:hAnsi="仿宋" w:eastAsia="仿宋_GB2312"/>
          <w:sz w:val="32"/>
          <w:szCs w:val="32"/>
          <w:highlight w:val="none"/>
        </w:rPr>
        <w:t>沙湾市融媒体中心（沙湾市广播电视台）贯彻落实党中央、 自治区党委、地委以及市委方针政策和决策部署，在履行职责过程中坚持和加强党对意识形态暨宣传思想工作的集中统一领导，统筹整合市域媒体资源和各类宣传媒介资源，统一调度全市记者 和各乡镇(场)、各系统优秀通讯员，形成广播、电视、网站、客户端、微信公众号、抖音公众号、户外电子屏等传统媒体、新兴 媒体、社会宣传资源融为一体，内宣、外宣、网宣等职责融为一体，新闻从业人员采、编、</w:t>
      </w:r>
      <w:r>
        <w:rPr>
          <w:rFonts w:hint="eastAsia" w:ascii="仿宋_GB2312" w:hAnsi="仿宋" w:eastAsia="仿宋_GB2312"/>
          <w:sz w:val="32"/>
          <w:szCs w:val="32"/>
          <w:highlight w:val="none"/>
          <w:lang w:val="en-US" w:eastAsia="zh-CN"/>
        </w:rPr>
        <w:t>传</w:t>
      </w:r>
      <w:r>
        <w:rPr>
          <w:rFonts w:hint="eastAsia" w:ascii="仿宋_GB2312" w:hAnsi="仿宋" w:eastAsia="仿宋_GB2312"/>
          <w:sz w:val="32"/>
          <w:szCs w:val="32"/>
          <w:highlight w:val="none"/>
        </w:rPr>
        <w:t>播等技能融为一体的格局，实现综合协调调度宣传资源、分析追踪宣传工作热点难点、跟踪宣传效果，有效提高宣传资源利用率。</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(一)贯彻执行党和国家有关新闻宣传、广播电视管理等方面 的方针政策和法律法规;根据国家、自治区、地区总体规划和要求，拟定全市融媒体事业发展规划、计划，经批准后组织实施。</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(二)全面、准确、及时宣传党的路线、方针、政策，充分发 挥党和政府的喉舌作用，把握正确舆论导向，针对社会各群体不 同需求和宣传工作实际，构筑起地、空、网“三位一体 ”宣传管理</w:t>
      </w:r>
      <w:r>
        <w:rPr>
          <w:rFonts w:hint="eastAsia" w:ascii="仿宋_GB2312" w:hAnsi="仿宋" w:eastAsia="仿宋_GB2312"/>
          <w:sz w:val="32"/>
          <w:szCs w:val="32"/>
          <w:highlight w:val="none"/>
          <w:lang w:val="en-US" w:eastAsia="zh-CN"/>
        </w:rPr>
        <w:t>工作</w:t>
      </w:r>
      <w:r>
        <w:rPr>
          <w:rFonts w:hint="eastAsia" w:ascii="仿宋_GB2312" w:hAnsi="仿宋" w:eastAsia="仿宋_GB2312"/>
          <w:sz w:val="32"/>
          <w:szCs w:val="32"/>
          <w:highlight w:val="none"/>
        </w:rPr>
        <w:t>和安全防控体系。</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(三)按照“媒体+ ”的理念，负责从新闻宣传向公共服务领 域拓展，增强互动性，从单向传播向多元互动传播延伸，负责开展“媒体+政务 ”、“媒体+服务 ”等业务。</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媒体服务:负责制作文字、图片、音频、视频，通过广播、电视、微博、微信、客户端、 网站和应急广播等提供给用户。</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政务服务:负责实现政务服务功能，为智慧政务提供信息发 布及宣传、互动业务，包括新闻发布、政务公开、政务办理、建言资政、服务评价等工作。</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公共服务:负责在媒体平台实现民生、文化、教育等公共服  务功能。通过融媒体平台，提供便民查询、医疗服务、社区服务、专家咨询等各类生活服务；提供智慧旅游、活动演出等各类文化服务;提供教育信息、在线教育、教育下乡等教育服务。</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增值服务:为本地用户提供各类增值服务，提供广告运营、区域运营、 电子商城及其他增值服务类业务。</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(四)负责广播电视重要技术设备监管，加强安全防范，保障 广播电视节目安全播出;做好广播、电视等自办频率频道资源的 报批、使用和管理工作，管好摄录、制作、演播、发射等重要技术装备;做好中央及自治区、地区台的广播电视节目转播工作。</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(五)负责广播电视系统专项资金、国有资产和各项年度事业经费和单位人、财、物的管理。</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(六)负责广播、电视、网站、新媒体各类节目和作品的创新创优工作。</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rPr>
        <w:t>(七)完成市委、市政府交办的其他任务。</w:t>
      </w:r>
    </w:p>
    <w:p>
      <w:pPr>
        <w:ind w:firstLine="640" w:firstLineChars="200"/>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二、机构设置及</w:t>
      </w:r>
      <w:bookmarkEnd w:id="4"/>
      <w:r>
        <w:rPr>
          <w:rFonts w:hint="eastAsia" w:ascii="黑体" w:hAnsi="黑体" w:eastAsia="黑体" w:cs="宋体"/>
          <w:bCs/>
          <w:kern w:val="0"/>
          <w:sz w:val="32"/>
          <w:szCs w:val="32"/>
          <w:highlight w:val="none"/>
        </w:rPr>
        <w:t>人员情况</w:t>
      </w:r>
      <w:bookmarkEnd w:id="5"/>
    </w:p>
    <w:p>
      <w:pPr>
        <w:ind w:firstLine="640" w:firstLineChars="200"/>
        <w:jc w:val="left"/>
        <w:rPr>
          <w:rFonts w:ascii="仿宋_GB2312" w:hAnsi="仿宋_GB2312" w:eastAsia="仿宋_GB2312" w:cs="仿宋_GB2312"/>
          <w:b/>
          <w:sz w:val="32"/>
          <w:szCs w:val="32"/>
          <w:highlight w:val="none"/>
        </w:rPr>
      </w:pPr>
      <w:r>
        <w:rPr>
          <w:rFonts w:hint="eastAsia" w:ascii="仿宋_GB2312" w:eastAsia="仿宋_GB2312"/>
          <w:sz w:val="32"/>
          <w:szCs w:val="32"/>
          <w:highlight w:val="none"/>
        </w:rPr>
        <w:t>塔城地区沙湾市融媒体中心（沙湾市广播电视台）2023年度，实有人数</w:t>
      </w:r>
      <w:r>
        <w:rPr>
          <w:rFonts w:hint="eastAsia" w:ascii="仿宋_GB2312" w:eastAsia="仿宋_GB2312"/>
          <w:sz w:val="32"/>
          <w:szCs w:val="32"/>
          <w:highlight w:val="none"/>
          <w:lang w:val="zh-CN"/>
        </w:rPr>
        <w:t>64</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rPr>
        <w:t>38</w:t>
      </w:r>
      <w:r>
        <w:rPr>
          <w:rFonts w:hint="eastAsia" w:ascii="仿宋_GB2312" w:eastAsia="仿宋_GB2312"/>
          <w:sz w:val="32"/>
          <w:szCs w:val="32"/>
          <w:highlight w:val="none"/>
        </w:rPr>
        <w:t>人，离休人员</w:t>
      </w:r>
      <w:r>
        <w:rPr>
          <w:rFonts w:hint="eastAsia" w:ascii="仿宋_GB2312" w:eastAsia="仿宋_GB2312"/>
          <w:sz w:val="32"/>
          <w:szCs w:val="32"/>
          <w:highlight w:val="none"/>
          <w:lang w:val="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rPr>
        <w:t>26</w:t>
      </w:r>
      <w:r>
        <w:rPr>
          <w:rFonts w:hint="eastAsia" w:ascii="仿宋_GB2312" w:eastAsia="仿宋_GB2312"/>
          <w:sz w:val="32"/>
          <w:szCs w:val="32"/>
          <w:highlight w:val="none"/>
        </w:rPr>
        <w:t>人。</w:t>
      </w:r>
    </w:p>
    <w:p>
      <w:pPr>
        <w:ind w:firstLine="640" w:firstLineChars="200"/>
        <w:rPr>
          <w:rFonts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lang w:val="en-US" w:eastAsia="zh-CN"/>
        </w:rPr>
        <w:t>5</w:t>
      </w:r>
      <w:r>
        <w:rPr>
          <w:rFonts w:hint="eastAsia" w:ascii="仿宋_GB2312" w:hAnsi="黑体" w:eastAsia="仿宋_GB2312" w:cs="宋体"/>
          <w:bCs/>
          <w:kern w:val="0"/>
          <w:sz w:val="32"/>
          <w:szCs w:val="32"/>
          <w:highlight w:val="none"/>
        </w:rPr>
        <w:t>个处室，分别是：</w:t>
      </w:r>
      <w:r>
        <w:rPr>
          <w:rFonts w:hint="eastAsia" w:ascii="仿宋_GB2312" w:hAnsi="仿宋" w:eastAsia="仿宋_GB2312"/>
          <w:sz w:val="32"/>
          <w:szCs w:val="32"/>
          <w:highlight w:val="none"/>
        </w:rPr>
        <w:t>党政办公室、总编室、编辑制作部、新闻采集部、技术保障部</w:t>
      </w:r>
      <w:r>
        <w:rPr>
          <w:rFonts w:hint="eastAsia" w:ascii="仿宋_GB2312" w:hAnsi="宋体" w:eastAsia="仿宋_GB2312" w:cs="宋体"/>
          <w:kern w:val="0"/>
          <w:sz w:val="32"/>
          <w:szCs w:val="32"/>
          <w:highlight w:val="none"/>
        </w:rPr>
        <w:t>。</w:t>
      </w:r>
    </w:p>
    <w:p>
      <w:pPr>
        <w:jc w:val="center"/>
        <w:outlineLvl w:val="0"/>
        <w:rPr>
          <w:rFonts w:ascii="黑体" w:hAnsi="黑体" w:eastAsia="黑体"/>
          <w:sz w:val="32"/>
          <w:szCs w:val="32"/>
          <w:highlight w:val="none"/>
        </w:rPr>
      </w:pPr>
      <w:bookmarkStart w:id="6" w:name="_Toc3092"/>
      <w:bookmarkStart w:id="7" w:name="_Toc29374"/>
      <w:r>
        <w:rPr>
          <w:rFonts w:hint="eastAsia" w:ascii="黑体" w:hAnsi="黑体" w:eastAsia="黑体"/>
          <w:sz w:val="32"/>
          <w:szCs w:val="32"/>
          <w:highlight w:val="none"/>
        </w:rPr>
        <w:t>第二部分 部门决算情况说明</w:t>
      </w:r>
      <w:bookmarkEnd w:id="6"/>
      <w:bookmarkEnd w:id="7"/>
    </w:p>
    <w:p>
      <w:pPr>
        <w:ind w:firstLine="640" w:firstLineChars="200"/>
        <w:outlineLvl w:val="1"/>
        <w:rPr>
          <w:rFonts w:ascii="黑体" w:hAnsi="黑体" w:eastAsia="黑体" w:cs="宋体"/>
          <w:bCs/>
          <w:kern w:val="0"/>
          <w:sz w:val="32"/>
          <w:szCs w:val="32"/>
          <w:highlight w:val="none"/>
        </w:rPr>
      </w:pPr>
      <w:bookmarkStart w:id="8" w:name="_Toc12566"/>
      <w:bookmarkStart w:id="9" w:name="_Toc25314"/>
      <w:r>
        <w:rPr>
          <w:rFonts w:hint="eastAsia" w:ascii="黑体" w:hAnsi="黑体" w:eastAsia="黑体" w:cs="宋体"/>
          <w:bCs/>
          <w:kern w:val="0"/>
          <w:sz w:val="32"/>
          <w:szCs w:val="32"/>
          <w:highlight w:val="none"/>
        </w:rPr>
        <w:t>一、收入支出决算总体情况说明</w:t>
      </w:r>
      <w:bookmarkEnd w:id="8"/>
      <w:bookmarkEnd w:id="9"/>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2023年度收入总计889.21万元，其中：本年收入合计889.21万元，使用非财政拨款结余0.00万元，年初结转和结余0.00万元。</w:t>
      </w:r>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2023年度支出总计889.21万元，其中：本年支出合计889.21万元，结余分配0.00万元，年末结转和结余0.00万元。</w:t>
      </w:r>
    </w:p>
    <w:p>
      <w:pPr>
        <w:ind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rPr>
        <w:t>收入支出总体与上年相比，</w:t>
      </w:r>
      <w:r>
        <w:rPr>
          <w:rFonts w:hint="eastAsia" w:ascii="仿宋_GB2312" w:eastAsia="仿宋_GB2312"/>
          <w:sz w:val="32"/>
          <w:szCs w:val="32"/>
          <w:highlight w:val="none"/>
          <w:lang w:val="zh-CN"/>
        </w:rPr>
        <w:t>增加173.69万元</w:t>
      </w:r>
      <w:r>
        <w:rPr>
          <w:rFonts w:hint="eastAsia" w:ascii="仿宋_GB2312" w:eastAsia="仿宋_GB2312"/>
          <w:sz w:val="32"/>
          <w:szCs w:val="32"/>
          <w:highlight w:val="none"/>
        </w:rPr>
        <w:t>，增长24.27%，主要原因是：</w:t>
      </w:r>
      <w:r>
        <w:rPr>
          <w:rFonts w:hint="eastAsia" w:ascii="仿宋_GB2312" w:eastAsia="仿宋_GB2312"/>
          <w:sz w:val="32"/>
          <w:szCs w:val="32"/>
          <w:highlight w:val="none"/>
          <w:lang w:val="en-US" w:eastAsia="zh-CN"/>
        </w:rPr>
        <w:t>本年度调入1名事业</w:t>
      </w:r>
      <w:r>
        <w:rPr>
          <w:rFonts w:hint="eastAsia" w:ascii="仿宋_GB2312" w:hAnsi="Times New Roman" w:eastAsia="仿宋_GB2312" w:cs="Times New Roman"/>
          <w:sz w:val="32"/>
          <w:szCs w:val="32"/>
          <w:highlight w:val="none"/>
        </w:rPr>
        <w:t>在职人员</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在职人员基础绩效奖及工资</w:t>
      </w:r>
      <w:r>
        <w:rPr>
          <w:rFonts w:hint="eastAsia" w:ascii="仿宋_GB2312" w:hAnsi="仿宋" w:eastAsia="仿宋_GB2312" w:cs="Times New Roman"/>
          <w:spacing w:val="0"/>
          <w:kern w:val="2"/>
          <w:sz w:val="32"/>
          <w:szCs w:val="32"/>
          <w:highlight w:val="none"/>
        </w:rPr>
        <w:t>调增，社保及公积金缴费基数调增，</w:t>
      </w:r>
      <w:r>
        <w:rPr>
          <w:rFonts w:hint="eastAsia" w:ascii="仿宋_GB2312" w:hAnsi="仿宋" w:eastAsia="仿宋_GB2312" w:cs="Times New Roman"/>
          <w:spacing w:val="0"/>
          <w:kern w:val="2"/>
          <w:sz w:val="32"/>
          <w:szCs w:val="32"/>
          <w:highlight w:val="none"/>
          <w:lang w:val="en-US" w:eastAsia="zh-CN"/>
        </w:rPr>
        <w:t>项目较上年增多，其中金额较大的是支付融媒体中心设备资金欠款119.20万元。</w:t>
      </w:r>
    </w:p>
    <w:p>
      <w:pPr>
        <w:ind w:firstLine="640" w:firstLineChars="200"/>
        <w:jc w:val="left"/>
        <w:outlineLvl w:val="1"/>
        <w:rPr>
          <w:rFonts w:ascii="黑体" w:hAnsi="黑体" w:eastAsia="黑体" w:cs="宋体"/>
          <w:bCs/>
          <w:kern w:val="0"/>
          <w:sz w:val="32"/>
          <w:szCs w:val="32"/>
          <w:highlight w:val="none"/>
        </w:rPr>
      </w:pPr>
      <w:bookmarkStart w:id="10" w:name="_Toc12142"/>
      <w:bookmarkStart w:id="11" w:name="_Toc1979"/>
      <w:r>
        <w:rPr>
          <w:rFonts w:hint="eastAsia" w:ascii="黑体" w:hAnsi="黑体" w:eastAsia="黑体" w:cs="宋体"/>
          <w:bCs/>
          <w:kern w:val="0"/>
          <w:sz w:val="32"/>
          <w:szCs w:val="32"/>
          <w:highlight w:val="none"/>
        </w:rPr>
        <w:t>二、收入决算情况说明</w:t>
      </w:r>
      <w:bookmarkEnd w:id="10"/>
      <w:bookmarkEnd w:id="11"/>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本年收入889.21万元，其中：财政拨款收入</w:t>
      </w:r>
      <w:r>
        <w:rPr>
          <w:rFonts w:hint="eastAsia" w:ascii="仿宋_GB2312" w:eastAsia="仿宋_GB2312"/>
          <w:sz w:val="32"/>
          <w:szCs w:val="32"/>
          <w:highlight w:val="none"/>
          <w:lang w:val="zh-CN"/>
        </w:rPr>
        <w:t>889.21</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100.00%</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highlight w:val="none"/>
        </w:rPr>
      </w:pPr>
      <w:bookmarkStart w:id="12" w:name="_Toc13201"/>
      <w:bookmarkStart w:id="13" w:name="_Toc27961"/>
      <w:r>
        <w:rPr>
          <w:rFonts w:hint="eastAsia" w:ascii="黑体" w:hAnsi="黑体" w:eastAsia="黑体" w:cs="宋体"/>
          <w:bCs/>
          <w:kern w:val="0"/>
          <w:sz w:val="32"/>
          <w:szCs w:val="32"/>
          <w:highlight w:val="none"/>
        </w:rPr>
        <w:t>三、支出决算情况说明</w:t>
      </w:r>
      <w:bookmarkEnd w:id="12"/>
      <w:bookmarkEnd w:id="13"/>
    </w:p>
    <w:p>
      <w:pPr>
        <w:ind w:firstLine="640" w:firstLineChars="200"/>
        <w:jc w:val="left"/>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本年支出889.21万元，其中：基本支出738.98万元，占83.11%；项目支出150.23万元，占16.89%；上缴上级支出0.00万元，占0.00%；经营支出0.00万元，占0.00%；对附属单位补助支出0.00万元，占0.00%。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highlight w:val="none"/>
        </w:rPr>
      </w:pPr>
      <w:bookmarkStart w:id="14" w:name="_Toc4393"/>
      <w:bookmarkStart w:id="15" w:name="_Toc26564"/>
      <w:r>
        <w:rPr>
          <w:rFonts w:hint="eastAsia" w:ascii="黑体" w:hAnsi="黑体" w:eastAsia="黑体" w:cs="宋体"/>
          <w:bCs/>
          <w:kern w:val="0"/>
          <w:sz w:val="32"/>
          <w:szCs w:val="32"/>
          <w:highlight w:val="none"/>
        </w:rPr>
        <w:t>四、财政拨款收入支出决算总体情况说明</w:t>
      </w:r>
      <w:bookmarkEnd w:id="14"/>
      <w:bookmarkEnd w:id="15"/>
    </w:p>
    <w:p>
      <w:pPr>
        <w:ind w:firstLine="640" w:firstLineChars="200"/>
        <w:jc w:val="left"/>
        <w:rPr>
          <w:rFonts w:hint="eastAsia" w:ascii="仿宋_GB2312" w:hAnsi="Times New Roman" w:eastAsia="仿宋_GB2312" w:cs="Times New Roman"/>
          <w:sz w:val="32"/>
          <w:szCs w:val="32"/>
          <w:highlight w:val="none"/>
        </w:rPr>
      </w:pPr>
      <w:r>
        <w:rPr>
          <w:rFonts w:hint="eastAsia" w:ascii="仿宋_GB2312" w:eastAsia="仿宋_GB2312"/>
          <w:sz w:val="32"/>
          <w:szCs w:val="32"/>
          <w:highlight w:val="none"/>
        </w:rPr>
        <w:t>2023年度财政拨款收入总计</w:t>
      </w:r>
      <w:r>
        <w:rPr>
          <w:rFonts w:hint="eastAsia" w:ascii="仿宋_GB2312" w:eastAsia="仿宋_GB2312"/>
          <w:sz w:val="32"/>
          <w:szCs w:val="32"/>
          <w:highlight w:val="none"/>
          <w:lang w:val="zh-CN"/>
        </w:rPr>
        <w:t>889.21</w:t>
      </w:r>
      <w:r>
        <w:rPr>
          <w:rFonts w:hint="eastAsia" w:ascii="仿宋_GB2312" w:eastAsia="仿宋_GB2312"/>
          <w:sz w:val="32"/>
          <w:szCs w:val="32"/>
          <w:highlight w:val="none"/>
        </w:rPr>
        <w:t>万元，其中：年初财政拨款结转和结余</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万元，本年财政拨款收入</w:t>
      </w:r>
      <w:r>
        <w:rPr>
          <w:rFonts w:hint="eastAsia" w:ascii="仿宋_GB2312" w:eastAsia="仿宋_GB2312"/>
          <w:sz w:val="32"/>
          <w:szCs w:val="32"/>
          <w:highlight w:val="none"/>
          <w:lang w:val="zh-CN"/>
        </w:rPr>
        <w:t>889.21</w:t>
      </w:r>
      <w:r>
        <w:rPr>
          <w:rFonts w:hint="eastAsia" w:ascii="仿宋_GB2312" w:eastAsia="仿宋_GB2312"/>
          <w:sz w:val="32"/>
          <w:szCs w:val="32"/>
          <w:highlight w:val="none"/>
        </w:rPr>
        <w:t>万元。财政拨</w:t>
      </w:r>
      <w:r>
        <w:rPr>
          <w:rFonts w:hint="eastAsia" w:ascii="仿宋_GB2312" w:hAnsi="Times New Roman" w:eastAsia="仿宋_GB2312" w:cs="Times New Roman"/>
          <w:sz w:val="32"/>
          <w:szCs w:val="32"/>
          <w:highlight w:val="none"/>
        </w:rPr>
        <w:t>款支出总计</w:t>
      </w:r>
      <w:r>
        <w:rPr>
          <w:rFonts w:hint="eastAsia" w:ascii="仿宋_GB2312" w:hAnsi="Times New Roman" w:eastAsia="仿宋_GB2312" w:cs="Times New Roman"/>
          <w:sz w:val="32"/>
          <w:szCs w:val="32"/>
          <w:highlight w:val="none"/>
          <w:lang w:val="zh-CN"/>
        </w:rPr>
        <w:t>889.21</w:t>
      </w:r>
      <w:r>
        <w:rPr>
          <w:rFonts w:hint="eastAsia" w:ascii="仿宋_GB2312" w:hAnsi="Times New Roman" w:eastAsia="仿宋_GB2312" w:cs="Times New Roman"/>
          <w:sz w:val="32"/>
          <w:szCs w:val="32"/>
          <w:highlight w:val="none"/>
        </w:rPr>
        <w:t>万元，其中：年末财政拨款结转和结余</w:t>
      </w:r>
      <w:r>
        <w:rPr>
          <w:rFonts w:hint="eastAsia" w:ascii="仿宋_GB2312" w:hAnsi="Times New Roman" w:eastAsia="仿宋_GB2312" w:cs="Times New Roman"/>
          <w:sz w:val="32"/>
          <w:szCs w:val="32"/>
          <w:highlight w:val="none"/>
          <w:lang w:val="zh-CN"/>
        </w:rPr>
        <w:t>0.00</w:t>
      </w:r>
      <w:r>
        <w:rPr>
          <w:rFonts w:hint="eastAsia" w:ascii="仿宋_GB2312" w:hAnsi="Times New Roman" w:eastAsia="仿宋_GB2312" w:cs="Times New Roman"/>
          <w:sz w:val="32"/>
          <w:szCs w:val="32"/>
          <w:highlight w:val="none"/>
        </w:rPr>
        <w:t>万元，本年财政拨款支出</w:t>
      </w:r>
      <w:r>
        <w:rPr>
          <w:rFonts w:hint="eastAsia" w:ascii="仿宋_GB2312" w:hAnsi="Times New Roman" w:eastAsia="仿宋_GB2312" w:cs="Times New Roman"/>
          <w:sz w:val="32"/>
          <w:szCs w:val="32"/>
          <w:highlight w:val="none"/>
          <w:lang w:val="zh-CN"/>
        </w:rPr>
        <w:t>889.21</w:t>
      </w:r>
      <w:r>
        <w:rPr>
          <w:rFonts w:hint="eastAsia" w:ascii="仿宋_GB2312" w:hAnsi="Times New Roman" w:eastAsia="仿宋_GB2312" w:cs="Times New Roman"/>
          <w:sz w:val="32"/>
          <w:szCs w:val="32"/>
          <w:highlight w:val="none"/>
        </w:rPr>
        <w:t>万元。</w:t>
      </w:r>
    </w:p>
    <w:p>
      <w:pPr>
        <w:ind w:firstLine="640" w:firstLineChars="200"/>
        <w:jc w:val="left"/>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rPr>
        <w:t>财政拨款收入支出总体与上年相比,</w:t>
      </w:r>
      <w:r>
        <w:rPr>
          <w:rFonts w:hint="eastAsia" w:ascii="仿宋_GB2312" w:hAnsi="Times New Roman" w:eastAsia="仿宋_GB2312" w:cs="Times New Roman"/>
          <w:sz w:val="32"/>
          <w:szCs w:val="32"/>
          <w:highlight w:val="none"/>
          <w:lang w:val="zh-CN"/>
        </w:rPr>
        <w:t>增加173.69万元</w:t>
      </w:r>
      <w:r>
        <w:rPr>
          <w:rFonts w:hint="eastAsia" w:ascii="仿宋_GB2312" w:hAnsi="Times New Roman" w:eastAsia="仿宋_GB2312" w:cs="Times New Roman"/>
          <w:sz w:val="32"/>
          <w:szCs w:val="32"/>
          <w:highlight w:val="none"/>
        </w:rPr>
        <w:t>，增长24.27%,主要原因是：</w:t>
      </w:r>
      <w:r>
        <w:rPr>
          <w:rFonts w:hint="eastAsia" w:ascii="仿宋_GB2312" w:eastAsia="仿宋_GB2312"/>
          <w:sz w:val="32"/>
          <w:szCs w:val="32"/>
          <w:highlight w:val="none"/>
          <w:lang w:val="en-US" w:eastAsia="zh-CN"/>
        </w:rPr>
        <w:t>本年度调入1名事业</w:t>
      </w:r>
      <w:r>
        <w:rPr>
          <w:rFonts w:hint="eastAsia" w:ascii="仿宋_GB2312" w:hAnsi="Times New Roman" w:eastAsia="仿宋_GB2312" w:cs="Times New Roman"/>
          <w:sz w:val="32"/>
          <w:szCs w:val="32"/>
          <w:highlight w:val="none"/>
        </w:rPr>
        <w:t>在职人员</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在职人员基础绩效奖及工资</w:t>
      </w:r>
      <w:r>
        <w:rPr>
          <w:rFonts w:hint="eastAsia" w:ascii="仿宋_GB2312" w:hAnsi="仿宋" w:eastAsia="仿宋_GB2312" w:cs="Times New Roman"/>
          <w:spacing w:val="0"/>
          <w:kern w:val="2"/>
          <w:sz w:val="32"/>
          <w:szCs w:val="32"/>
          <w:highlight w:val="none"/>
        </w:rPr>
        <w:t>调增，社保及公积金缴费基数调增，</w:t>
      </w:r>
      <w:r>
        <w:rPr>
          <w:rFonts w:hint="eastAsia" w:ascii="仿宋_GB2312" w:hAnsi="仿宋" w:eastAsia="仿宋_GB2312" w:cs="Times New Roman"/>
          <w:spacing w:val="0"/>
          <w:kern w:val="2"/>
          <w:sz w:val="32"/>
          <w:szCs w:val="32"/>
          <w:highlight w:val="none"/>
          <w:lang w:val="en-US" w:eastAsia="zh-CN"/>
        </w:rPr>
        <w:t>项目较上年增多，其中金额较大的是支付融媒体中心设备资金欠款119.20万元。</w:t>
      </w:r>
      <w:r>
        <w:rPr>
          <w:rFonts w:hint="eastAsia" w:ascii="仿宋_GB2312" w:hAnsi="Times New Roman" w:eastAsia="仿宋_GB2312" w:cs="Times New Roman"/>
          <w:sz w:val="32"/>
          <w:szCs w:val="32"/>
          <w:highlight w:val="none"/>
        </w:rPr>
        <w:t>与年初预算相比，年初预算数</w:t>
      </w:r>
      <w:r>
        <w:rPr>
          <w:rFonts w:hint="eastAsia" w:ascii="仿宋_GB2312" w:hAnsi="Times New Roman" w:eastAsia="仿宋_GB2312" w:cs="Times New Roman"/>
          <w:sz w:val="32"/>
          <w:szCs w:val="32"/>
          <w:highlight w:val="none"/>
          <w:lang w:val="zh-CN"/>
        </w:rPr>
        <w:t>947.74</w:t>
      </w:r>
      <w:r>
        <w:rPr>
          <w:rFonts w:hint="eastAsia" w:ascii="仿宋_GB2312" w:hAnsi="Times New Roman" w:eastAsia="仿宋_GB2312" w:cs="Times New Roman"/>
          <w:sz w:val="32"/>
          <w:szCs w:val="32"/>
          <w:highlight w:val="none"/>
        </w:rPr>
        <w:t>万元，决算数</w:t>
      </w:r>
      <w:r>
        <w:rPr>
          <w:rFonts w:hint="eastAsia" w:ascii="仿宋_GB2312" w:hAnsi="Times New Roman" w:eastAsia="仿宋_GB2312" w:cs="Times New Roman"/>
          <w:sz w:val="32"/>
          <w:szCs w:val="32"/>
          <w:highlight w:val="none"/>
          <w:lang w:val="zh-CN"/>
        </w:rPr>
        <w:t>889.21</w:t>
      </w:r>
      <w:r>
        <w:rPr>
          <w:rFonts w:hint="eastAsia" w:ascii="仿宋_GB2312" w:hAnsi="Times New Roman" w:eastAsia="仿宋_GB2312" w:cs="Times New Roman"/>
          <w:sz w:val="32"/>
          <w:szCs w:val="32"/>
          <w:highlight w:val="none"/>
        </w:rPr>
        <w:t>万元，预决算差异率-6.18%，主要原因是：</w:t>
      </w:r>
      <w:r>
        <w:rPr>
          <w:rFonts w:hint="eastAsia" w:ascii="仿宋_GB2312" w:hAnsi="Times New Roman" w:eastAsia="仿宋_GB2312" w:cs="Times New Roman"/>
          <w:sz w:val="32"/>
          <w:szCs w:val="32"/>
          <w:highlight w:val="none"/>
          <w:lang w:val="en-US" w:eastAsia="zh-CN"/>
        </w:rPr>
        <w:t>本年度有</w:t>
      </w:r>
      <w:r>
        <w:rPr>
          <w:rFonts w:hint="eastAsia" w:ascii="仿宋_GB2312" w:eastAsia="仿宋_GB2312" w:cs="Times New Roman"/>
          <w:sz w:val="32"/>
          <w:szCs w:val="32"/>
          <w:highlight w:val="none"/>
          <w:lang w:val="en-US" w:eastAsia="zh-CN"/>
        </w:rPr>
        <w:t>1名事业在编</w:t>
      </w:r>
      <w:r>
        <w:rPr>
          <w:rFonts w:hint="eastAsia" w:ascii="仿宋_GB2312" w:hAnsi="Times New Roman" w:eastAsia="仿宋_GB2312" w:cs="Times New Roman"/>
          <w:sz w:val="32"/>
          <w:szCs w:val="32"/>
          <w:highlight w:val="none"/>
          <w:lang w:val="en-US" w:eastAsia="zh-CN"/>
        </w:rPr>
        <w:t>人员辞职，</w:t>
      </w:r>
      <w:r>
        <w:rPr>
          <w:rFonts w:hint="eastAsia" w:ascii="仿宋_GB2312" w:eastAsia="仿宋_GB2312" w:cs="Times New Roman"/>
          <w:sz w:val="32"/>
          <w:szCs w:val="32"/>
          <w:highlight w:val="none"/>
          <w:lang w:val="en-US" w:eastAsia="zh-CN"/>
        </w:rPr>
        <w:t>2023年为民办实事</w:t>
      </w:r>
      <w:r>
        <w:rPr>
          <w:rFonts w:hint="eastAsia" w:ascii="仿宋_GB2312" w:hAnsi="Times New Roman" w:eastAsia="仿宋_GB2312" w:cs="Times New Roman"/>
          <w:sz w:val="32"/>
          <w:szCs w:val="32"/>
          <w:highlight w:val="none"/>
          <w:lang w:val="en-US" w:eastAsia="zh-CN"/>
        </w:rPr>
        <w:t>项目未实施完。</w:t>
      </w:r>
    </w:p>
    <w:p>
      <w:pPr>
        <w:ind w:firstLine="640" w:firstLineChars="200"/>
        <w:jc w:val="left"/>
        <w:outlineLvl w:val="1"/>
        <w:rPr>
          <w:rFonts w:ascii="黑体" w:hAnsi="黑体" w:eastAsia="黑体" w:cs="宋体"/>
          <w:bCs/>
          <w:kern w:val="0"/>
          <w:sz w:val="32"/>
          <w:szCs w:val="32"/>
          <w:highlight w:val="none"/>
        </w:rPr>
      </w:pPr>
      <w:bookmarkStart w:id="16" w:name="_Toc13833"/>
      <w:bookmarkStart w:id="17" w:name="_Toc20360"/>
      <w:r>
        <w:rPr>
          <w:rFonts w:hint="eastAsia" w:ascii="黑体" w:hAnsi="黑体" w:eastAsia="黑体" w:cs="宋体"/>
          <w:bCs/>
          <w:kern w:val="0"/>
          <w:sz w:val="32"/>
          <w:szCs w:val="32"/>
          <w:highlight w:val="none"/>
        </w:rPr>
        <w:t>五、一般公共预算财政拨款支出决算情况说明</w:t>
      </w:r>
      <w:bookmarkEnd w:id="16"/>
      <w:bookmarkEnd w:id="17"/>
    </w:p>
    <w:p>
      <w:p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（一）一般公共预算财政拨款支出决算总体情况</w:t>
      </w:r>
    </w:p>
    <w:p>
      <w:pPr>
        <w:ind w:firstLine="640" w:firstLineChars="200"/>
        <w:jc w:val="left"/>
        <w:rPr>
          <w:rFonts w:hint="default" w:ascii="仿宋_GB2312" w:eastAsia="仿宋_GB2312"/>
          <w:sz w:val="32"/>
          <w:szCs w:val="32"/>
          <w:highlight w:val="none"/>
          <w:lang w:val="en-US"/>
        </w:rPr>
      </w:pPr>
      <w:r>
        <w:rPr>
          <w:rFonts w:hint="eastAsia" w:ascii="仿宋_GB2312" w:eastAsia="仿宋_GB2312"/>
          <w:sz w:val="32"/>
          <w:szCs w:val="32"/>
          <w:highlight w:val="none"/>
        </w:rPr>
        <w:t>2023年度一般公共预算财政拨款支出889.21万元，占本年支出合计的</w:t>
      </w:r>
      <w:r>
        <w:rPr>
          <w:rFonts w:hint="eastAsia" w:ascii="仿宋_GB2312" w:eastAsia="仿宋_GB2312"/>
          <w:sz w:val="32"/>
          <w:szCs w:val="32"/>
          <w:highlight w:val="none"/>
          <w:lang w:val="zh-CN"/>
        </w:rPr>
        <w:t>100.00%</w:t>
      </w:r>
      <w:r>
        <w:rPr>
          <w:rFonts w:hint="eastAsia" w:ascii="仿宋_GB2312" w:eastAsia="仿宋_GB2312"/>
          <w:sz w:val="32"/>
          <w:szCs w:val="32"/>
          <w:highlight w:val="none"/>
        </w:rPr>
        <w:t>。与上年相比，</w:t>
      </w:r>
      <w:r>
        <w:rPr>
          <w:rFonts w:hint="eastAsia" w:ascii="仿宋_GB2312" w:eastAsia="仿宋_GB2312"/>
          <w:sz w:val="32"/>
          <w:szCs w:val="32"/>
          <w:highlight w:val="none"/>
          <w:lang w:val="zh-CN"/>
        </w:rPr>
        <w:t>增加173.69万元</w:t>
      </w:r>
      <w:r>
        <w:rPr>
          <w:rFonts w:hint="eastAsia" w:ascii="仿宋_GB2312" w:eastAsia="仿宋_GB2312"/>
          <w:sz w:val="32"/>
          <w:szCs w:val="32"/>
          <w:highlight w:val="none"/>
        </w:rPr>
        <w:t>，增长24.27%,主要原因是：</w:t>
      </w:r>
      <w:r>
        <w:rPr>
          <w:rFonts w:hint="eastAsia" w:ascii="仿宋_GB2312" w:eastAsia="仿宋_GB2312"/>
          <w:sz w:val="32"/>
          <w:szCs w:val="32"/>
          <w:highlight w:val="none"/>
          <w:lang w:val="en-US" w:eastAsia="zh-CN"/>
        </w:rPr>
        <w:t>本年度</w:t>
      </w:r>
      <w:r>
        <w:rPr>
          <w:rFonts w:hint="eastAsia" w:ascii="仿宋_GB2312" w:eastAsia="仿宋_GB2312" w:cs="Times New Roman"/>
          <w:sz w:val="32"/>
          <w:szCs w:val="32"/>
          <w:highlight w:val="none"/>
          <w:lang w:val="en-US" w:eastAsia="zh-CN"/>
        </w:rPr>
        <w:t>在职人员基础绩效奖及工资</w:t>
      </w:r>
      <w:r>
        <w:rPr>
          <w:rFonts w:hint="eastAsia" w:ascii="仿宋_GB2312" w:hAnsi="仿宋" w:eastAsia="仿宋_GB2312" w:cs="Times New Roman"/>
          <w:spacing w:val="0"/>
          <w:kern w:val="2"/>
          <w:sz w:val="32"/>
          <w:szCs w:val="32"/>
          <w:highlight w:val="none"/>
        </w:rPr>
        <w:t>调增，社保及公积金缴费基数调增，</w:t>
      </w:r>
      <w:r>
        <w:rPr>
          <w:rFonts w:hint="eastAsia" w:ascii="仿宋_GB2312" w:hAnsi="仿宋" w:eastAsia="仿宋_GB2312" w:cs="Times New Roman"/>
          <w:spacing w:val="0"/>
          <w:kern w:val="2"/>
          <w:sz w:val="32"/>
          <w:szCs w:val="32"/>
          <w:highlight w:val="none"/>
          <w:lang w:val="en-US" w:eastAsia="zh-CN"/>
        </w:rPr>
        <w:t>本年项目较上年增多，其中金额较大的是支付融媒体中心设备资金欠款119.20万元。</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947.74</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889.21</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zh-CN"/>
        </w:rPr>
        <w:t>-6.18%</w:t>
      </w:r>
      <w:r>
        <w:rPr>
          <w:rFonts w:hint="eastAsia" w:ascii="仿宋_GB2312" w:eastAsia="仿宋_GB2312"/>
          <w:sz w:val="32"/>
          <w:szCs w:val="32"/>
          <w:highlight w:val="none"/>
        </w:rPr>
        <w:t>，主要原因是：</w:t>
      </w:r>
      <w:r>
        <w:rPr>
          <w:rFonts w:hint="eastAsia" w:ascii="仿宋_GB2312" w:hAnsi="Times New Roman" w:eastAsia="仿宋_GB2312" w:cs="Times New Roman"/>
          <w:sz w:val="32"/>
          <w:szCs w:val="32"/>
          <w:highlight w:val="none"/>
          <w:lang w:val="en-US" w:eastAsia="zh-CN"/>
        </w:rPr>
        <w:t>本年度有</w:t>
      </w:r>
      <w:r>
        <w:rPr>
          <w:rFonts w:hint="eastAsia" w:ascii="仿宋_GB2312" w:eastAsia="仿宋_GB2312" w:cs="Times New Roman"/>
          <w:sz w:val="32"/>
          <w:szCs w:val="32"/>
          <w:highlight w:val="none"/>
          <w:lang w:val="en-US" w:eastAsia="zh-CN"/>
        </w:rPr>
        <w:t>事业在编</w:t>
      </w:r>
      <w:r>
        <w:rPr>
          <w:rFonts w:hint="eastAsia" w:ascii="仿宋_GB2312" w:hAnsi="Times New Roman" w:eastAsia="仿宋_GB2312" w:cs="Times New Roman"/>
          <w:sz w:val="32"/>
          <w:szCs w:val="32"/>
          <w:highlight w:val="none"/>
          <w:lang w:val="en-US" w:eastAsia="zh-CN"/>
        </w:rPr>
        <w:t>人员辞职，</w:t>
      </w:r>
      <w:r>
        <w:rPr>
          <w:rFonts w:hint="eastAsia" w:ascii="仿宋_GB2312" w:eastAsia="仿宋_GB2312" w:cs="Times New Roman"/>
          <w:sz w:val="32"/>
          <w:szCs w:val="32"/>
          <w:highlight w:val="none"/>
          <w:lang w:val="en-US" w:eastAsia="zh-CN"/>
        </w:rPr>
        <w:t>2023年为民办实事</w:t>
      </w:r>
      <w:r>
        <w:rPr>
          <w:rFonts w:hint="eastAsia" w:ascii="仿宋_GB2312" w:hAnsi="Times New Roman" w:eastAsia="仿宋_GB2312" w:cs="Times New Roman"/>
          <w:sz w:val="32"/>
          <w:szCs w:val="32"/>
          <w:highlight w:val="none"/>
          <w:lang w:val="en-US" w:eastAsia="zh-CN"/>
        </w:rPr>
        <w:t>项目未实施完。</w:t>
      </w:r>
    </w:p>
    <w:p>
      <w:pPr>
        <w:numPr>
          <w:ilvl w:val="0"/>
          <w:numId w:val="1"/>
        </w:num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highlight w:val="none"/>
          <w:lang w:val="zh-CN" w:bidi="ar-SA"/>
        </w:rPr>
      </w:pPr>
      <w:r>
        <w:rPr>
          <w:rFonts w:ascii="仿宋_GB2312" w:eastAsia="仿宋_GB2312"/>
          <w:kern w:val="2"/>
          <w:sz w:val="32"/>
          <w:szCs w:val="32"/>
          <w:highlight w:val="none"/>
          <w:lang w:val="zh-CN" w:bidi="ar-SA"/>
        </w:rPr>
        <w:t>文化旅游体育与传媒</w:t>
      </w:r>
      <w:r>
        <w:rPr>
          <w:rFonts w:hint="eastAsia" w:ascii="仿宋_GB2312" w:eastAsia="仿宋_GB2312"/>
          <w:kern w:val="2"/>
          <w:sz w:val="32"/>
          <w:szCs w:val="32"/>
          <w:highlight w:val="none"/>
          <w:lang w:val="en-US" w:eastAsia="zh-CN" w:bidi="ar-SA"/>
        </w:rPr>
        <w:t>支出</w:t>
      </w:r>
      <w:r>
        <w:rPr>
          <w:rFonts w:hint="eastAsia" w:ascii="仿宋_GB2312" w:eastAsia="仿宋_GB2312"/>
          <w:kern w:val="2"/>
          <w:sz w:val="32"/>
          <w:szCs w:val="32"/>
          <w:highlight w:val="none"/>
          <w:lang w:val="zh-CN" w:bidi="ar-SA"/>
        </w:rPr>
        <w:t>726.61</w:t>
      </w:r>
      <w:r>
        <w:rPr>
          <w:rFonts w:ascii="仿宋_GB2312" w:eastAsia="仿宋_GB2312"/>
          <w:kern w:val="2"/>
          <w:sz w:val="32"/>
          <w:szCs w:val="32"/>
          <w:highlight w:val="none"/>
          <w:lang w:val="zh-CN" w:bidi="ar-SA"/>
        </w:rPr>
        <w:t>万元，占</w:t>
      </w:r>
      <w:r>
        <w:rPr>
          <w:rFonts w:hint="eastAsia" w:ascii="仿宋_GB2312" w:eastAsia="仿宋_GB2312"/>
          <w:kern w:val="2"/>
          <w:sz w:val="32"/>
          <w:szCs w:val="32"/>
          <w:highlight w:val="none"/>
          <w:lang w:val="zh-CN" w:bidi="ar-SA"/>
        </w:rPr>
        <w:t>81.71%</w:t>
      </w:r>
      <w:r>
        <w:rPr>
          <w:rFonts w:ascii="仿宋_GB2312" w:eastAsia="仿宋_GB2312"/>
          <w:kern w:val="2"/>
          <w:sz w:val="32"/>
          <w:szCs w:val="32"/>
          <w:highlight w:val="none"/>
          <w:lang w:val="zh-CN" w:bidi="ar-SA"/>
        </w:rPr>
        <w:t>；</w:t>
      </w:r>
    </w:p>
    <w:p>
      <w:pPr>
        <w:pStyle w:val="9"/>
        <w:widowControl/>
        <w:spacing w:before="0" w:beforeAutospacing="0" w:after="0" w:afterAutospacing="0"/>
        <w:ind w:firstLine="640" w:firstLineChars="200"/>
        <w:rPr>
          <w:rFonts w:ascii="仿宋_GB2312" w:eastAsia="仿宋_GB2312"/>
          <w:kern w:val="2"/>
          <w:sz w:val="32"/>
          <w:szCs w:val="32"/>
          <w:highlight w:val="none"/>
          <w:lang w:val="zh-CN" w:bidi="ar-SA"/>
        </w:rPr>
      </w:pPr>
      <w:r>
        <w:rPr>
          <w:rFonts w:ascii="仿宋_GB2312" w:eastAsia="仿宋_GB2312"/>
          <w:kern w:val="2"/>
          <w:sz w:val="32"/>
          <w:szCs w:val="32"/>
          <w:highlight w:val="none"/>
          <w:lang w:val="zh-CN" w:bidi="ar-SA"/>
        </w:rPr>
        <w:t>社会保障和就业支出</w:t>
      </w:r>
      <w:r>
        <w:rPr>
          <w:rFonts w:hint="eastAsia" w:ascii="仿宋_GB2312" w:eastAsia="仿宋_GB2312"/>
          <w:kern w:val="2"/>
          <w:sz w:val="32"/>
          <w:szCs w:val="32"/>
          <w:highlight w:val="none"/>
          <w:lang w:val="zh-CN" w:bidi="ar-SA"/>
        </w:rPr>
        <w:t>77.21</w:t>
      </w:r>
      <w:r>
        <w:rPr>
          <w:rFonts w:ascii="仿宋_GB2312" w:eastAsia="仿宋_GB2312"/>
          <w:kern w:val="2"/>
          <w:sz w:val="32"/>
          <w:szCs w:val="32"/>
          <w:highlight w:val="none"/>
          <w:lang w:val="zh-CN" w:bidi="ar-SA"/>
        </w:rPr>
        <w:t>万元，占</w:t>
      </w:r>
      <w:r>
        <w:rPr>
          <w:rFonts w:hint="eastAsia" w:ascii="仿宋_GB2312" w:eastAsia="仿宋_GB2312"/>
          <w:kern w:val="2"/>
          <w:sz w:val="32"/>
          <w:szCs w:val="32"/>
          <w:highlight w:val="none"/>
          <w:lang w:val="zh-CN" w:bidi="ar-SA"/>
        </w:rPr>
        <w:t>8.68%</w:t>
      </w:r>
      <w:r>
        <w:rPr>
          <w:rFonts w:ascii="仿宋_GB2312" w:eastAsia="仿宋_GB2312"/>
          <w:kern w:val="2"/>
          <w:sz w:val="32"/>
          <w:szCs w:val="32"/>
          <w:highlight w:val="none"/>
          <w:lang w:val="zh-CN" w:bidi="ar-SA"/>
        </w:rPr>
        <w:t>；</w:t>
      </w:r>
    </w:p>
    <w:p>
      <w:pPr>
        <w:pStyle w:val="9"/>
        <w:widowControl/>
        <w:spacing w:before="0" w:beforeAutospacing="0" w:after="0" w:afterAutospacing="0"/>
        <w:ind w:firstLine="640" w:firstLineChars="200"/>
        <w:rPr>
          <w:rFonts w:ascii="仿宋_GB2312" w:eastAsia="仿宋_GB2312"/>
          <w:kern w:val="2"/>
          <w:sz w:val="32"/>
          <w:szCs w:val="32"/>
          <w:highlight w:val="none"/>
          <w:lang w:val="zh-CN" w:bidi="ar-SA"/>
        </w:rPr>
      </w:pPr>
      <w:r>
        <w:rPr>
          <w:rFonts w:ascii="仿宋_GB2312" w:eastAsia="仿宋_GB2312"/>
          <w:kern w:val="2"/>
          <w:sz w:val="32"/>
          <w:szCs w:val="32"/>
          <w:highlight w:val="none"/>
          <w:lang w:val="zh-CN" w:bidi="ar-SA"/>
        </w:rPr>
        <w:t>卫生健康</w:t>
      </w:r>
      <w:r>
        <w:rPr>
          <w:rFonts w:hint="eastAsia" w:ascii="仿宋_GB2312" w:eastAsia="仿宋_GB2312"/>
          <w:kern w:val="2"/>
          <w:sz w:val="32"/>
          <w:szCs w:val="32"/>
          <w:highlight w:val="none"/>
          <w:lang w:val="en-US" w:eastAsia="zh-CN" w:bidi="ar-SA"/>
        </w:rPr>
        <w:t>支出</w:t>
      </w:r>
      <w:r>
        <w:rPr>
          <w:rFonts w:hint="eastAsia" w:ascii="仿宋_GB2312" w:eastAsia="仿宋_GB2312"/>
          <w:kern w:val="2"/>
          <w:sz w:val="32"/>
          <w:szCs w:val="32"/>
          <w:highlight w:val="none"/>
          <w:lang w:val="zh-CN" w:bidi="ar-SA"/>
        </w:rPr>
        <w:t>24.73</w:t>
      </w:r>
      <w:r>
        <w:rPr>
          <w:rFonts w:ascii="仿宋_GB2312" w:eastAsia="仿宋_GB2312"/>
          <w:kern w:val="2"/>
          <w:sz w:val="32"/>
          <w:szCs w:val="32"/>
          <w:highlight w:val="none"/>
          <w:lang w:val="zh-CN" w:bidi="ar-SA"/>
        </w:rPr>
        <w:t>万元，占</w:t>
      </w:r>
      <w:r>
        <w:rPr>
          <w:rFonts w:hint="eastAsia" w:ascii="仿宋_GB2312" w:eastAsia="仿宋_GB2312"/>
          <w:kern w:val="2"/>
          <w:sz w:val="32"/>
          <w:szCs w:val="32"/>
          <w:highlight w:val="none"/>
          <w:lang w:val="zh-CN" w:bidi="ar-SA"/>
        </w:rPr>
        <w:t>2.78%</w:t>
      </w:r>
      <w:r>
        <w:rPr>
          <w:rFonts w:ascii="仿宋_GB2312" w:eastAsia="仿宋_GB2312"/>
          <w:kern w:val="2"/>
          <w:sz w:val="32"/>
          <w:szCs w:val="32"/>
          <w:highlight w:val="none"/>
          <w:lang w:val="zh-CN" w:bidi="ar-SA"/>
        </w:rPr>
        <w:t>；</w:t>
      </w:r>
    </w:p>
    <w:p>
      <w:pPr>
        <w:pStyle w:val="9"/>
        <w:widowControl/>
        <w:spacing w:before="0" w:beforeAutospacing="0" w:after="0" w:afterAutospacing="0"/>
        <w:ind w:firstLine="640" w:firstLineChars="200"/>
        <w:rPr>
          <w:rFonts w:ascii="仿宋_GB2312" w:eastAsia="仿宋_GB2312"/>
          <w:kern w:val="2"/>
          <w:sz w:val="32"/>
          <w:szCs w:val="32"/>
          <w:highlight w:val="none"/>
          <w:lang w:val="zh-CN" w:bidi="ar-SA"/>
        </w:rPr>
      </w:pPr>
      <w:r>
        <w:rPr>
          <w:rFonts w:ascii="仿宋_GB2312" w:eastAsia="仿宋_GB2312"/>
          <w:kern w:val="2"/>
          <w:sz w:val="32"/>
          <w:szCs w:val="32"/>
          <w:highlight w:val="none"/>
          <w:lang w:val="zh-CN" w:bidi="ar-SA"/>
        </w:rPr>
        <w:t>住房保障</w:t>
      </w:r>
      <w:r>
        <w:rPr>
          <w:rFonts w:hint="eastAsia" w:ascii="仿宋_GB2312" w:eastAsia="仿宋_GB2312"/>
          <w:kern w:val="2"/>
          <w:sz w:val="32"/>
          <w:szCs w:val="32"/>
          <w:highlight w:val="none"/>
          <w:lang w:val="en-US" w:eastAsia="zh-CN" w:bidi="ar-SA"/>
        </w:rPr>
        <w:t>支出</w:t>
      </w:r>
      <w:r>
        <w:rPr>
          <w:rFonts w:hint="eastAsia" w:ascii="仿宋_GB2312" w:eastAsia="仿宋_GB2312"/>
          <w:kern w:val="2"/>
          <w:sz w:val="32"/>
          <w:szCs w:val="32"/>
          <w:highlight w:val="none"/>
          <w:lang w:val="zh-CN" w:bidi="ar-SA"/>
        </w:rPr>
        <w:t>45.62</w:t>
      </w:r>
      <w:r>
        <w:rPr>
          <w:rFonts w:ascii="仿宋_GB2312" w:eastAsia="仿宋_GB2312"/>
          <w:kern w:val="2"/>
          <w:sz w:val="32"/>
          <w:szCs w:val="32"/>
          <w:highlight w:val="none"/>
          <w:lang w:val="zh-CN" w:bidi="ar-SA"/>
        </w:rPr>
        <w:t>万元，占</w:t>
      </w:r>
      <w:r>
        <w:rPr>
          <w:rFonts w:hint="eastAsia" w:ascii="仿宋_GB2312" w:eastAsia="仿宋_GB2312"/>
          <w:kern w:val="2"/>
          <w:sz w:val="32"/>
          <w:szCs w:val="32"/>
          <w:highlight w:val="none"/>
          <w:lang w:val="zh-CN" w:bidi="ar-SA"/>
        </w:rPr>
        <w:t>5.13%</w:t>
      </w:r>
      <w:r>
        <w:rPr>
          <w:rFonts w:ascii="仿宋_GB2312" w:eastAsia="仿宋_GB2312"/>
          <w:kern w:val="2"/>
          <w:sz w:val="32"/>
          <w:szCs w:val="32"/>
          <w:highlight w:val="none"/>
          <w:lang w:val="zh-CN" w:bidi="ar-SA"/>
        </w:rPr>
        <w:t>；</w:t>
      </w:r>
    </w:p>
    <w:p>
      <w:pPr>
        <w:pStyle w:val="9"/>
        <w:widowControl/>
        <w:spacing w:before="0" w:beforeAutospacing="0" w:after="0" w:afterAutospacing="0"/>
        <w:ind w:firstLine="640" w:firstLineChars="200"/>
        <w:rPr>
          <w:rFonts w:ascii="仿宋_GB2312" w:eastAsia="仿宋_GB2312"/>
          <w:kern w:val="2"/>
          <w:sz w:val="32"/>
          <w:szCs w:val="32"/>
          <w:highlight w:val="none"/>
          <w:lang w:val="zh-CN" w:bidi="ar-SA"/>
        </w:rPr>
      </w:pPr>
      <w:r>
        <w:rPr>
          <w:rFonts w:ascii="仿宋_GB2312" w:eastAsia="仿宋_GB2312"/>
          <w:kern w:val="2"/>
          <w:sz w:val="32"/>
          <w:szCs w:val="32"/>
          <w:highlight w:val="none"/>
          <w:lang w:val="zh-CN" w:bidi="ar-SA"/>
        </w:rPr>
        <w:t>其他支出</w:t>
      </w:r>
      <w:r>
        <w:rPr>
          <w:rFonts w:hint="eastAsia" w:ascii="仿宋_GB2312" w:eastAsia="仿宋_GB2312"/>
          <w:kern w:val="2"/>
          <w:sz w:val="32"/>
          <w:szCs w:val="32"/>
          <w:highlight w:val="none"/>
          <w:lang w:val="zh-CN" w:bidi="ar-SA"/>
        </w:rPr>
        <w:t>15.03</w:t>
      </w:r>
      <w:r>
        <w:rPr>
          <w:rFonts w:ascii="仿宋_GB2312" w:eastAsia="仿宋_GB2312"/>
          <w:kern w:val="2"/>
          <w:sz w:val="32"/>
          <w:szCs w:val="32"/>
          <w:highlight w:val="none"/>
          <w:lang w:val="zh-CN" w:bidi="ar-SA"/>
        </w:rPr>
        <w:t>万元，占</w:t>
      </w:r>
      <w:r>
        <w:rPr>
          <w:rFonts w:hint="eastAsia" w:ascii="仿宋_GB2312" w:eastAsia="仿宋_GB2312"/>
          <w:kern w:val="2"/>
          <w:sz w:val="32"/>
          <w:szCs w:val="32"/>
          <w:highlight w:val="none"/>
          <w:lang w:val="zh-CN" w:bidi="ar-SA"/>
        </w:rPr>
        <w:t>1.69%</w:t>
      </w:r>
      <w:r>
        <w:rPr>
          <w:rFonts w:ascii="仿宋_GB2312" w:eastAsia="仿宋_GB2312"/>
          <w:kern w:val="2"/>
          <w:sz w:val="32"/>
          <w:szCs w:val="32"/>
          <w:highlight w:val="none"/>
          <w:lang w:val="zh-CN" w:bidi="ar-SA"/>
        </w:rPr>
        <w:t>；</w:t>
      </w:r>
    </w:p>
    <w:p>
      <w:p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（三）一般公共预算财政拨款支出决算具体情况</w:t>
      </w:r>
    </w:p>
    <w:p>
      <w:pPr>
        <w:ind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sz w:val="32"/>
          <w:szCs w:val="32"/>
          <w:highlight w:val="none"/>
        </w:rPr>
        <w:t>1.卫生健康支出（类）行政事业单位医疗（款）事业单位医疗（项）:支出决算数为24.73万元，比上年决算减少12.12万元，下降32.89%，主要原因是：</w:t>
      </w:r>
      <w:r>
        <w:rPr>
          <w:rFonts w:hint="eastAsia" w:ascii="仿宋_GB2312" w:hAnsi="仿宋_GB2312" w:eastAsia="仿宋_GB2312" w:cs="仿宋_GB2312"/>
          <w:color w:val="auto"/>
          <w:sz w:val="32"/>
          <w:szCs w:val="32"/>
          <w:highlight w:val="none"/>
          <w:lang w:val="en-US" w:eastAsia="zh-CN"/>
        </w:rPr>
        <w:t>本年度</w:t>
      </w:r>
      <w:r>
        <w:rPr>
          <w:rFonts w:hint="eastAsia" w:ascii="仿宋_GB2312" w:hAnsi="Times New Roman" w:eastAsia="仿宋_GB2312" w:cs="Times New Roman"/>
          <w:color w:val="auto"/>
          <w:sz w:val="32"/>
          <w:szCs w:val="32"/>
          <w:highlight w:val="none"/>
          <w:lang w:val="en-US" w:eastAsia="zh-CN"/>
        </w:rPr>
        <w:t>有人员辞职</w:t>
      </w:r>
      <w:r>
        <w:rPr>
          <w:rFonts w:hint="eastAsia" w:ascii="仿宋_GB2312" w:hAnsi="仿宋_GB2312" w:eastAsia="仿宋_GB2312" w:cs="仿宋_GB2312"/>
          <w:color w:val="auto"/>
          <w:sz w:val="32"/>
          <w:szCs w:val="32"/>
          <w:highlight w:val="none"/>
          <w:lang w:val="en-US" w:eastAsia="zh-CN"/>
        </w:rPr>
        <w:t>，退休医疗在年底对1-11月缴费进行了退票处理，所以事业</w:t>
      </w:r>
      <w:r>
        <w:rPr>
          <w:rFonts w:hint="eastAsia" w:ascii="仿宋_GB2312" w:hAnsi="仿宋_GB2312" w:eastAsia="仿宋_GB2312" w:cs="仿宋_GB2312"/>
          <w:color w:val="auto"/>
          <w:sz w:val="32"/>
          <w:szCs w:val="32"/>
          <w:highlight w:val="none"/>
        </w:rPr>
        <w:t>单位医疗</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rPr>
        <w:t>。</w:t>
      </w:r>
    </w:p>
    <w:p>
      <w:pPr>
        <w:ind w:firstLine="640" w:firstLineChars="200"/>
        <w:jc w:val="left"/>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2.文化旅游体育与传媒支出（类）广播电视（款）广播电视事务（项）:支出决算数为726.61万元，比上年决算增加171.01万元，增长30.78%，主要原因是：</w:t>
      </w:r>
      <w:r>
        <w:rPr>
          <w:rFonts w:hint="eastAsia" w:ascii="仿宋_GB2312" w:hAnsi="仿宋_GB2312" w:eastAsia="仿宋_GB2312" w:cs="仿宋_GB2312"/>
          <w:sz w:val="32"/>
          <w:szCs w:val="32"/>
          <w:highlight w:val="none"/>
          <w:lang w:val="en-US" w:eastAsia="zh-CN"/>
        </w:rPr>
        <w:t>本</w:t>
      </w:r>
      <w:r>
        <w:rPr>
          <w:rFonts w:hint="eastAsia" w:ascii="仿宋_GB2312" w:eastAsia="仿宋_GB2312"/>
          <w:sz w:val="32"/>
          <w:szCs w:val="32"/>
          <w:highlight w:val="none"/>
          <w:lang w:val="en-US" w:eastAsia="zh-CN"/>
        </w:rPr>
        <w:t>年度调入事业</w:t>
      </w:r>
      <w:r>
        <w:rPr>
          <w:rFonts w:hint="eastAsia" w:ascii="仿宋_GB2312" w:hAnsi="Times New Roman" w:eastAsia="仿宋_GB2312" w:cs="Times New Roman"/>
          <w:sz w:val="32"/>
          <w:szCs w:val="32"/>
          <w:highlight w:val="none"/>
        </w:rPr>
        <w:t>在职人员</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在职人员基础绩效奖及工资</w:t>
      </w:r>
      <w:r>
        <w:rPr>
          <w:rFonts w:hint="eastAsia" w:ascii="仿宋_GB2312" w:hAnsi="仿宋" w:eastAsia="仿宋_GB2312" w:cs="Times New Roman"/>
          <w:spacing w:val="0"/>
          <w:kern w:val="2"/>
          <w:sz w:val="32"/>
          <w:szCs w:val="32"/>
          <w:highlight w:val="none"/>
        </w:rPr>
        <w:t>调增，社保及公积金缴费基数调增，</w:t>
      </w:r>
      <w:r>
        <w:rPr>
          <w:rFonts w:hint="eastAsia" w:ascii="仿宋_GB2312" w:hAnsi="仿宋" w:eastAsia="仿宋_GB2312" w:cs="Times New Roman"/>
          <w:spacing w:val="0"/>
          <w:kern w:val="2"/>
          <w:sz w:val="32"/>
          <w:szCs w:val="32"/>
          <w:highlight w:val="none"/>
          <w:lang w:val="en-US" w:eastAsia="zh-CN"/>
        </w:rPr>
        <w:t>本年项目较上年增多，其中金额较大的是支付融媒体中心设备资金欠款119.20万元，</w:t>
      </w:r>
      <w:r>
        <w:rPr>
          <w:rFonts w:hint="eastAsia" w:ascii="仿宋_GB2312" w:hAnsi="Times New Roman" w:eastAsia="仿宋_GB2312" w:cs="Times New Roman"/>
          <w:sz w:val="32"/>
          <w:szCs w:val="32"/>
          <w:highlight w:val="none"/>
          <w:lang w:val="en-US" w:eastAsia="zh-CN"/>
        </w:rPr>
        <w:t>故</w:t>
      </w:r>
      <w:r>
        <w:rPr>
          <w:rFonts w:hint="eastAsia" w:ascii="仿宋_GB2312" w:hAnsi="仿宋_GB2312" w:eastAsia="仿宋_GB2312" w:cs="仿宋_GB2312"/>
          <w:sz w:val="32"/>
          <w:szCs w:val="32"/>
          <w:highlight w:val="none"/>
        </w:rPr>
        <w:t>文化旅游体育与传媒支出</w:t>
      </w:r>
      <w:r>
        <w:rPr>
          <w:rFonts w:hint="eastAsia" w:ascii="仿宋_GB2312" w:hAnsi="仿宋_GB2312" w:eastAsia="仿宋_GB2312" w:cs="仿宋_GB2312"/>
          <w:sz w:val="32"/>
          <w:szCs w:val="32"/>
          <w:highlight w:val="none"/>
          <w:lang w:val="en-US" w:eastAsia="zh-CN"/>
        </w:rPr>
        <w:t>增加</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住房保障支出（类）住房改革支出（款）住房公积金（项）:支出决算数为45.62万元，比上年决算增加4.46万元，增长10.84%，主要原因是：</w:t>
      </w:r>
      <w:r>
        <w:rPr>
          <w:rFonts w:hint="eastAsia" w:ascii="仿宋_GB2312" w:hAnsi="仿宋_GB2312" w:eastAsia="仿宋_GB2312" w:cs="仿宋_GB2312"/>
          <w:sz w:val="32"/>
          <w:szCs w:val="32"/>
          <w:highlight w:val="none"/>
          <w:lang w:val="en-US" w:eastAsia="zh-CN"/>
        </w:rPr>
        <w:t>本年度人员基础工资调整增加对应住房公积金基数调整增加，故住房公积金支出增加</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4.社会保障和就业支出（类）行政事业单位养老支出（款）事业单位离退休（项）:支出决算数为15.89万元，比上年决算增加3.72万元，增长30.57%，主要原因是：</w:t>
      </w:r>
      <w:r>
        <w:rPr>
          <w:rFonts w:hint="eastAsia" w:ascii="仿宋_GB2312" w:hAnsi="仿宋_GB2312" w:eastAsia="仿宋_GB2312" w:cs="仿宋_GB2312"/>
          <w:sz w:val="32"/>
          <w:szCs w:val="32"/>
          <w:highlight w:val="none"/>
          <w:lang w:val="en-US" w:eastAsia="zh-CN"/>
        </w:rPr>
        <w:t>本年度人员基础工资调整增加养老保险基数调整增加，故养老保险支出增加</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5.社会保障和就业支出（类）行政事业单位养老支出（款）机关事业单位职业年金缴费支出（项）:支出决算数为3.39万元，比上年决算增加3.39万元，增长100%，主要原因是：</w:t>
      </w:r>
      <w:r>
        <w:rPr>
          <w:rFonts w:hint="eastAsia" w:ascii="仿宋_GB2312" w:hAnsi="仿宋_GB2312" w:eastAsia="仿宋_GB2312" w:cs="仿宋_GB2312"/>
          <w:sz w:val="32"/>
          <w:szCs w:val="32"/>
          <w:highlight w:val="none"/>
          <w:lang w:val="en-US" w:eastAsia="zh-CN"/>
        </w:rPr>
        <w:t>本年度</w:t>
      </w:r>
      <w:r>
        <w:rPr>
          <w:rFonts w:hint="eastAsia" w:ascii="仿宋_GB2312" w:hAnsi="Times New Roman" w:eastAsia="仿宋_GB2312" w:cs="Times New Roman"/>
          <w:sz w:val="32"/>
          <w:szCs w:val="32"/>
          <w:highlight w:val="none"/>
          <w:lang w:val="en-US" w:eastAsia="zh-CN"/>
        </w:rPr>
        <w:t>有人员辞职，进行了职业年金缴费，故事业</w:t>
      </w:r>
      <w:r>
        <w:rPr>
          <w:rFonts w:hint="eastAsia" w:ascii="仿宋_GB2312" w:hAnsi="仿宋_GB2312" w:eastAsia="仿宋_GB2312" w:cs="仿宋_GB2312"/>
          <w:sz w:val="32"/>
          <w:szCs w:val="32"/>
          <w:highlight w:val="none"/>
        </w:rPr>
        <w:t>职业年金缴费支出</w:t>
      </w:r>
      <w:r>
        <w:rPr>
          <w:rFonts w:hint="eastAsia" w:ascii="仿宋_GB2312" w:hAnsi="仿宋_GB2312" w:eastAsia="仿宋_GB2312" w:cs="仿宋_GB2312"/>
          <w:sz w:val="32"/>
          <w:szCs w:val="32"/>
          <w:highlight w:val="none"/>
          <w:lang w:val="en-US" w:eastAsia="zh-CN"/>
        </w:rPr>
        <w:t>增加</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6.其他支出（类）其他支出（款）其他支出（项）:支出决算数为15.03万元，比上年决算减少2.04万元，下降11.95%，主要原因是：</w:t>
      </w:r>
      <w:r>
        <w:rPr>
          <w:rFonts w:hint="eastAsia" w:ascii="仿宋_GB2312" w:hAnsi="仿宋_GB2312" w:eastAsia="仿宋_GB2312" w:cs="仿宋_GB2312"/>
          <w:sz w:val="32"/>
          <w:szCs w:val="32"/>
          <w:highlight w:val="none"/>
          <w:lang w:val="en-US" w:eastAsia="zh-CN"/>
        </w:rPr>
        <w:t>本年度支付了一部分为民办实事工作经费未全部支付完，故其他支出减少</w:t>
      </w:r>
      <w:r>
        <w:rPr>
          <w:rFonts w:hint="eastAsia" w:ascii="仿宋_GB2312" w:hAnsi="仿宋_GB2312" w:eastAsia="仿宋_GB2312" w:cs="仿宋_GB2312"/>
          <w:sz w:val="32"/>
          <w:szCs w:val="32"/>
          <w:highlight w:val="none"/>
          <w:lang w:val="zh-CN"/>
        </w:rPr>
        <w:t>。</w:t>
      </w:r>
    </w:p>
    <w:p>
      <w:pPr>
        <w:ind w:firstLine="640" w:firstLineChars="200"/>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7.社会保障和就业支出（类）行政事业单位养老支出（款）机关事业单位基本养老保险缴费支出（项）:支出决算数为57.93万元，比上年决算增加12.25万元，增长26.82%，主要原因是：</w:t>
      </w:r>
      <w:r>
        <w:rPr>
          <w:rFonts w:hint="eastAsia" w:ascii="仿宋_GB2312" w:hAnsi="仿宋_GB2312" w:eastAsia="仿宋_GB2312" w:cs="仿宋_GB2312"/>
          <w:sz w:val="32"/>
          <w:szCs w:val="32"/>
          <w:highlight w:val="none"/>
          <w:lang w:val="en-US" w:eastAsia="zh-CN"/>
        </w:rPr>
        <w:t>本年度人员基础工资调整增加养老保险基数调整增加，故养老保险支出增加</w:t>
      </w:r>
      <w:r>
        <w:rPr>
          <w:rFonts w:hint="eastAsia" w:ascii="仿宋_GB2312" w:hAnsi="仿宋_GB2312" w:eastAsia="仿宋_GB2312" w:cs="仿宋_GB2312"/>
          <w:color w:val="auto"/>
          <w:sz w:val="32"/>
          <w:szCs w:val="32"/>
          <w:highlight w:val="none"/>
          <w:lang w:val="zh-CN"/>
        </w:rPr>
        <w:t>。</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8.文化旅游体育与传媒支出（类）广播电视（款）其他广播电视支出（项）:支出决算数为0.00万元，比上年决算减少7.00万元，下降100%，主要原因是：</w:t>
      </w:r>
      <w:r>
        <w:rPr>
          <w:rFonts w:hint="eastAsia" w:ascii="仿宋_GB2312" w:hAnsi="仿宋_GB2312" w:eastAsia="仿宋_GB2312" w:cs="仿宋_GB2312"/>
          <w:sz w:val="32"/>
          <w:szCs w:val="32"/>
          <w:highlight w:val="none"/>
          <w:lang w:val="en-US" w:eastAsia="zh-CN"/>
        </w:rPr>
        <w:t>上年支付专用设备购置，今年无此类支出</w:t>
      </w:r>
      <w:r>
        <w:rPr>
          <w:rFonts w:hint="eastAsia" w:ascii="仿宋_GB2312" w:hAnsi="仿宋_GB2312" w:eastAsia="仿宋_GB2312" w:cs="仿宋_GB2312"/>
          <w:sz w:val="32"/>
          <w:szCs w:val="32"/>
          <w:highlight w:val="none"/>
          <w:lang w:val="zh-CN"/>
        </w:rPr>
        <w:t>。</w:t>
      </w:r>
    </w:p>
    <w:p>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六、一般公共预算财政拨款基本支出决算情况说明</w:t>
      </w:r>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一般公共预算财政拨款基本支出738.98万元，其中：人员经费704.77万元，包括：基本工资、津贴补贴、奖金、绩效工资、机关事业单位基本养老保险缴费、职业年金缴费、职工基本医疗保险缴费、其他社会保障缴费、住房公积金、其他工资福利支出、退休费、其他对个人和家庭的补助。</w:t>
      </w:r>
    </w:p>
    <w:p>
      <w:pPr>
        <w:ind w:firstLine="640" w:firstLineChars="200"/>
        <w:jc w:val="left"/>
        <w:rPr>
          <w:rFonts w:ascii="仿宋_GB2312" w:hAnsi="宋体" w:eastAsia="仿宋_GB2312" w:cs="宋体"/>
          <w:kern w:val="0"/>
          <w:sz w:val="32"/>
          <w:szCs w:val="32"/>
          <w:highlight w:val="none"/>
        </w:rPr>
      </w:pPr>
      <w:r>
        <w:rPr>
          <w:rFonts w:hint="eastAsia" w:ascii="仿宋_GB2312" w:eastAsia="仿宋_GB2312"/>
          <w:sz w:val="32"/>
          <w:szCs w:val="32"/>
          <w:highlight w:val="none"/>
        </w:rPr>
        <w:t>公用经费34.21万元，包括：办公费、水费、电费、邮电费、差旅费、维修（护）费、培训费、公务接待费、劳务费、工会经费、公务用车运行维护费</w:t>
      </w:r>
      <w:r>
        <w:rPr>
          <w:rFonts w:hint="eastAsia" w:ascii="仿宋_GB2312" w:eastAsia="仿宋_GB2312"/>
          <w:sz w:val="32"/>
          <w:szCs w:val="32"/>
          <w:highlight w:val="none"/>
          <w:lang w:eastAsia="zh-CN"/>
        </w:rPr>
        <w:t>。</w:t>
      </w:r>
    </w:p>
    <w:p>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七、财政拨款“三公”经费支出决算情况说明</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2023年度</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“三公”经费支出2.47万元，</w:t>
      </w:r>
      <w:r>
        <w:rPr>
          <w:rFonts w:hint="eastAsia" w:ascii="仿宋_GB2312" w:eastAsia="仿宋_GB2312"/>
          <w:sz w:val="32"/>
          <w:szCs w:val="32"/>
          <w:highlight w:val="none"/>
        </w:rPr>
        <w:t>比上年</w:t>
      </w:r>
      <w:r>
        <w:rPr>
          <w:rFonts w:hint="eastAsia" w:ascii="仿宋_GB2312" w:eastAsia="仿宋_GB2312"/>
          <w:sz w:val="32"/>
          <w:szCs w:val="32"/>
          <w:highlight w:val="none"/>
          <w:lang w:val="zh-CN"/>
        </w:rPr>
        <w:t>增加0.47万元，</w:t>
      </w:r>
      <w:r>
        <w:rPr>
          <w:rFonts w:hint="eastAsia" w:ascii="仿宋_GB2312" w:eastAsia="仿宋_GB2312"/>
          <w:sz w:val="32"/>
          <w:szCs w:val="32"/>
          <w:highlight w:val="none"/>
        </w:rPr>
        <w:t>增长23.50%,</w:t>
      </w:r>
      <w:r>
        <w:rPr>
          <w:rFonts w:hint="eastAsia" w:ascii="仿宋_GB2312" w:eastAsia="仿宋_GB2312"/>
          <w:sz w:val="32"/>
          <w:szCs w:val="32"/>
          <w:highlight w:val="none"/>
          <w:lang w:val="zh-CN"/>
        </w:rPr>
        <w:t>主要原因是：</w:t>
      </w:r>
      <w:r>
        <w:rPr>
          <w:rFonts w:hint="eastAsia" w:ascii="仿宋_GB2312" w:eastAsia="仿宋_GB2312"/>
          <w:color w:val="auto"/>
          <w:sz w:val="32"/>
          <w:szCs w:val="32"/>
          <w:highlight w:val="none"/>
        </w:rPr>
        <w:t>本年度安全生产工作要求，公务用车出车频率高，公务用车运行维护费增加了</w:t>
      </w:r>
      <w:r>
        <w:rPr>
          <w:rFonts w:hint="eastAsia" w:ascii="仿宋_GB2312" w:eastAsia="仿宋_GB2312"/>
          <w:sz w:val="32"/>
          <w:szCs w:val="32"/>
          <w:highlight w:val="none"/>
          <w:lang w:val="zh-CN"/>
        </w:rPr>
        <w:t>。其中：因公出国（境）费支出0.00万元，占0.00%，比上年增加0.00万元，</w:t>
      </w:r>
      <w:r>
        <w:rPr>
          <w:rFonts w:hint="eastAsia" w:ascii="仿宋_GB2312" w:eastAsia="仿宋_GB2312"/>
          <w:sz w:val="32"/>
          <w:szCs w:val="32"/>
          <w:highlight w:val="none"/>
        </w:rPr>
        <w:t>增长0.00%,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lang w:val="en-US" w:eastAsia="zh-CN"/>
        </w:rPr>
        <w:t>无此类支出</w:t>
      </w:r>
      <w:r>
        <w:rPr>
          <w:rFonts w:hint="eastAsia" w:ascii="仿宋_GB2312" w:eastAsia="仿宋_GB2312"/>
          <w:sz w:val="32"/>
          <w:szCs w:val="32"/>
          <w:highlight w:val="none"/>
          <w:lang w:val="zh-CN"/>
        </w:rPr>
        <w:t>；公务用车购置及运行维护费支出1.98万元，占80.16%，比上年减少0.02万元，</w:t>
      </w:r>
      <w:r>
        <w:rPr>
          <w:rFonts w:hint="eastAsia" w:ascii="仿宋_GB2312" w:eastAsia="仿宋_GB2312"/>
          <w:sz w:val="32"/>
          <w:szCs w:val="32"/>
          <w:highlight w:val="none"/>
        </w:rPr>
        <w:t>下降1.00%,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lang w:val="en-US" w:eastAsia="zh-CN"/>
        </w:rPr>
        <w:t>厉行节约，合理控制车辆运行费用</w:t>
      </w:r>
      <w:r>
        <w:rPr>
          <w:rFonts w:hint="eastAsia" w:ascii="仿宋_GB2312" w:eastAsia="仿宋_GB2312"/>
          <w:sz w:val="32"/>
          <w:szCs w:val="32"/>
          <w:highlight w:val="none"/>
          <w:lang w:val="zh-CN"/>
        </w:rPr>
        <w:t>；公务接待费支出0.50万元，占20.24%，比上年增加0.50万元，</w:t>
      </w:r>
      <w:r>
        <w:rPr>
          <w:rFonts w:hint="eastAsia" w:ascii="仿宋_GB2312" w:eastAsia="仿宋_GB2312"/>
          <w:sz w:val="32"/>
          <w:szCs w:val="32"/>
          <w:highlight w:val="none"/>
        </w:rPr>
        <w:t>增长100.00%,</w:t>
      </w:r>
      <w:r>
        <w:rPr>
          <w:rFonts w:hint="eastAsia" w:ascii="仿宋_GB2312" w:eastAsia="仿宋_GB2312"/>
          <w:sz w:val="32"/>
          <w:szCs w:val="32"/>
          <w:highlight w:val="none"/>
          <w:lang w:val="zh-CN"/>
        </w:rPr>
        <w:t>主要原因是：</w:t>
      </w:r>
      <w:r>
        <w:rPr>
          <w:rFonts w:hint="eastAsia" w:ascii="仿宋_GB2312" w:eastAsia="仿宋_GB2312"/>
          <w:sz w:val="32"/>
          <w:szCs w:val="32"/>
          <w:highlight w:val="none"/>
          <w:lang w:val="en-US" w:eastAsia="zh-CN"/>
        </w:rPr>
        <w:t>本年度专项工作接待增加</w:t>
      </w:r>
      <w:r>
        <w:rPr>
          <w:rFonts w:hint="eastAsia" w:ascii="仿宋_GB2312" w:eastAsia="仿宋_GB2312"/>
          <w:sz w:val="32"/>
          <w:szCs w:val="32"/>
          <w:highlight w:val="none"/>
          <w:lang w:val="zh-CN"/>
        </w:rPr>
        <w:t>。</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具体情况如下：</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因公出国（境）费支出0.00万元。</w:t>
      </w:r>
      <w:r>
        <w:rPr>
          <w:rFonts w:hint="eastAsia" w:ascii="仿宋_GB2312" w:hAnsi="仿宋_GB2312" w:eastAsia="仿宋_GB2312" w:cs="仿宋_GB2312"/>
          <w:color w:val="auto"/>
          <w:kern w:val="2"/>
          <w:sz w:val="32"/>
          <w:szCs w:val="32"/>
          <w:highlight w:val="none"/>
          <w:lang w:val="zh-CN" w:eastAsia="zh-CN" w:bidi="ar-SA"/>
        </w:rPr>
        <w:t>开支内容包括</w:t>
      </w:r>
      <w:r>
        <w:rPr>
          <w:rFonts w:hint="eastAsia" w:ascii="仿宋_GB2312" w:hAnsi="仿宋_GB2312" w:eastAsia="仿宋_GB2312" w:cs="仿宋_GB2312"/>
          <w:color w:val="auto"/>
          <w:kern w:val="2"/>
          <w:sz w:val="32"/>
          <w:szCs w:val="32"/>
          <w:highlight w:val="none"/>
          <w:lang w:val="en-US" w:eastAsia="zh-CN" w:bidi="ar-SA"/>
        </w:rPr>
        <w:t>2023年我单位无因公出国（境）费支出</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eastAsia="仿宋_GB2312"/>
          <w:sz w:val="32"/>
          <w:szCs w:val="32"/>
          <w:highlight w:val="none"/>
          <w:lang w:val="zh-CN"/>
        </w:rPr>
        <w:t>单位全年安排的因公出国（境）团组0个，因公出国（境）0人次。</w:t>
      </w:r>
    </w:p>
    <w:p>
      <w:pPr>
        <w:ind w:firstLine="640" w:firstLineChars="200"/>
        <w:jc w:val="left"/>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zh-CN"/>
        </w:rPr>
        <w:t>公务用车购置及运行维护费1.98万元，其中：公务用车购置费0.00万元，公务用车运行维护费1.98万元。公务用车运行维护费开支内容包括</w:t>
      </w:r>
      <w:r>
        <w:rPr>
          <w:rFonts w:hint="eastAsia" w:ascii="仿宋_GB2312" w:eastAsia="仿宋_GB2312"/>
          <w:sz w:val="32"/>
          <w:szCs w:val="32"/>
          <w:highlight w:val="none"/>
          <w:lang w:val="en-US" w:eastAsia="zh-CN"/>
        </w:rPr>
        <w:t>用于车辆维修，燃油费等</w:t>
      </w:r>
      <w:r>
        <w:rPr>
          <w:rFonts w:hint="eastAsia" w:ascii="仿宋_GB2312" w:eastAsia="仿宋_GB2312"/>
          <w:sz w:val="32"/>
          <w:szCs w:val="32"/>
          <w:highlight w:val="none"/>
          <w:lang w:val="zh-CN"/>
        </w:rPr>
        <w:t>。公务用车购置数0辆，公务用车保有量1辆。国有资产占用情况</w:t>
      </w:r>
      <w:r>
        <w:rPr>
          <w:rFonts w:hint="eastAsia" w:ascii="仿宋_GB2312" w:eastAsia="仿宋_GB2312"/>
          <w:sz w:val="32"/>
          <w:szCs w:val="32"/>
          <w:highlight w:val="none"/>
        </w:rPr>
        <w:t>中固定资产车辆</w:t>
      </w:r>
      <w:r>
        <w:rPr>
          <w:rFonts w:hint="eastAsia" w:ascii="仿宋_GB2312" w:eastAsia="仿宋_GB2312"/>
          <w:sz w:val="32"/>
          <w:szCs w:val="32"/>
          <w:highlight w:val="none"/>
          <w:lang w:val="zh-CN"/>
        </w:rPr>
        <w:t>1辆，</w:t>
      </w:r>
      <w:r>
        <w:rPr>
          <w:rFonts w:hint="eastAsia" w:ascii="仿宋_GB2312" w:eastAsia="仿宋_GB2312"/>
          <w:sz w:val="32"/>
          <w:szCs w:val="32"/>
          <w:highlight w:val="none"/>
        </w:rPr>
        <w:t>与</w:t>
      </w:r>
      <w:r>
        <w:rPr>
          <w:rFonts w:hint="eastAsia" w:ascii="仿宋_GB2312" w:eastAsia="仿宋_GB2312"/>
          <w:sz w:val="32"/>
          <w:szCs w:val="32"/>
          <w:highlight w:val="none"/>
          <w:lang w:val="zh-CN"/>
        </w:rPr>
        <w:t>公务用车</w:t>
      </w:r>
      <w:r>
        <w:rPr>
          <w:rFonts w:hint="eastAsia" w:ascii="仿宋_GB2312" w:eastAsia="仿宋_GB2312"/>
          <w:sz w:val="32"/>
          <w:szCs w:val="32"/>
          <w:highlight w:val="none"/>
        </w:rPr>
        <w:t>保有量</w:t>
      </w:r>
      <w:r>
        <w:rPr>
          <w:rFonts w:hint="eastAsia" w:ascii="仿宋_GB2312" w:eastAsia="仿宋_GB2312"/>
          <w:sz w:val="32"/>
          <w:szCs w:val="32"/>
          <w:highlight w:val="none"/>
          <w:lang w:val="en-US" w:eastAsia="zh-CN"/>
        </w:rPr>
        <w:t>无</w:t>
      </w:r>
      <w:r>
        <w:rPr>
          <w:rFonts w:hint="eastAsia" w:ascii="仿宋_GB2312" w:eastAsia="仿宋_GB2312"/>
          <w:sz w:val="32"/>
          <w:szCs w:val="32"/>
          <w:highlight w:val="none"/>
        </w:rPr>
        <w:t>差异</w:t>
      </w:r>
      <w:r>
        <w:rPr>
          <w:rFonts w:hint="eastAsia" w:ascii="仿宋_GB2312" w:eastAsia="仿宋_GB2312"/>
          <w:sz w:val="32"/>
          <w:szCs w:val="32"/>
          <w:highlight w:val="none"/>
          <w:lang w:val="zh-CN"/>
        </w:rPr>
        <w:t>原因是：无差异。</w:t>
      </w:r>
      <w:bookmarkStart w:id="48" w:name="_GoBack"/>
      <w:bookmarkEnd w:id="48"/>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公务接待费0.50万元，开支内容包括</w:t>
      </w:r>
      <w:r>
        <w:rPr>
          <w:rFonts w:hint="eastAsia" w:ascii="仿宋_GB2312" w:eastAsia="仿宋_GB2312"/>
          <w:sz w:val="32"/>
          <w:szCs w:val="32"/>
          <w:highlight w:val="none"/>
          <w:lang w:val="en-US" w:eastAsia="zh-CN"/>
        </w:rPr>
        <w:t>接待上级单位检查就餐费</w:t>
      </w:r>
      <w:r>
        <w:rPr>
          <w:rFonts w:hint="eastAsia" w:ascii="仿宋_GB2312" w:eastAsia="仿宋_GB2312"/>
          <w:sz w:val="32"/>
          <w:szCs w:val="32"/>
          <w:highlight w:val="none"/>
          <w:lang w:val="zh-CN"/>
        </w:rPr>
        <w:t>。单位全年安排的国内公务接待9批次，18人次。</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与</w:t>
      </w:r>
      <w:r>
        <w:rPr>
          <w:rFonts w:hint="eastAsia" w:ascii="仿宋_GB2312" w:eastAsia="仿宋_GB2312"/>
          <w:sz w:val="32"/>
          <w:szCs w:val="32"/>
          <w:highlight w:val="none"/>
        </w:rPr>
        <w:t>全年</w:t>
      </w:r>
      <w:r>
        <w:rPr>
          <w:rFonts w:hint="eastAsia" w:ascii="仿宋_GB2312" w:eastAsia="仿宋_GB2312"/>
          <w:sz w:val="32"/>
          <w:szCs w:val="32"/>
          <w:highlight w:val="none"/>
          <w:lang w:val="zh-CN"/>
        </w:rPr>
        <w:t>预算相比</w:t>
      </w:r>
      <w:r>
        <w:rPr>
          <w:rFonts w:hint="eastAsia" w:ascii="仿宋_GB2312" w:eastAsia="仿宋_GB2312"/>
          <w:sz w:val="32"/>
          <w:szCs w:val="32"/>
          <w:highlight w:val="none"/>
        </w:rPr>
        <w:t>,</w:t>
      </w:r>
      <w:r>
        <w:rPr>
          <w:rFonts w:hint="eastAsia" w:ascii="仿宋_GB2312" w:eastAsia="仿宋_GB2312"/>
          <w:sz w:val="32"/>
          <w:szCs w:val="32"/>
          <w:highlight w:val="none"/>
          <w:lang w:val="zh-CN"/>
        </w:rPr>
        <w:t>财政拨款“三公”经费支出</w:t>
      </w:r>
      <w:r>
        <w:rPr>
          <w:rFonts w:hint="eastAsia" w:ascii="仿宋_GB2312" w:eastAsia="仿宋_GB2312"/>
          <w:sz w:val="32"/>
          <w:szCs w:val="32"/>
          <w:highlight w:val="none"/>
        </w:rPr>
        <w:t>全年</w:t>
      </w:r>
      <w:r>
        <w:rPr>
          <w:rFonts w:hint="eastAsia" w:ascii="仿宋_GB2312" w:eastAsia="仿宋_GB2312"/>
          <w:sz w:val="32"/>
          <w:szCs w:val="32"/>
          <w:highlight w:val="none"/>
          <w:lang w:val="zh-CN"/>
        </w:rPr>
        <w:t>预算数2.47万元，决算数2.47万元，预决算差异率0.00%，主要原因是：</w:t>
      </w:r>
      <w:r>
        <w:rPr>
          <w:rFonts w:hint="eastAsia" w:ascii="仿宋_GB2312" w:eastAsia="仿宋_GB2312"/>
          <w:sz w:val="32"/>
          <w:szCs w:val="32"/>
          <w:highlight w:val="none"/>
          <w:lang w:val="en-US" w:eastAsia="zh-CN"/>
        </w:rPr>
        <w:t>财政拨款“三公”经费支出预算数和决算数无变化，预决算无差异</w:t>
      </w:r>
      <w:r>
        <w:rPr>
          <w:rFonts w:hint="eastAsia" w:ascii="仿宋_GB2312" w:eastAsia="仿宋_GB2312"/>
          <w:sz w:val="32"/>
          <w:szCs w:val="32"/>
          <w:highlight w:val="none"/>
          <w:lang w:val="zh-CN"/>
        </w:rPr>
        <w:t>。其中：因公出国（境）费</w:t>
      </w:r>
      <w:r>
        <w:rPr>
          <w:rFonts w:hint="eastAsia" w:ascii="仿宋_GB2312" w:eastAsia="仿宋_GB2312"/>
          <w:sz w:val="32"/>
          <w:szCs w:val="32"/>
          <w:highlight w:val="none"/>
        </w:rPr>
        <w:t>全年预算数</w:t>
      </w:r>
      <w:r>
        <w:rPr>
          <w:rFonts w:hint="eastAsia" w:ascii="仿宋_GB2312" w:eastAsia="仿宋_GB2312"/>
          <w:sz w:val="32"/>
          <w:szCs w:val="32"/>
          <w:highlight w:val="none"/>
          <w:lang w:val="zh-CN"/>
        </w:rPr>
        <w:t>0.00万元，决算数0.00万元，预决算差异率0.00%，主要原因是：</w:t>
      </w:r>
      <w:r>
        <w:rPr>
          <w:rFonts w:hint="eastAsia" w:ascii="仿宋_GB2312" w:eastAsia="仿宋_GB2312"/>
          <w:sz w:val="32"/>
          <w:szCs w:val="32"/>
          <w:highlight w:val="none"/>
          <w:lang w:val="en-US" w:eastAsia="zh-CN"/>
        </w:rPr>
        <w:t>我单位未安排</w:t>
      </w:r>
      <w:r>
        <w:rPr>
          <w:rFonts w:hint="eastAsia" w:ascii="仿宋_GB2312" w:eastAsia="仿宋_GB2312"/>
          <w:sz w:val="32"/>
          <w:szCs w:val="32"/>
          <w:highlight w:val="none"/>
          <w:lang w:val="zh-CN"/>
        </w:rPr>
        <w:t>因公出国（境）</w:t>
      </w:r>
      <w:r>
        <w:rPr>
          <w:rFonts w:hint="eastAsia" w:ascii="仿宋_GB2312" w:eastAsia="仿宋_GB2312"/>
          <w:sz w:val="32"/>
          <w:szCs w:val="32"/>
          <w:highlight w:val="none"/>
          <w:lang w:val="en-US" w:eastAsia="zh-CN"/>
        </w:rPr>
        <w:t>费，预决算无差异</w:t>
      </w:r>
      <w:r>
        <w:rPr>
          <w:rFonts w:hint="eastAsia" w:ascii="仿宋_GB2312" w:eastAsia="仿宋_GB2312"/>
          <w:sz w:val="32"/>
          <w:szCs w:val="32"/>
          <w:highlight w:val="none"/>
          <w:lang w:val="zh-CN"/>
        </w:rPr>
        <w:t>；公务用车购置费</w:t>
      </w:r>
      <w:r>
        <w:rPr>
          <w:rFonts w:hint="eastAsia" w:ascii="仿宋_GB2312" w:eastAsia="仿宋_GB2312"/>
          <w:sz w:val="32"/>
          <w:szCs w:val="32"/>
          <w:highlight w:val="none"/>
        </w:rPr>
        <w:t>全年</w:t>
      </w:r>
      <w:r>
        <w:rPr>
          <w:rFonts w:hint="eastAsia" w:ascii="仿宋_GB2312" w:eastAsia="仿宋_GB2312"/>
          <w:sz w:val="32"/>
          <w:szCs w:val="32"/>
          <w:highlight w:val="none"/>
          <w:lang w:val="zh-CN"/>
        </w:rPr>
        <w:t>预算数0.00万元，决算数0.00万元，预决算差异率0.00%，主要原因是：</w:t>
      </w:r>
      <w:r>
        <w:rPr>
          <w:rFonts w:hint="eastAsia" w:ascii="仿宋_GB2312" w:eastAsia="仿宋_GB2312"/>
          <w:sz w:val="32"/>
          <w:szCs w:val="32"/>
          <w:highlight w:val="none"/>
          <w:lang w:val="en-US" w:eastAsia="zh-CN"/>
        </w:rPr>
        <w:t>我单位未安排</w:t>
      </w:r>
      <w:r>
        <w:rPr>
          <w:rFonts w:hint="eastAsia" w:ascii="仿宋_GB2312" w:eastAsia="仿宋_GB2312"/>
          <w:sz w:val="32"/>
          <w:szCs w:val="32"/>
          <w:highlight w:val="none"/>
          <w:lang w:val="zh-CN"/>
        </w:rPr>
        <w:t>公务用车购置费，</w:t>
      </w:r>
      <w:r>
        <w:rPr>
          <w:rFonts w:hint="eastAsia" w:ascii="仿宋_GB2312" w:eastAsia="仿宋_GB2312"/>
          <w:sz w:val="32"/>
          <w:szCs w:val="32"/>
          <w:highlight w:val="none"/>
          <w:lang w:val="en-US" w:eastAsia="zh-CN"/>
        </w:rPr>
        <w:t>预决算无差异</w:t>
      </w:r>
      <w:r>
        <w:rPr>
          <w:rFonts w:hint="eastAsia" w:ascii="仿宋_GB2312" w:eastAsia="仿宋_GB2312"/>
          <w:sz w:val="32"/>
          <w:szCs w:val="32"/>
          <w:highlight w:val="none"/>
          <w:lang w:val="zh-CN"/>
        </w:rPr>
        <w:t>；公务用车运行费</w:t>
      </w:r>
      <w:r>
        <w:rPr>
          <w:rFonts w:hint="eastAsia" w:ascii="仿宋_GB2312" w:eastAsia="仿宋_GB2312"/>
          <w:sz w:val="32"/>
          <w:szCs w:val="32"/>
          <w:highlight w:val="none"/>
        </w:rPr>
        <w:t>全年</w:t>
      </w:r>
      <w:r>
        <w:rPr>
          <w:rFonts w:hint="eastAsia" w:ascii="仿宋_GB2312" w:eastAsia="仿宋_GB2312"/>
          <w:sz w:val="32"/>
          <w:szCs w:val="32"/>
          <w:highlight w:val="none"/>
          <w:lang w:val="zh-CN"/>
        </w:rPr>
        <w:t>预算数1.98万元，决算数1.98万元，预决算差异率0.00%，主要原因是：公务用车运行费</w:t>
      </w:r>
      <w:r>
        <w:rPr>
          <w:rFonts w:hint="eastAsia" w:ascii="仿宋_GB2312" w:eastAsia="仿宋_GB2312"/>
          <w:sz w:val="32"/>
          <w:szCs w:val="32"/>
          <w:highlight w:val="none"/>
          <w:lang w:val="en-US" w:eastAsia="zh-CN"/>
        </w:rPr>
        <w:t>预算数和决算数无变化，预决算无差异</w:t>
      </w:r>
      <w:r>
        <w:rPr>
          <w:rFonts w:hint="eastAsia" w:ascii="仿宋_GB2312" w:eastAsia="仿宋_GB2312"/>
          <w:sz w:val="32"/>
          <w:szCs w:val="32"/>
          <w:highlight w:val="none"/>
          <w:lang w:val="zh-CN"/>
        </w:rPr>
        <w:t>；公务接待费</w:t>
      </w:r>
      <w:r>
        <w:rPr>
          <w:rFonts w:hint="eastAsia" w:ascii="仿宋_GB2312" w:eastAsia="仿宋_GB2312"/>
          <w:sz w:val="32"/>
          <w:szCs w:val="32"/>
          <w:highlight w:val="none"/>
        </w:rPr>
        <w:t>全年</w:t>
      </w:r>
      <w:r>
        <w:rPr>
          <w:rFonts w:hint="eastAsia" w:ascii="仿宋_GB2312" w:eastAsia="仿宋_GB2312"/>
          <w:sz w:val="32"/>
          <w:szCs w:val="32"/>
          <w:highlight w:val="none"/>
          <w:lang w:val="zh-CN"/>
        </w:rPr>
        <w:t>预算数0.50万元，决算数0.50万元，预决算差异率0.00%，主要原因是：公务接待费</w:t>
      </w:r>
      <w:r>
        <w:rPr>
          <w:rFonts w:hint="eastAsia" w:ascii="仿宋_GB2312" w:eastAsia="仿宋_GB2312"/>
          <w:sz w:val="32"/>
          <w:szCs w:val="32"/>
          <w:highlight w:val="none"/>
          <w:lang w:val="en-US" w:eastAsia="zh-CN"/>
        </w:rPr>
        <w:t>预算数和决算数无变化，预决算无差异</w:t>
      </w:r>
      <w:r>
        <w:rPr>
          <w:rFonts w:hint="eastAsia" w:ascii="仿宋_GB2312" w:eastAsia="仿宋_GB2312"/>
          <w:sz w:val="32"/>
          <w:szCs w:val="32"/>
          <w:highlight w:val="none"/>
          <w:lang w:val="zh-CN"/>
        </w:rPr>
        <w:t>。</w:t>
      </w:r>
    </w:p>
    <w:p>
      <w:pPr>
        <w:ind w:firstLine="640" w:firstLineChars="200"/>
        <w:jc w:val="left"/>
        <w:outlineLvl w:val="1"/>
        <w:rPr>
          <w:rFonts w:ascii="黑体" w:hAnsi="黑体" w:eastAsia="黑体" w:cs="宋体"/>
          <w:bCs/>
          <w:kern w:val="0"/>
          <w:sz w:val="32"/>
          <w:szCs w:val="32"/>
          <w:highlight w:val="none"/>
        </w:rPr>
      </w:pPr>
      <w:bookmarkStart w:id="18" w:name="_Toc5810"/>
      <w:bookmarkStart w:id="19" w:name="_Toc7927"/>
      <w:r>
        <w:rPr>
          <w:rFonts w:hint="eastAsia" w:ascii="黑体" w:hAnsi="黑体" w:eastAsia="黑体" w:cs="宋体"/>
          <w:bCs/>
          <w:kern w:val="0"/>
          <w:sz w:val="32"/>
          <w:szCs w:val="32"/>
          <w:highlight w:val="none"/>
        </w:rPr>
        <w:t>八、政府性基金预算财政拨款收入支出决算情况说明</w:t>
      </w:r>
      <w:bookmarkEnd w:id="18"/>
      <w:bookmarkEnd w:id="19"/>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九、国有资本经营预算财政拨款收入支出决算情况说明</w:t>
      </w:r>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highlight w:val="none"/>
        </w:rPr>
      </w:pPr>
      <w:bookmarkStart w:id="20" w:name="_Toc1235"/>
      <w:bookmarkStart w:id="21" w:name="_Toc7314"/>
      <w:r>
        <w:rPr>
          <w:rFonts w:hint="eastAsia" w:ascii="黑体" w:hAnsi="黑体" w:eastAsia="黑体" w:cs="宋体"/>
          <w:bCs/>
          <w:kern w:val="0"/>
          <w:sz w:val="32"/>
          <w:szCs w:val="32"/>
          <w:highlight w:val="none"/>
        </w:rPr>
        <w:t>十、其他重要事项的情况说明</w:t>
      </w:r>
      <w:bookmarkEnd w:id="20"/>
      <w:bookmarkEnd w:id="21"/>
    </w:p>
    <w:p>
      <w:pPr>
        <w:ind w:firstLine="640" w:firstLineChars="200"/>
        <w:jc w:val="left"/>
        <w:outlineLvl w:val="2"/>
        <w:rPr>
          <w:rFonts w:ascii="黑体" w:hAnsi="黑体" w:eastAsia="黑体"/>
          <w:sz w:val="32"/>
          <w:szCs w:val="32"/>
          <w:highlight w:val="none"/>
        </w:rPr>
      </w:pPr>
      <w:bookmarkStart w:id="22" w:name="_Toc13105"/>
      <w:bookmarkStart w:id="23" w:name="_Toc14519"/>
      <w:r>
        <w:rPr>
          <w:rFonts w:hint="eastAsia" w:ascii="黑体" w:hAnsi="黑体" w:eastAsia="黑体"/>
          <w:sz w:val="32"/>
          <w:szCs w:val="32"/>
          <w:highlight w:val="none"/>
        </w:rPr>
        <w:t>（一）机关运行经费支出情况</w:t>
      </w:r>
      <w:bookmarkEnd w:id="22"/>
      <w:bookmarkEnd w:id="23"/>
    </w:p>
    <w:p>
      <w:pPr>
        <w:ind w:firstLine="640" w:firstLineChars="200"/>
        <w:rPr>
          <w:rFonts w:ascii="仿宋_GB2312" w:hAnsi="仿宋_GB2312" w:eastAsia="仿宋_GB2312" w:cs="仿宋_GB2312"/>
          <w:sz w:val="32"/>
          <w:szCs w:val="32"/>
          <w:highlight w:val="none"/>
        </w:rPr>
      </w:pPr>
      <w:bookmarkStart w:id="24" w:name="_Toc227"/>
      <w:bookmarkStart w:id="25" w:name="_Toc26704"/>
      <w:r>
        <w:rPr>
          <w:rFonts w:hint="eastAsia" w:ascii="仿宋_GB2312" w:hAnsi="仿宋_GB2312" w:eastAsia="仿宋_GB2312" w:cs="仿宋_GB2312"/>
          <w:sz w:val="32"/>
          <w:szCs w:val="32"/>
          <w:highlight w:val="none"/>
          <w:lang w:val="zh-CN"/>
        </w:rPr>
        <w:t>2023年度</w:t>
      </w:r>
      <w:r>
        <w:rPr>
          <w:rFonts w:hint="eastAsia" w:ascii="仿宋_GB2312" w:hAnsi="仿宋_GB2312" w:eastAsia="仿宋_GB2312" w:cs="仿宋_GB2312"/>
          <w:sz w:val="32"/>
          <w:szCs w:val="32"/>
          <w:highlight w:val="none"/>
        </w:rPr>
        <w:t>塔城地区沙湾市融媒体中心（沙湾市广播电视台）（事业单位）公用经费支出34.21万元，</w:t>
      </w:r>
      <w:r>
        <w:rPr>
          <w:rFonts w:hint="eastAsia" w:ascii="仿宋_GB2312" w:hAnsi="仿宋_GB2312" w:eastAsia="仿宋_GB2312" w:cs="仿宋_GB2312"/>
          <w:sz w:val="32"/>
          <w:szCs w:val="32"/>
          <w:highlight w:val="none"/>
          <w:lang w:val="zh-CN"/>
        </w:rPr>
        <w:t>比上年减少9.26万元，下降21.30%，主要原因是：</w:t>
      </w:r>
      <w:r>
        <w:rPr>
          <w:rFonts w:hint="eastAsia" w:ascii="仿宋_GB2312" w:hAnsi="仿宋_GB2312" w:eastAsia="仿宋_GB2312" w:cs="仿宋_GB2312"/>
          <w:sz w:val="32"/>
          <w:szCs w:val="32"/>
          <w:highlight w:val="none"/>
          <w:lang w:val="en-US" w:eastAsia="zh-CN"/>
        </w:rPr>
        <w:t>本单位较上年相比有人员辞职，压缩办公经费，减少办公费、差旅费、维修费等支出</w:t>
      </w:r>
      <w:r>
        <w:rPr>
          <w:rFonts w:hint="eastAsia" w:ascii="仿宋_GB2312" w:hAnsi="仿宋_GB2312" w:eastAsia="仿宋_GB2312" w:cs="仿宋_GB2312"/>
          <w:sz w:val="32"/>
          <w:szCs w:val="32"/>
          <w:highlight w:val="none"/>
          <w:lang w:val="zh-CN"/>
        </w:rPr>
        <w:t>。</w:t>
      </w:r>
    </w:p>
    <w:p>
      <w:pPr>
        <w:ind w:firstLine="640" w:firstLineChars="200"/>
        <w:jc w:val="left"/>
        <w:rPr>
          <w:rFonts w:eastAsia="黑体"/>
          <w:sz w:val="32"/>
          <w:szCs w:val="30"/>
          <w:highlight w:val="none"/>
          <w:lang w:val="zh-CN"/>
        </w:rPr>
      </w:pPr>
      <w:r>
        <w:rPr>
          <w:rFonts w:hint="eastAsia" w:eastAsia="黑体"/>
          <w:sz w:val="32"/>
          <w:szCs w:val="30"/>
          <w:highlight w:val="none"/>
          <w:lang w:val="zh-CN"/>
        </w:rPr>
        <w:t>（二）政府采购情况</w:t>
      </w:r>
      <w:bookmarkEnd w:id="24"/>
      <w:bookmarkEnd w:id="25"/>
    </w:p>
    <w:p>
      <w:pPr>
        <w:ind w:firstLine="640" w:firstLineChars="200"/>
        <w:jc w:val="left"/>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2023年度政府采购支出总额1.28万元，其中：政府采购货物支出0.39万元、政府采购工程支出0.00万元、政府采购服务支出0.89万元。</w:t>
      </w:r>
    </w:p>
    <w:p>
      <w:pPr>
        <w:ind w:firstLine="640" w:firstLineChars="200"/>
        <w:jc w:val="left"/>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zh-CN"/>
        </w:rPr>
        <w:t>授予中小企业合同金额1.28万元，占政府采购支出总额的100.00%，其中：授予小微企业合同金额1.28万元，占政府采购支出总额的100.00%</w:t>
      </w:r>
      <w:r>
        <w:rPr>
          <w:rFonts w:hint="eastAsia" w:ascii="仿宋_GB2312" w:hAnsi="仿宋_GB2312" w:eastAsia="仿宋_GB2312" w:cs="仿宋_GB2312"/>
          <w:sz w:val="32"/>
          <w:szCs w:val="32"/>
          <w:highlight w:val="none"/>
        </w:rPr>
        <w:t>。</w:t>
      </w:r>
    </w:p>
    <w:p>
      <w:pPr>
        <w:ind w:firstLine="640" w:firstLineChars="200"/>
        <w:jc w:val="left"/>
        <w:rPr>
          <w:rFonts w:ascii="仿宋_GB2312" w:hAnsi="仿宋_GB2312" w:eastAsia="仿宋_GB2312" w:cs="仿宋_GB2312"/>
          <w:sz w:val="32"/>
          <w:szCs w:val="30"/>
          <w:highlight w:val="none"/>
          <w:lang w:val="zh-CN"/>
        </w:rPr>
      </w:pPr>
      <w:bookmarkStart w:id="26" w:name="_Toc4591"/>
      <w:bookmarkStart w:id="27" w:name="_Toc8391"/>
      <w:r>
        <w:rPr>
          <w:rFonts w:hint="eastAsia" w:ascii="仿宋_GB2312" w:hAnsi="仿宋_GB2312" w:eastAsia="仿宋_GB2312" w:cs="仿宋_GB2312"/>
          <w:sz w:val="32"/>
          <w:szCs w:val="30"/>
          <w:highlight w:val="none"/>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rPr>
        <w:t>截至2023</w:t>
      </w:r>
      <w:r>
        <w:rPr>
          <w:rFonts w:hint="eastAsia" w:ascii="仿宋_GB2312" w:hAnsi="仿宋_GB2312" w:eastAsia="仿宋_GB2312" w:cs="仿宋_GB2312"/>
          <w:sz w:val="32"/>
          <w:szCs w:val="32"/>
          <w:highlight w:val="none"/>
          <w:lang w:val="zh-CN"/>
        </w:rPr>
        <w:t>年</w:t>
      </w:r>
      <w:r>
        <w:rPr>
          <w:rFonts w:hint="eastAsia" w:ascii="仿宋_GB2312" w:hAnsi="仿宋_GB2312" w:eastAsia="仿宋_GB2312" w:cs="仿宋_GB2312"/>
          <w:sz w:val="32"/>
          <w:szCs w:val="32"/>
          <w:highlight w:val="none"/>
        </w:rPr>
        <w:t>12月31日</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rPr>
        <w:t>固定资产原值</w:t>
      </w:r>
      <w:r>
        <w:rPr>
          <w:rFonts w:hint="eastAsia" w:ascii="仿宋_GB2312" w:hAnsi="仿宋_GB2312" w:eastAsia="仿宋_GB2312" w:cs="仿宋_GB2312"/>
          <w:sz w:val="32"/>
          <w:szCs w:val="32"/>
          <w:highlight w:val="none"/>
          <w:lang w:val="zh-CN"/>
        </w:rPr>
        <w:t>453.53</w:t>
      </w:r>
      <w:r>
        <w:rPr>
          <w:rFonts w:hint="eastAsia" w:ascii="仿宋_GB2312" w:hAnsi="仿宋_GB2312" w:eastAsia="仿宋_GB2312" w:cs="仿宋_GB2312"/>
          <w:sz w:val="32"/>
          <w:szCs w:val="32"/>
          <w:highlight w:val="none"/>
        </w:rPr>
        <w:t>万元，房</w:t>
      </w:r>
      <w:r>
        <w:rPr>
          <w:rFonts w:hint="eastAsia" w:ascii="仿宋_GB2312" w:hAnsi="仿宋_GB2312" w:eastAsia="仿宋_GB2312" w:cs="仿宋_GB2312"/>
          <w:sz w:val="32"/>
          <w:szCs w:val="32"/>
          <w:highlight w:val="none"/>
          <w:lang w:val="zh-CN"/>
        </w:rPr>
        <w:t>屋0.00平方米，价值0.00万元。车辆1辆，价值22.14万元，其中：副部（省）级及以上领导用车0辆、主要</w:t>
      </w:r>
      <w:r>
        <w:rPr>
          <w:rFonts w:hint="eastAsia" w:ascii="仿宋_GB2312" w:hAnsi="仿宋_GB2312" w:eastAsia="仿宋_GB2312" w:cs="仿宋_GB2312"/>
          <w:sz w:val="32"/>
          <w:szCs w:val="32"/>
          <w:highlight w:val="none"/>
        </w:rPr>
        <w:t>负责人</w:t>
      </w:r>
      <w:r>
        <w:rPr>
          <w:rFonts w:hint="eastAsia" w:ascii="仿宋_GB2312" w:hAnsi="仿宋_GB2312" w:eastAsia="仿宋_GB2312" w:cs="仿宋_GB2312"/>
          <w:sz w:val="32"/>
          <w:szCs w:val="32"/>
          <w:highlight w:val="none"/>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highlight w:val="none"/>
        </w:rPr>
        <w:t>服务</w:t>
      </w:r>
      <w:r>
        <w:rPr>
          <w:rFonts w:hint="eastAsia" w:ascii="仿宋_GB2312" w:hAnsi="仿宋_GB2312" w:eastAsia="仿宋_GB2312" w:cs="仿宋_GB2312"/>
          <w:sz w:val="32"/>
          <w:szCs w:val="32"/>
          <w:highlight w:val="none"/>
          <w:lang w:val="zh-CN"/>
        </w:rPr>
        <w:t>用车0辆、其他用车1辆，其他用车主要是：</w:t>
      </w:r>
      <w:r>
        <w:rPr>
          <w:rFonts w:hint="eastAsia" w:ascii="仿宋_GB2312" w:hAnsi="仿宋_GB2312" w:eastAsia="仿宋_GB2312" w:cs="仿宋_GB2312"/>
          <w:sz w:val="32"/>
          <w:szCs w:val="32"/>
          <w:highlight w:val="none"/>
          <w:lang w:val="en-US" w:eastAsia="zh-CN"/>
        </w:rPr>
        <w:t>办公业务保障用车</w:t>
      </w:r>
      <w:r>
        <w:rPr>
          <w:rFonts w:hint="eastAsia" w:ascii="仿宋_GB2312" w:hAnsi="仿宋_GB2312" w:eastAsia="仿宋_GB2312" w:cs="仿宋_GB2312"/>
          <w:sz w:val="32"/>
          <w:szCs w:val="32"/>
          <w:highlight w:val="none"/>
          <w:lang w:val="zh-CN"/>
        </w:rPr>
        <w:t>；单价100万元（含）以上设备（不含车辆）0</w:t>
      </w:r>
      <w:r>
        <w:rPr>
          <w:rFonts w:hint="eastAsia" w:ascii="仿宋_GB2312" w:hAnsi="仿宋_GB2312" w:eastAsia="仿宋_GB2312" w:cs="仿宋_GB2312"/>
          <w:sz w:val="32"/>
          <w:szCs w:val="32"/>
          <w:highlight w:val="none"/>
        </w:rPr>
        <w:t>台（</w:t>
      </w:r>
      <w:r>
        <w:rPr>
          <w:rFonts w:hint="eastAsia" w:ascii="仿宋_GB2312" w:hAnsi="仿宋_GB2312" w:eastAsia="仿宋_GB2312" w:cs="仿宋_GB2312"/>
          <w:sz w:val="32"/>
          <w:szCs w:val="32"/>
          <w:highlight w:val="none"/>
          <w:lang w:val="zh-CN"/>
        </w:rPr>
        <w:t>套）。</w:t>
      </w:r>
    </w:p>
    <w:p>
      <w:pPr>
        <w:ind w:firstLine="640" w:firstLineChars="200"/>
        <w:jc w:val="left"/>
        <w:outlineLvl w:val="1"/>
        <w:rPr>
          <w:rFonts w:ascii="黑体" w:hAnsi="黑体" w:eastAsia="黑体" w:cs="宋体"/>
          <w:bCs/>
          <w:kern w:val="0"/>
          <w:sz w:val="32"/>
          <w:szCs w:val="32"/>
          <w:highlight w:val="none"/>
        </w:rPr>
      </w:pPr>
      <w:bookmarkStart w:id="28" w:name="_Toc11283"/>
      <w:bookmarkStart w:id="29" w:name="_Toc435"/>
      <w:r>
        <w:rPr>
          <w:rFonts w:hint="eastAsia" w:ascii="黑体" w:hAnsi="黑体" w:eastAsia="黑体" w:cs="宋体"/>
          <w:bCs/>
          <w:kern w:val="0"/>
          <w:sz w:val="32"/>
          <w:szCs w:val="32"/>
          <w:highlight w:val="none"/>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根据预算绩效管理要求，我单位2023年度</w:t>
      </w:r>
      <w:r>
        <w:rPr>
          <w:rFonts w:hint="eastAsia" w:ascii="仿宋_GB2312" w:hAnsi="仿宋_GB2312" w:eastAsia="仿宋_GB2312" w:cs="仿宋_GB2312"/>
          <w:kern w:val="0"/>
          <w:sz w:val="32"/>
          <w:szCs w:val="32"/>
          <w:highlight w:val="none"/>
        </w:rPr>
        <w:t>预算绩效管理整体支出绩效自评表</w:t>
      </w:r>
      <w:r>
        <w:rPr>
          <w:rFonts w:hint="eastAsia" w:ascii="仿宋_GB2312" w:eastAsia="仿宋_GB2312"/>
          <w:sz w:val="32"/>
          <w:szCs w:val="32"/>
          <w:highlight w:val="none"/>
        </w:rPr>
        <w:t>1</w:t>
      </w:r>
      <w:r>
        <w:rPr>
          <w:rFonts w:hint="eastAsia" w:ascii="仿宋_GB2312" w:hAnsi="仿宋_GB2312" w:eastAsia="仿宋_GB2312" w:cs="仿宋_GB2312"/>
          <w:kern w:val="0"/>
          <w:sz w:val="32"/>
          <w:szCs w:val="32"/>
          <w:highlight w:val="none"/>
          <w:lang w:val="en-US" w:eastAsia="zh-CN"/>
        </w:rPr>
        <w:t>张</w:t>
      </w:r>
      <w:r>
        <w:rPr>
          <w:rFonts w:hint="eastAsia" w:ascii="仿宋_GB2312" w:hAnsi="仿宋_GB2312" w:eastAsia="仿宋_GB2312" w:cs="仿宋_GB2312"/>
          <w:kern w:val="0"/>
          <w:sz w:val="32"/>
          <w:szCs w:val="32"/>
          <w:highlight w:val="none"/>
        </w:rPr>
        <w:t>，全年</w:t>
      </w:r>
      <w:r>
        <w:rPr>
          <w:rFonts w:hint="eastAsia" w:ascii="仿宋_GB2312" w:eastAsia="仿宋_GB2312"/>
          <w:sz w:val="32"/>
          <w:szCs w:val="32"/>
          <w:highlight w:val="none"/>
        </w:rPr>
        <w:t>预算总额</w:t>
      </w:r>
      <w:r>
        <w:rPr>
          <w:rFonts w:hint="eastAsia" w:ascii="仿宋_GB2312" w:eastAsia="仿宋_GB2312"/>
          <w:sz w:val="32"/>
          <w:szCs w:val="32"/>
          <w:highlight w:val="none"/>
          <w:lang w:val="en-US" w:eastAsia="zh-CN"/>
        </w:rPr>
        <w:t>904.21</w:t>
      </w:r>
      <w:r>
        <w:rPr>
          <w:rFonts w:hint="eastAsia" w:ascii="仿宋_GB2312" w:eastAsia="仿宋_GB2312"/>
          <w:sz w:val="32"/>
          <w:szCs w:val="32"/>
          <w:highlight w:val="none"/>
        </w:rPr>
        <w:t>万元，实际执行总额</w:t>
      </w:r>
      <w:r>
        <w:rPr>
          <w:rFonts w:hint="eastAsia" w:ascii="仿宋_GB2312" w:eastAsia="仿宋_GB2312"/>
          <w:sz w:val="32"/>
          <w:szCs w:val="32"/>
          <w:highlight w:val="none"/>
          <w:lang w:val="en-US" w:eastAsia="zh-CN"/>
        </w:rPr>
        <w:t>889.21</w:t>
      </w:r>
      <w:r>
        <w:rPr>
          <w:rFonts w:hint="eastAsia" w:ascii="仿宋_GB2312" w:eastAsia="仿宋_GB2312"/>
          <w:sz w:val="32"/>
          <w:szCs w:val="32"/>
          <w:highlight w:val="none"/>
        </w:rPr>
        <w:t>万元</w:t>
      </w:r>
      <w:r>
        <w:rPr>
          <w:rFonts w:hint="eastAsia" w:ascii="仿宋_GB2312" w:hAnsi="仿宋_GB2312" w:eastAsia="仿宋_GB2312" w:cs="仿宋_GB2312"/>
          <w:kern w:val="0"/>
          <w:sz w:val="32"/>
          <w:szCs w:val="32"/>
          <w:highlight w:val="none"/>
        </w:rPr>
        <w:t>；</w:t>
      </w:r>
      <w:r>
        <w:rPr>
          <w:rFonts w:hint="eastAsia" w:ascii="仿宋_GB2312" w:eastAsia="仿宋_GB2312"/>
          <w:sz w:val="32"/>
          <w:szCs w:val="32"/>
          <w:highlight w:val="none"/>
        </w:rPr>
        <w:t>预算绩效评价项目</w:t>
      </w:r>
      <w:r>
        <w:rPr>
          <w:rFonts w:hint="eastAsia" w:ascii="仿宋_GB2312" w:eastAsia="仿宋_GB2312"/>
          <w:sz w:val="32"/>
          <w:szCs w:val="32"/>
          <w:highlight w:val="none"/>
          <w:lang w:val="en-US" w:eastAsia="zh-CN"/>
        </w:rPr>
        <w:t>6</w:t>
      </w:r>
      <w:r>
        <w:rPr>
          <w:rFonts w:hint="eastAsia" w:ascii="仿宋_GB2312" w:eastAsia="仿宋_GB2312"/>
          <w:sz w:val="32"/>
          <w:szCs w:val="32"/>
          <w:highlight w:val="none"/>
        </w:rPr>
        <w:t>个，全年预算数</w:t>
      </w:r>
      <w:r>
        <w:rPr>
          <w:rFonts w:hint="eastAsia" w:ascii="仿宋_GB2312" w:eastAsia="仿宋_GB2312"/>
          <w:sz w:val="32"/>
          <w:szCs w:val="32"/>
          <w:highlight w:val="none"/>
          <w:lang w:val="en-US" w:eastAsia="zh-CN"/>
        </w:rPr>
        <w:t>150.23</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150.23</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本单位项目2个，全年预算数15.03万元，全年执行数15.03万元，不予以公开。</w:t>
      </w:r>
      <w:r>
        <w:rPr>
          <w:rFonts w:hint="eastAsia" w:ascii="仿宋_GB2312" w:eastAsia="仿宋_GB2312"/>
          <w:sz w:val="32"/>
          <w:szCs w:val="32"/>
          <w:highlight w:val="none"/>
        </w:rPr>
        <w:t>预算绩效管理取得的成效：一是</w:t>
      </w:r>
      <w:r>
        <w:rPr>
          <w:rFonts w:hint="eastAsia" w:ascii="仿宋_GB2312" w:eastAsia="仿宋_GB2312"/>
          <w:sz w:val="32"/>
          <w:szCs w:val="32"/>
          <w:highlight w:val="none"/>
          <w:lang w:val="en-US" w:eastAsia="zh-CN"/>
        </w:rPr>
        <w:t>保障了我单位38人的工资、社保、公积金及生活补助等支出的正常发放</w:t>
      </w:r>
      <w:r>
        <w:rPr>
          <w:rFonts w:hint="eastAsia" w:ascii="仿宋_GB2312" w:eastAsia="仿宋_GB2312"/>
          <w:sz w:val="32"/>
          <w:szCs w:val="32"/>
          <w:highlight w:val="none"/>
        </w:rPr>
        <w:t>；二是</w:t>
      </w:r>
      <w:r>
        <w:rPr>
          <w:rFonts w:hint="eastAsia" w:ascii="仿宋_GB2312" w:eastAsia="仿宋_GB2312"/>
          <w:sz w:val="32"/>
          <w:szCs w:val="32"/>
          <w:highlight w:val="none"/>
          <w:lang w:val="en-US" w:eastAsia="zh-CN"/>
        </w:rPr>
        <w:t>保障了融媒体中心的正常运转，做到与自治区融媒体中心更好地互联互通，切实提高融媒体中心节目制作播出水平；三是保障了融媒体中心严格</w:t>
      </w:r>
      <w:r>
        <w:rPr>
          <w:rStyle w:val="12"/>
          <w:rFonts w:hint="eastAsia" w:ascii="仿宋_GB2312" w:hAnsi="仿宋_GB2312" w:eastAsia="仿宋_GB2312" w:cs="仿宋_GB2312"/>
          <w:b w:val="0"/>
          <w:bCs w:val="0"/>
          <w:spacing w:val="-4"/>
          <w:sz w:val="32"/>
          <w:szCs w:val="32"/>
          <w:highlight w:val="none"/>
        </w:rPr>
        <w:t>制定和完善</w:t>
      </w:r>
      <w:r>
        <w:rPr>
          <w:rStyle w:val="12"/>
          <w:rFonts w:hint="eastAsia" w:ascii="仿宋_GB2312" w:hAnsi="仿宋_GB2312" w:eastAsia="仿宋_GB2312" w:cs="仿宋_GB2312"/>
          <w:b w:val="0"/>
          <w:bCs w:val="0"/>
          <w:spacing w:val="-4"/>
          <w:sz w:val="32"/>
          <w:szCs w:val="32"/>
          <w:highlight w:val="none"/>
          <w:lang w:val="en-US" w:eastAsia="zh-CN"/>
        </w:rPr>
        <w:t>了</w:t>
      </w:r>
      <w:r>
        <w:rPr>
          <w:rStyle w:val="12"/>
          <w:rFonts w:hint="eastAsia" w:ascii="仿宋_GB2312" w:hAnsi="仿宋_GB2312" w:eastAsia="仿宋_GB2312" w:cs="仿宋_GB2312"/>
          <w:b w:val="0"/>
          <w:bCs w:val="0"/>
          <w:spacing w:val="-4"/>
          <w:sz w:val="32"/>
          <w:szCs w:val="32"/>
          <w:highlight w:val="none"/>
        </w:rPr>
        <w:t>基本支出、项目支出等各项支出标准,严格按项目进度执行预算, 增强</w:t>
      </w:r>
      <w:r>
        <w:rPr>
          <w:rStyle w:val="12"/>
          <w:rFonts w:hint="eastAsia" w:ascii="仿宋_GB2312" w:hAnsi="仿宋_GB2312" w:eastAsia="仿宋_GB2312" w:cs="仿宋_GB2312"/>
          <w:b w:val="0"/>
          <w:bCs w:val="0"/>
          <w:spacing w:val="-4"/>
          <w:sz w:val="32"/>
          <w:szCs w:val="32"/>
          <w:highlight w:val="none"/>
          <w:lang w:val="en-US" w:eastAsia="zh-CN"/>
        </w:rPr>
        <w:t>了</w:t>
      </w:r>
      <w:r>
        <w:rPr>
          <w:rStyle w:val="12"/>
          <w:rFonts w:hint="eastAsia" w:ascii="仿宋_GB2312" w:hAnsi="仿宋_GB2312" w:eastAsia="仿宋_GB2312" w:cs="仿宋_GB2312"/>
          <w:b w:val="0"/>
          <w:bCs w:val="0"/>
          <w:spacing w:val="-4"/>
          <w:sz w:val="32"/>
          <w:szCs w:val="32"/>
          <w:highlight w:val="none"/>
        </w:rPr>
        <w:t>预算的约束力和严肃性</w:t>
      </w:r>
      <w:r>
        <w:rPr>
          <w:rStyle w:val="12"/>
          <w:rFonts w:hint="eastAsia" w:ascii="仿宋_GB2312" w:hAnsi="仿宋_GB2312" w:eastAsia="仿宋_GB2312" w:cs="仿宋_GB2312"/>
          <w:b w:val="0"/>
          <w:bCs w:val="0"/>
          <w:spacing w:val="-4"/>
          <w:sz w:val="32"/>
          <w:szCs w:val="32"/>
          <w:highlight w:val="none"/>
          <w:lang w:eastAsia="zh-CN"/>
        </w:rPr>
        <w:t>。</w:t>
      </w:r>
    </w:p>
    <w:p>
      <w:pPr>
        <w:ind w:firstLine="640"/>
        <w:rPr>
          <w:rFonts w:hint="eastAsia" w:ascii="仿宋_GB2312" w:eastAsia="仿宋_GB2312"/>
          <w:sz w:val="32"/>
          <w:szCs w:val="32"/>
          <w:highlight w:val="none"/>
        </w:rPr>
      </w:pPr>
      <w:r>
        <w:rPr>
          <w:rFonts w:hint="eastAsia" w:ascii="仿宋_GB2312" w:eastAsia="仿宋_GB2312"/>
          <w:sz w:val="32"/>
          <w:szCs w:val="32"/>
          <w:highlight w:val="none"/>
        </w:rPr>
        <w:t>发现的问题及原因：一是</w:t>
      </w:r>
      <w:r>
        <w:rPr>
          <w:rFonts w:hint="eastAsia" w:ascii="仿宋_GB2312" w:hAnsi="Times New Roman" w:eastAsia="仿宋_GB2312" w:cs="Times New Roman"/>
          <w:sz w:val="32"/>
          <w:szCs w:val="32"/>
          <w:highlight w:val="none"/>
        </w:rPr>
        <w:t>预算编制有待进一步优化和细化，预算执行中的不确定性，实际经费核算的科目、支出内容与预算会出现一定偏差；</w:t>
      </w:r>
      <w:r>
        <w:rPr>
          <w:rFonts w:hint="eastAsia" w:ascii="仿宋_GB2312" w:eastAsia="仿宋_GB2312"/>
          <w:sz w:val="32"/>
          <w:szCs w:val="32"/>
          <w:highlight w:val="none"/>
        </w:rPr>
        <w:t>二是</w:t>
      </w:r>
      <w:r>
        <w:rPr>
          <w:rFonts w:hint="eastAsia" w:ascii="仿宋_GB2312" w:eastAsia="仿宋_GB2312"/>
          <w:bCs/>
          <w:sz w:val="32"/>
          <w:szCs w:val="32"/>
          <w:highlight w:val="none"/>
        </w:rPr>
        <w:t>项目未能及时统筹管理。应明确项目实施进度计划，加强执行中的过程管理和监督机制，保障工程进度，提高项目管理水平，按照相关约定和规定及时拨付资金，对于无法按进度实施工作或无法按时完成工作的相关责任人</w:t>
      </w:r>
      <w:r>
        <w:rPr>
          <w:rFonts w:hint="eastAsia" w:ascii="仿宋_GB2312" w:eastAsia="仿宋_GB2312"/>
          <w:bCs/>
          <w:sz w:val="32"/>
          <w:szCs w:val="32"/>
          <w:highlight w:val="none"/>
          <w:lang w:eastAsia="zh-CN"/>
        </w:rPr>
        <w:t>；</w:t>
      </w:r>
      <w:r>
        <w:rPr>
          <w:rFonts w:hint="eastAsia" w:ascii="仿宋_GB2312" w:hAnsi="Times New Roman" w:eastAsia="仿宋_GB2312" w:cs="Times New Roman"/>
          <w:bCs/>
          <w:sz w:val="32"/>
          <w:szCs w:val="32"/>
          <w:highlight w:val="none"/>
          <w:lang w:val="en-US" w:eastAsia="zh-CN"/>
        </w:rPr>
        <w:t>三是</w:t>
      </w:r>
      <w:r>
        <w:rPr>
          <w:rFonts w:hint="eastAsia" w:ascii="仿宋_GB2312" w:hAnsi="Times New Roman" w:eastAsia="仿宋_GB2312" w:cs="Times New Roman"/>
          <w:bCs/>
          <w:sz w:val="32"/>
          <w:szCs w:val="32"/>
          <w:highlight w:val="none"/>
          <w:lang w:eastAsia="zh-CN"/>
        </w:rPr>
        <w:t>项目管理有所欠缺，项目绩效目标设置不够全面，绩效指标细化量化但部分指标缺乏合理性，指标有待优化。</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Style w:val="12"/>
          <w:rFonts w:ascii="仿宋_GB2312" w:hAnsi="仿宋_GB2312" w:eastAsia="仿宋_GB2312" w:cs="仿宋_GB2312"/>
          <w:b w:val="0"/>
          <w:bCs w:val="0"/>
          <w:color w:val="000000" w:themeColor="text1"/>
          <w:spacing w:val="-4"/>
          <w:sz w:val="32"/>
          <w:szCs w:val="32"/>
          <w:highlight w:val="none"/>
        </w:rPr>
      </w:pPr>
      <w:r>
        <w:rPr>
          <w:rFonts w:hint="eastAsia" w:ascii="仿宋_GB2312" w:eastAsia="仿宋_GB2312"/>
          <w:sz w:val="32"/>
          <w:szCs w:val="32"/>
          <w:highlight w:val="none"/>
        </w:rPr>
        <w:t>下一步改进</w:t>
      </w:r>
      <w:r>
        <w:rPr>
          <w:rFonts w:hint="eastAsia" w:ascii="仿宋_GB2312" w:hAnsi="Times New Roman" w:eastAsia="仿宋_GB2312" w:cs="Times New Roman"/>
          <w:sz w:val="32"/>
          <w:szCs w:val="32"/>
          <w:highlight w:val="none"/>
        </w:rPr>
        <w:t>措施：一是科学编制项目实施方案，提高预算精准度。认真做好前期调研和摸底工作，要求项目实施单位重视项目实施方案的编制环节，在综合考虑项目上年实施情况的基础上，结合年度实际，科学、合理地确定年度项目实施内容及任务量；二是制定和完善基本支出、项目支出等各项支出标准,严格按项目进度执行预算, 增强预算的约束力和严肃性</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三是</w:t>
      </w:r>
      <w:r>
        <w:rPr>
          <w:rFonts w:hint="eastAsia" w:ascii="仿宋_GB2312" w:hAnsi="Times New Roman" w:eastAsia="仿宋_GB2312" w:cs="Times New Roman"/>
          <w:sz w:val="32"/>
          <w:szCs w:val="32"/>
          <w:highlight w:val="none"/>
        </w:rPr>
        <w:t>强化责任意识</w:t>
      </w:r>
      <w:r>
        <w:rPr>
          <w:rStyle w:val="12"/>
          <w:rFonts w:hint="eastAsia" w:ascii="仿宋_GB2312" w:hAnsi="仿宋_GB2312" w:eastAsia="仿宋_GB2312" w:cs="仿宋_GB2312"/>
          <w:b w:val="0"/>
          <w:bCs w:val="0"/>
          <w:spacing w:val="-4"/>
          <w:sz w:val="32"/>
          <w:szCs w:val="32"/>
          <w:highlight w:val="none"/>
        </w:rPr>
        <w:t>。通过绩效评价，制定明确绩效目标，细化绩效目标责任，提高责任意识，以便后续监测绩效工作。</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具体项目自评情况附绩效自评表及自评报告。</w:t>
      </w:r>
    </w:p>
    <w:p>
      <w:pPr>
        <w:ind w:firstLine="640" w:firstLineChars="200"/>
        <w:jc w:val="left"/>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本单位项目2个，全年预算数15.03万元，全年执行数15.03万元，不予以公开绩效自评表。</w:t>
      </w:r>
    </w:p>
    <w:p>
      <w:pPr>
        <w:jc w:val="center"/>
        <w:outlineLvl w:val="0"/>
        <w:rPr>
          <w:rFonts w:ascii="黑体" w:hAnsi="黑体" w:eastAsia="黑体"/>
          <w:sz w:val="32"/>
          <w:szCs w:val="32"/>
          <w:highlight w:val="none"/>
        </w:rPr>
      </w:pPr>
      <w:bookmarkStart w:id="30" w:name="_Toc3250"/>
      <w:bookmarkStart w:id="31" w:name="_Toc24143"/>
      <w:r>
        <w:rPr>
          <w:rFonts w:hint="eastAsia" w:ascii="黑体" w:hAnsi="黑体" w:eastAsia="黑体"/>
          <w:sz w:val="32"/>
          <w:szCs w:val="32"/>
          <w:highlight w:val="none"/>
        </w:rPr>
        <w:br w:type="page"/>
      </w:r>
      <w:r>
        <w:rPr>
          <w:rFonts w:hint="eastAsia" w:ascii="黑体" w:hAnsi="黑体" w:eastAsia="黑体"/>
          <w:sz w:val="32"/>
          <w:szCs w:val="32"/>
          <w:highlight w:val="none"/>
        </w:rPr>
        <w:t>第三部分 专业名词解释</w:t>
      </w:r>
      <w:bookmarkEnd w:id="30"/>
      <w:bookmarkEnd w:id="31"/>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一、财政拨款收入：</w:t>
      </w:r>
      <w:r>
        <w:rPr>
          <w:rFonts w:hint="eastAsia" w:ascii="仿宋_GB2312" w:eastAsia="仿宋_GB2312"/>
          <w:sz w:val="32"/>
          <w:szCs w:val="32"/>
          <w:highlight w:val="none"/>
        </w:rPr>
        <w:t>指同级财政当年拨付的资金。</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二、上级补助收入：</w:t>
      </w:r>
      <w:r>
        <w:rPr>
          <w:rFonts w:hint="eastAsia" w:ascii="仿宋_GB2312" w:eastAsia="仿宋_GB2312"/>
          <w:sz w:val="32"/>
          <w:szCs w:val="32"/>
          <w:highlight w:val="none"/>
        </w:rPr>
        <w:t>指事业单位从主管部门和上级单位取得的非财政补助收入。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三、事业收入：</w:t>
      </w:r>
      <w:r>
        <w:rPr>
          <w:rFonts w:hint="eastAsia" w:ascii="仿宋_GB2312" w:eastAsia="仿宋_GB2312"/>
          <w:sz w:val="32"/>
          <w:szCs w:val="32"/>
          <w:highlight w:val="none"/>
        </w:rPr>
        <w:t>指事业单位开展专业业务活动及其辅助活动所取得的收入。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四、经营收入：</w:t>
      </w:r>
      <w:r>
        <w:rPr>
          <w:rFonts w:hint="eastAsia" w:ascii="仿宋_GB2312" w:eastAsia="仿宋_GB2312"/>
          <w:sz w:val="32"/>
          <w:szCs w:val="32"/>
          <w:highlight w:val="none"/>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五、附属单位上缴收入：</w:t>
      </w:r>
      <w:r>
        <w:rPr>
          <w:rFonts w:hint="eastAsia" w:ascii="仿宋_GB2312" w:eastAsia="仿宋_GB2312"/>
          <w:sz w:val="32"/>
          <w:szCs w:val="32"/>
          <w:highlight w:val="none"/>
        </w:rPr>
        <w:t>指事业单位附属的独立核算单位按有关规定上缴的收入。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六、其他收入：</w:t>
      </w:r>
      <w:r>
        <w:rPr>
          <w:rFonts w:hint="eastAsia" w:ascii="仿宋_GB2312" w:eastAsia="仿宋_GB2312"/>
          <w:sz w:val="32"/>
          <w:szCs w:val="32"/>
          <w:highlight w:val="none"/>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七、年初结转和结余：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八、年末结转和结余：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九、基本支出：</w:t>
      </w:r>
      <w:r>
        <w:rPr>
          <w:rFonts w:hint="eastAsia" w:ascii="仿宋_GB2312" w:eastAsia="仿宋_GB2312"/>
          <w:sz w:val="32"/>
          <w:szCs w:val="32"/>
          <w:highlight w:val="none"/>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十、项目支出：</w:t>
      </w:r>
      <w:r>
        <w:rPr>
          <w:rFonts w:hint="eastAsia" w:ascii="仿宋_GB2312" w:eastAsia="仿宋_GB2312"/>
          <w:sz w:val="32"/>
          <w:szCs w:val="32"/>
          <w:highlight w:val="none"/>
        </w:rPr>
        <w:t>指在基本支出之外为完成特定行政任务和事业发展目标所发生的支出。</w:t>
      </w:r>
    </w:p>
    <w:p>
      <w:pPr>
        <w:autoSpaceDE w:val="0"/>
        <w:autoSpaceDN w:val="0"/>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十一、经营支出：</w:t>
      </w:r>
      <w:r>
        <w:rPr>
          <w:rFonts w:hint="eastAsia" w:ascii="仿宋_GB2312" w:eastAsia="仿宋_GB2312"/>
          <w:sz w:val="32"/>
          <w:szCs w:val="32"/>
          <w:highlight w:val="none"/>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十二、对附属单位补助支出：</w:t>
      </w:r>
      <w:r>
        <w:rPr>
          <w:rFonts w:hint="eastAsia" w:ascii="仿宋_GB2312" w:eastAsia="仿宋_GB2312"/>
          <w:sz w:val="32"/>
          <w:szCs w:val="32"/>
          <w:highlight w:val="none"/>
        </w:rPr>
        <w:t>指事业单位发生的用非财政预算资金对附属单位的补助支出。</w:t>
      </w:r>
    </w:p>
    <w:p>
      <w:pPr>
        <w:autoSpaceDE w:val="0"/>
        <w:autoSpaceDN w:val="0"/>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十三、“三公”经费：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highlight w:val="none"/>
        </w:rPr>
      </w:pPr>
      <w:r>
        <w:rPr>
          <w:rFonts w:hint="eastAsia" w:ascii="仿宋_GB2312" w:eastAsia="仿宋_GB2312"/>
          <w:b/>
          <w:bCs/>
          <w:sz w:val="32"/>
          <w:szCs w:val="32"/>
          <w:highlight w:val="none"/>
        </w:rPr>
        <w:t>十四、机关运行经费：</w:t>
      </w:r>
      <w:r>
        <w:rPr>
          <w:rFonts w:hint="eastAsia" w:ascii="仿宋_GB2312" w:eastAsia="仿宋_GB2312"/>
          <w:sz w:val="32"/>
          <w:szCs w:val="32"/>
          <w:highlight w:val="none"/>
        </w:rPr>
        <w:t>行政单位和参照公务员法管理的事业单位财政拨款基本支出中的公用经费支出。</w:t>
      </w:r>
    </w:p>
    <w:p>
      <w:pPr>
        <w:ind w:firstLine="640" w:firstLineChars="200"/>
        <w:jc w:val="center"/>
        <w:outlineLvl w:val="0"/>
        <w:rPr>
          <w:rFonts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pPr>
        <w:ind w:firstLine="640" w:firstLineChars="200"/>
        <w:outlineLvl w:val="1"/>
        <w:rPr>
          <w:rFonts w:ascii="黑体" w:hAnsi="黑体" w:eastAsia="仿宋_GB2312" w:cs="宋体"/>
          <w:bCs/>
          <w:kern w:val="0"/>
          <w:sz w:val="32"/>
          <w:szCs w:val="32"/>
          <w:highlight w:val="none"/>
        </w:rPr>
      </w:pPr>
      <w:bookmarkStart w:id="32" w:name="_Toc2183"/>
      <w:bookmarkStart w:id="33" w:name="_Toc6062"/>
      <w:r>
        <w:rPr>
          <w:rFonts w:hint="eastAsia" w:ascii="黑体" w:hAnsi="黑体" w:eastAsia="仿宋_GB2312" w:cs="宋体"/>
          <w:bCs/>
          <w:kern w:val="0"/>
          <w:sz w:val="32"/>
          <w:szCs w:val="32"/>
          <w:highlight w:val="none"/>
        </w:rPr>
        <w:t>一、《收入支出决算总表》</w:t>
      </w:r>
      <w:bookmarkEnd w:id="32"/>
      <w:bookmarkEnd w:id="33"/>
    </w:p>
    <w:p>
      <w:pPr>
        <w:ind w:firstLine="640" w:firstLineChars="200"/>
        <w:outlineLvl w:val="1"/>
        <w:rPr>
          <w:rFonts w:ascii="黑体" w:hAnsi="黑体" w:eastAsia="仿宋_GB2312" w:cs="宋体"/>
          <w:bCs/>
          <w:kern w:val="0"/>
          <w:sz w:val="32"/>
          <w:szCs w:val="32"/>
          <w:highlight w:val="none"/>
        </w:rPr>
      </w:pPr>
      <w:bookmarkStart w:id="34" w:name="_Toc30364"/>
      <w:bookmarkStart w:id="35" w:name="_Toc24532"/>
      <w:r>
        <w:rPr>
          <w:rFonts w:hint="eastAsia" w:ascii="黑体" w:hAnsi="黑体" w:eastAsia="仿宋_GB2312" w:cs="宋体"/>
          <w:bCs/>
          <w:kern w:val="0"/>
          <w:sz w:val="32"/>
          <w:szCs w:val="32"/>
          <w:highlight w:val="none"/>
        </w:rPr>
        <w:t>二、《收入决算表》</w:t>
      </w:r>
      <w:bookmarkEnd w:id="34"/>
      <w:bookmarkEnd w:id="35"/>
    </w:p>
    <w:p>
      <w:pPr>
        <w:ind w:firstLine="640" w:firstLineChars="200"/>
        <w:outlineLvl w:val="1"/>
        <w:rPr>
          <w:rFonts w:ascii="黑体" w:hAnsi="黑体" w:eastAsia="仿宋_GB2312" w:cs="宋体"/>
          <w:bCs/>
          <w:kern w:val="0"/>
          <w:sz w:val="32"/>
          <w:szCs w:val="32"/>
          <w:highlight w:val="none"/>
        </w:rPr>
      </w:pPr>
      <w:bookmarkStart w:id="36" w:name="_Toc21304"/>
      <w:bookmarkStart w:id="37" w:name="_Toc32434"/>
      <w:r>
        <w:rPr>
          <w:rFonts w:hint="eastAsia" w:ascii="黑体" w:hAnsi="黑体" w:eastAsia="仿宋_GB2312" w:cs="宋体"/>
          <w:bCs/>
          <w:kern w:val="0"/>
          <w:sz w:val="32"/>
          <w:szCs w:val="32"/>
          <w:highlight w:val="none"/>
        </w:rPr>
        <w:t>三、《支出决算表》</w:t>
      </w:r>
      <w:bookmarkEnd w:id="36"/>
      <w:bookmarkEnd w:id="37"/>
    </w:p>
    <w:p>
      <w:pPr>
        <w:ind w:firstLine="640" w:firstLineChars="200"/>
        <w:outlineLvl w:val="1"/>
        <w:rPr>
          <w:rFonts w:ascii="黑体" w:hAnsi="黑体" w:eastAsia="仿宋_GB2312" w:cs="宋体"/>
          <w:bCs/>
          <w:kern w:val="0"/>
          <w:sz w:val="32"/>
          <w:szCs w:val="32"/>
          <w:highlight w:val="none"/>
        </w:rPr>
      </w:pPr>
      <w:bookmarkStart w:id="38" w:name="_Toc28786"/>
      <w:bookmarkStart w:id="39" w:name="_Toc14238"/>
      <w:r>
        <w:rPr>
          <w:rFonts w:hint="eastAsia" w:ascii="黑体" w:hAnsi="黑体" w:eastAsia="仿宋_GB2312" w:cs="宋体"/>
          <w:bCs/>
          <w:kern w:val="0"/>
          <w:sz w:val="32"/>
          <w:szCs w:val="32"/>
          <w:highlight w:val="none"/>
        </w:rPr>
        <w:t>四、《财政拨款收入支出决算总表》</w:t>
      </w:r>
      <w:bookmarkEnd w:id="38"/>
      <w:bookmarkEnd w:id="39"/>
    </w:p>
    <w:p>
      <w:pPr>
        <w:ind w:firstLine="640" w:firstLineChars="200"/>
        <w:outlineLvl w:val="1"/>
        <w:rPr>
          <w:rFonts w:ascii="黑体" w:hAnsi="黑体" w:eastAsia="仿宋_GB2312" w:cs="宋体"/>
          <w:bCs/>
          <w:kern w:val="0"/>
          <w:sz w:val="32"/>
          <w:szCs w:val="32"/>
          <w:highlight w:val="none"/>
        </w:rPr>
      </w:pPr>
      <w:bookmarkStart w:id="40" w:name="_Toc10347"/>
      <w:bookmarkStart w:id="41" w:name="_Toc14869"/>
      <w:r>
        <w:rPr>
          <w:rFonts w:hint="eastAsia" w:ascii="黑体" w:hAnsi="黑体" w:eastAsia="仿宋_GB2312" w:cs="宋体"/>
          <w:bCs/>
          <w:kern w:val="0"/>
          <w:sz w:val="32"/>
          <w:szCs w:val="32"/>
          <w:highlight w:val="none"/>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highlight w:val="none"/>
        </w:rPr>
      </w:pPr>
      <w:bookmarkStart w:id="42" w:name="_Toc8884"/>
      <w:bookmarkStart w:id="43" w:name="_Toc5626"/>
      <w:r>
        <w:rPr>
          <w:rFonts w:hint="eastAsia" w:ascii="黑体" w:hAnsi="黑体" w:eastAsia="仿宋_GB2312" w:cs="宋体"/>
          <w:bCs/>
          <w:kern w:val="0"/>
          <w:sz w:val="32"/>
          <w:szCs w:val="32"/>
          <w:highlight w:val="none"/>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32663"/>
      <w:bookmarkStart w:id="45" w:name="_Toc29106"/>
      <w:r>
        <w:rPr>
          <w:rFonts w:hint="eastAsia" w:ascii="黑体" w:hAnsi="黑体" w:eastAsia="仿宋_GB2312" w:cs="宋体"/>
          <w:bCs/>
          <w:kern w:val="0"/>
          <w:sz w:val="32"/>
          <w:szCs w:val="32"/>
          <w:highlight w:val="none"/>
        </w:rPr>
        <w:t>《财政拨款“三公”经费支出决算表》</w:t>
      </w:r>
      <w:bookmarkEnd w:id="44"/>
      <w:bookmarkEnd w:id="45"/>
    </w:p>
    <w:p>
      <w:pPr>
        <w:ind w:firstLine="640" w:firstLineChars="200"/>
        <w:outlineLvl w:val="1"/>
        <w:rPr>
          <w:rFonts w:ascii="黑体" w:hAnsi="黑体" w:eastAsia="仿宋_GB2312" w:cs="宋体"/>
          <w:bCs/>
          <w:kern w:val="0"/>
          <w:sz w:val="32"/>
          <w:szCs w:val="32"/>
          <w:highlight w:val="none"/>
        </w:rPr>
      </w:pPr>
      <w:bookmarkStart w:id="46" w:name="_Toc5453"/>
      <w:bookmarkStart w:id="47" w:name="_Toc7643"/>
      <w:r>
        <w:rPr>
          <w:rFonts w:hint="eastAsia" w:ascii="黑体" w:hAnsi="黑体" w:eastAsia="仿宋_GB2312" w:cs="宋体"/>
          <w:bCs/>
          <w:kern w:val="0"/>
          <w:sz w:val="32"/>
          <w:szCs w:val="32"/>
          <w:highlight w:val="none"/>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九、《国有资本经营预算财政拨款收入支出决算表》</w:t>
      </w:r>
    </w:p>
    <w:p>
      <w:pPr>
        <w:ind w:firstLine="640" w:firstLineChars="200"/>
        <w:rPr>
          <w:rFonts w:ascii="仿宋_GB2312" w:eastAsia="仿宋_GB2312"/>
          <w:sz w:val="32"/>
          <w:szCs w:val="32"/>
          <w:highlight w:val="none"/>
        </w:rPr>
      </w:pPr>
    </w:p>
    <w:p>
      <w:pPr>
        <w:ind w:firstLine="640" w:firstLineChars="200"/>
        <w:outlineLvl w:val="1"/>
        <w:rPr>
          <w:rFonts w:ascii="黑体" w:hAnsi="黑体" w:eastAsia="黑体" w:cs="宋体"/>
          <w:bCs/>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Y2Yzk4ZGNhMzU3NGIzMzg4ZGRiOTY1M2M3YTVjOGEifQ=="/>
    <w:docVar w:name="KSO_WPS_MARK_KEY" w:val="41ee2a61-2d54-4f93-83be-afdb9a40d732"/>
  </w:docVars>
  <w:rsids>
    <w:rsidRoot w:val="00232FCF"/>
    <w:rsid w:val="00213C59"/>
    <w:rsid w:val="00232FCF"/>
    <w:rsid w:val="003210CE"/>
    <w:rsid w:val="005A7208"/>
    <w:rsid w:val="00997AC3"/>
    <w:rsid w:val="00B70D59"/>
    <w:rsid w:val="00C23DA2"/>
    <w:rsid w:val="00F52A8D"/>
    <w:rsid w:val="00F72CA9"/>
    <w:rsid w:val="01115B19"/>
    <w:rsid w:val="019404F8"/>
    <w:rsid w:val="01C30B6B"/>
    <w:rsid w:val="01ED22F2"/>
    <w:rsid w:val="02BD3108"/>
    <w:rsid w:val="02ED1EBD"/>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870D49"/>
    <w:rsid w:val="08A0354D"/>
    <w:rsid w:val="08CD4C49"/>
    <w:rsid w:val="09114954"/>
    <w:rsid w:val="095A5B83"/>
    <w:rsid w:val="096466E3"/>
    <w:rsid w:val="0968304D"/>
    <w:rsid w:val="098B3B42"/>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27F6D"/>
    <w:rsid w:val="0CA52EE8"/>
    <w:rsid w:val="0CBD6988"/>
    <w:rsid w:val="0CD208AC"/>
    <w:rsid w:val="0D172DAA"/>
    <w:rsid w:val="0D4903E8"/>
    <w:rsid w:val="0D690A8B"/>
    <w:rsid w:val="0D7A4A46"/>
    <w:rsid w:val="0E19425F"/>
    <w:rsid w:val="0E640559"/>
    <w:rsid w:val="0F1113DA"/>
    <w:rsid w:val="0F78534A"/>
    <w:rsid w:val="0F89358A"/>
    <w:rsid w:val="0F8C6D51"/>
    <w:rsid w:val="10463305"/>
    <w:rsid w:val="105B0B5E"/>
    <w:rsid w:val="112E58D0"/>
    <w:rsid w:val="11731CAC"/>
    <w:rsid w:val="119500A0"/>
    <w:rsid w:val="11C0733B"/>
    <w:rsid w:val="11D50D17"/>
    <w:rsid w:val="120E0809"/>
    <w:rsid w:val="127F665A"/>
    <w:rsid w:val="12D22C2E"/>
    <w:rsid w:val="12F7068C"/>
    <w:rsid w:val="13DA6392"/>
    <w:rsid w:val="14207DC0"/>
    <w:rsid w:val="14641FAC"/>
    <w:rsid w:val="14B932DA"/>
    <w:rsid w:val="150A66AF"/>
    <w:rsid w:val="154C1139"/>
    <w:rsid w:val="158C5B77"/>
    <w:rsid w:val="159D5775"/>
    <w:rsid w:val="160D1149"/>
    <w:rsid w:val="163563C0"/>
    <w:rsid w:val="164315EF"/>
    <w:rsid w:val="16557DFE"/>
    <w:rsid w:val="167268FB"/>
    <w:rsid w:val="16770D0A"/>
    <w:rsid w:val="169A0039"/>
    <w:rsid w:val="16D50C50"/>
    <w:rsid w:val="16E120E1"/>
    <w:rsid w:val="17385A05"/>
    <w:rsid w:val="173B3901"/>
    <w:rsid w:val="176747F9"/>
    <w:rsid w:val="17954A6E"/>
    <w:rsid w:val="17BE2C86"/>
    <w:rsid w:val="17DA6E5F"/>
    <w:rsid w:val="180059E9"/>
    <w:rsid w:val="184510FD"/>
    <w:rsid w:val="189A41EE"/>
    <w:rsid w:val="18C64FE3"/>
    <w:rsid w:val="190648B0"/>
    <w:rsid w:val="19071D6C"/>
    <w:rsid w:val="196D7636"/>
    <w:rsid w:val="198F7ACB"/>
    <w:rsid w:val="19D26CD4"/>
    <w:rsid w:val="19E60D19"/>
    <w:rsid w:val="1A3E3450"/>
    <w:rsid w:val="1A4F2DB6"/>
    <w:rsid w:val="1ACE63D1"/>
    <w:rsid w:val="1AD807E5"/>
    <w:rsid w:val="1B39345B"/>
    <w:rsid w:val="1BFB2A1F"/>
    <w:rsid w:val="1C015D4A"/>
    <w:rsid w:val="1C290ED5"/>
    <w:rsid w:val="1C317E4F"/>
    <w:rsid w:val="1C472464"/>
    <w:rsid w:val="1D22799A"/>
    <w:rsid w:val="1D4C3FFE"/>
    <w:rsid w:val="1D5C1A72"/>
    <w:rsid w:val="1DAF458D"/>
    <w:rsid w:val="1E086ACE"/>
    <w:rsid w:val="1E62130A"/>
    <w:rsid w:val="1E97358B"/>
    <w:rsid w:val="1EAA4A5F"/>
    <w:rsid w:val="1EE869A7"/>
    <w:rsid w:val="1F3F37CF"/>
    <w:rsid w:val="1F480681"/>
    <w:rsid w:val="1FA15E62"/>
    <w:rsid w:val="1FED69B6"/>
    <w:rsid w:val="2016286A"/>
    <w:rsid w:val="2064678E"/>
    <w:rsid w:val="20DC1AB9"/>
    <w:rsid w:val="20DD6197"/>
    <w:rsid w:val="212631E0"/>
    <w:rsid w:val="2138666F"/>
    <w:rsid w:val="21742080"/>
    <w:rsid w:val="21A53757"/>
    <w:rsid w:val="21F879E1"/>
    <w:rsid w:val="221236C6"/>
    <w:rsid w:val="22D7662C"/>
    <w:rsid w:val="23326B7F"/>
    <w:rsid w:val="2380045B"/>
    <w:rsid w:val="23BC04D2"/>
    <w:rsid w:val="23EF1892"/>
    <w:rsid w:val="24184946"/>
    <w:rsid w:val="2483647E"/>
    <w:rsid w:val="24A32D55"/>
    <w:rsid w:val="24CE6D9A"/>
    <w:rsid w:val="25111399"/>
    <w:rsid w:val="25292727"/>
    <w:rsid w:val="252E5CA9"/>
    <w:rsid w:val="25381017"/>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BC31CD"/>
    <w:rsid w:val="28DA4193"/>
    <w:rsid w:val="28DF2665"/>
    <w:rsid w:val="29072599"/>
    <w:rsid w:val="291029F3"/>
    <w:rsid w:val="29CB58F0"/>
    <w:rsid w:val="2A053397"/>
    <w:rsid w:val="2A145E96"/>
    <w:rsid w:val="2A2131BB"/>
    <w:rsid w:val="2A276CC2"/>
    <w:rsid w:val="2A5F0E8A"/>
    <w:rsid w:val="2ADE61B7"/>
    <w:rsid w:val="2AF5378F"/>
    <w:rsid w:val="2AFC6642"/>
    <w:rsid w:val="2BB94DBF"/>
    <w:rsid w:val="2BF37410"/>
    <w:rsid w:val="2C6F314E"/>
    <w:rsid w:val="2CC206BE"/>
    <w:rsid w:val="2D1136DF"/>
    <w:rsid w:val="2D20606D"/>
    <w:rsid w:val="2D4C51F6"/>
    <w:rsid w:val="2D6729FE"/>
    <w:rsid w:val="2DA55799"/>
    <w:rsid w:val="2DB87198"/>
    <w:rsid w:val="2DB93C54"/>
    <w:rsid w:val="2E3D144C"/>
    <w:rsid w:val="2E891204"/>
    <w:rsid w:val="2E935510"/>
    <w:rsid w:val="2F3F0A28"/>
    <w:rsid w:val="2FBF7029"/>
    <w:rsid w:val="2FD0187F"/>
    <w:rsid w:val="2FD27414"/>
    <w:rsid w:val="2FFE4BB0"/>
    <w:rsid w:val="300E7B60"/>
    <w:rsid w:val="300F6E18"/>
    <w:rsid w:val="30862F5F"/>
    <w:rsid w:val="30A4775A"/>
    <w:rsid w:val="314029C9"/>
    <w:rsid w:val="31B1462B"/>
    <w:rsid w:val="31C63837"/>
    <w:rsid w:val="31C82E39"/>
    <w:rsid w:val="32601BAD"/>
    <w:rsid w:val="329F6389"/>
    <w:rsid w:val="332A00AB"/>
    <w:rsid w:val="3389023A"/>
    <w:rsid w:val="33CB74FA"/>
    <w:rsid w:val="343642F2"/>
    <w:rsid w:val="343F3010"/>
    <w:rsid w:val="345D0A00"/>
    <w:rsid w:val="34713BFD"/>
    <w:rsid w:val="34C13589"/>
    <w:rsid w:val="34EF2FE4"/>
    <w:rsid w:val="353369E3"/>
    <w:rsid w:val="35B21E0B"/>
    <w:rsid w:val="35E00D72"/>
    <w:rsid w:val="362C24D2"/>
    <w:rsid w:val="36965B9D"/>
    <w:rsid w:val="36C549FD"/>
    <w:rsid w:val="37337890"/>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AD63E86"/>
    <w:rsid w:val="3B196883"/>
    <w:rsid w:val="3B6716E3"/>
    <w:rsid w:val="3B6C6B2D"/>
    <w:rsid w:val="3C242659"/>
    <w:rsid w:val="3C96719C"/>
    <w:rsid w:val="3CA72BE8"/>
    <w:rsid w:val="3CDC1E1E"/>
    <w:rsid w:val="3CF37F8C"/>
    <w:rsid w:val="3D137554"/>
    <w:rsid w:val="3D22462E"/>
    <w:rsid w:val="3D5275AC"/>
    <w:rsid w:val="3DCC2473"/>
    <w:rsid w:val="3DEB0883"/>
    <w:rsid w:val="3DFE35E3"/>
    <w:rsid w:val="3E145890"/>
    <w:rsid w:val="3E2527BF"/>
    <w:rsid w:val="3E70484C"/>
    <w:rsid w:val="3E731662"/>
    <w:rsid w:val="3E8168DD"/>
    <w:rsid w:val="3EA7725F"/>
    <w:rsid w:val="3EB03713"/>
    <w:rsid w:val="3EBF1A11"/>
    <w:rsid w:val="3EC52607"/>
    <w:rsid w:val="3ED54B98"/>
    <w:rsid w:val="3EE53B65"/>
    <w:rsid w:val="3EEC6CEF"/>
    <w:rsid w:val="3F183429"/>
    <w:rsid w:val="3F9904AC"/>
    <w:rsid w:val="3FB77A1D"/>
    <w:rsid w:val="3FDC3674"/>
    <w:rsid w:val="3FE31223"/>
    <w:rsid w:val="3FED7F8A"/>
    <w:rsid w:val="40094AEF"/>
    <w:rsid w:val="405470BD"/>
    <w:rsid w:val="40640024"/>
    <w:rsid w:val="40794A29"/>
    <w:rsid w:val="40834692"/>
    <w:rsid w:val="41431AD5"/>
    <w:rsid w:val="414B3C0F"/>
    <w:rsid w:val="415E6D5F"/>
    <w:rsid w:val="417C1CE7"/>
    <w:rsid w:val="41900018"/>
    <w:rsid w:val="41944406"/>
    <w:rsid w:val="41CE128F"/>
    <w:rsid w:val="41DA6F12"/>
    <w:rsid w:val="42171FB1"/>
    <w:rsid w:val="42833C84"/>
    <w:rsid w:val="42C10D7B"/>
    <w:rsid w:val="434E6957"/>
    <w:rsid w:val="43BA0E31"/>
    <w:rsid w:val="43BD4ED9"/>
    <w:rsid w:val="43C15147"/>
    <w:rsid w:val="43E14DD2"/>
    <w:rsid w:val="43F800E9"/>
    <w:rsid w:val="44044A8E"/>
    <w:rsid w:val="443A7E4B"/>
    <w:rsid w:val="444A7D08"/>
    <w:rsid w:val="452F5B3A"/>
    <w:rsid w:val="454E7FD2"/>
    <w:rsid w:val="46061BDC"/>
    <w:rsid w:val="461404F8"/>
    <w:rsid w:val="46413018"/>
    <w:rsid w:val="464B7E04"/>
    <w:rsid w:val="468041AA"/>
    <w:rsid w:val="468123C6"/>
    <w:rsid w:val="46901EEE"/>
    <w:rsid w:val="469C74D2"/>
    <w:rsid w:val="47445515"/>
    <w:rsid w:val="474B4782"/>
    <w:rsid w:val="47AF7D0A"/>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B83EDC"/>
    <w:rsid w:val="4AE12E67"/>
    <w:rsid w:val="4AF869CF"/>
    <w:rsid w:val="4B4C0111"/>
    <w:rsid w:val="4B5F25AA"/>
    <w:rsid w:val="4B8553A9"/>
    <w:rsid w:val="4BDB3730"/>
    <w:rsid w:val="4C200F7A"/>
    <w:rsid w:val="4CEE3180"/>
    <w:rsid w:val="4D0F4AF6"/>
    <w:rsid w:val="4DF94F37"/>
    <w:rsid w:val="4E065278"/>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DD76D6"/>
    <w:rsid w:val="51025EB1"/>
    <w:rsid w:val="51141503"/>
    <w:rsid w:val="513C450E"/>
    <w:rsid w:val="518D0ED5"/>
    <w:rsid w:val="525C687F"/>
    <w:rsid w:val="52A3740A"/>
    <w:rsid w:val="52F647F7"/>
    <w:rsid w:val="52F92565"/>
    <w:rsid w:val="53AE735E"/>
    <w:rsid w:val="53D03877"/>
    <w:rsid w:val="541C77C6"/>
    <w:rsid w:val="542F73CA"/>
    <w:rsid w:val="5430786D"/>
    <w:rsid w:val="543E6951"/>
    <w:rsid w:val="545A1D2A"/>
    <w:rsid w:val="54C811C0"/>
    <w:rsid w:val="54FE1085"/>
    <w:rsid w:val="554C4963"/>
    <w:rsid w:val="556A442D"/>
    <w:rsid w:val="55DA564E"/>
    <w:rsid w:val="55E816A3"/>
    <w:rsid w:val="5604127D"/>
    <w:rsid w:val="56044E6C"/>
    <w:rsid w:val="56166703"/>
    <w:rsid w:val="561D378D"/>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8F0C8A"/>
    <w:rsid w:val="5BD456CE"/>
    <w:rsid w:val="5C0D1F49"/>
    <w:rsid w:val="5CBB0CE2"/>
    <w:rsid w:val="5CC17177"/>
    <w:rsid w:val="5CF306BC"/>
    <w:rsid w:val="5D3F3D64"/>
    <w:rsid w:val="5D833043"/>
    <w:rsid w:val="5DD92690"/>
    <w:rsid w:val="5DDB1CFD"/>
    <w:rsid w:val="5E7E6D93"/>
    <w:rsid w:val="5E82459B"/>
    <w:rsid w:val="5ED44800"/>
    <w:rsid w:val="5EE61D72"/>
    <w:rsid w:val="5F350BDE"/>
    <w:rsid w:val="5F61632C"/>
    <w:rsid w:val="5FA17648"/>
    <w:rsid w:val="5FE705CB"/>
    <w:rsid w:val="6007714E"/>
    <w:rsid w:val="603D5080"/>
    <w:rsid w:val="606842D0"/>
    <w:rsid w:val="606C29EE"/>
    <w:rsid w:val="60D0261B"/>
    <w:rsid w:val="61691BFE"/>
    <w:rsid w:val="618E3791"/>
    <w:rsid w:val="61947DCA"/>
    <w:rsid w:val="61A46A97"/>
    <w:rsid w:val="61D1382F"/>
    <w:rsid w:val="61F114A2"/>
    <w:rsid w:val="622B0ABA"/>
    <w:rsid w:val="623421D4"/>
    <w:rsid w:val="62512BB4"/>
    <w:rsid w:val="625D7D1A"/>
    <w:rsid w:val="62660469"/>
    <w:rsid w:val="62DD7D21"/>
    <w:rsid w:val="633F2F95"/>
    <w:rsid w:val="637D586B"/>
    <w:rsid w:val="63A5560B"/>
    <w:rsid w:val="63E9091F"/>
    <w:rsid w:val="64322AF9"/>
    <w:rsid w:val="64D6010D"/>
    <w:rsid w:val="64D82665"/>
    <w:rsid w:val="64E47C96"/>
    <w:rsid w:val="651E5741"/>
    <w:rsid w:val="655D7702"/>
    <w:rsid w:val="658A4877"/>
    <w:rsid w:val="65A00902"/>
    <w:rsid w:val="65AC6EDD"/>
    <w:rsid w:val="65D97752"/>
    <w:rsid w:val="65EE2A50"/>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2073C4"/>
    <w:rsid w:val="693748F0"/>
    <w:rsid w:val="69846A0E"/>
    <w:rsid w:val="69AA1366"/>
    <w:rsid w:val="69AD798C"/>
    <w:rsid w:val="69D005C0"/>
    <w:rsid w:val="69D80B96"/>
    <w:rsid w:val="69F47AD7"/>
    <w:rsid w:val="6A2C39D4"/>
    <w:rsid w:val="6B68175F"/>
    <w:rsid w:val="6BFD799F"/>
    <w:rsid w:val="6C4A2E5A"/>
    <w:rsid w:val="6C563169"/>
    <w:rsid w:val="6C8138D0"/>
    <w:rsid w:val="6CEF0725"/>
    <w:rsid w:val="6D4B2604"/>
    <w:rsid w:val="6D77358F"/>
    <w:rsid w:val="6D8030E4"/>
    <w:rsid w:val="6E0E35C4"/>
    <w:rsid w:val="6E0F7A08"/>
    <w:rsid w:val="6E3556C0"/>
    <w:rsid w:val="6E3947F5"/>
    <w:rsid w:val="6E6733A0"/>
    <w:rsid w:val="6E6E3938"/>
    <w:rsid w:val="6E9C74ED"/>
    <w:rsid w:val="6EF72976"/>
    <w:rsid w:val="6F795A80"/>
    <w:rsid w:val="6F7C1D2E"/>
    <w:rsid w:val="6F8E0407"/>
    <w:rsid w:val="6FDD069F"/>
    <w:rsid w:val="702B4D16"/>
    <w:rsid w:val="70AA6621"/>
    <w:rsid w:val="70C66AA3"/>
    <w:rsid w:val="7111480F"/>
    <w:rsid w:val="71261F49"/>
    <w:rsid w:val="712E6956"/>
    <w:rsid w:val="71473612"/>
    <w:rsid w:val="71504F32"/>
    <w:rsid w:val="7152309F"/>
    <w:rsid w:val="718524BB"/>
    <w:rsid w:val="718F7F65"/>
    <w:rsid w:val="71DA6992"/>
    <w:rsid w:val="727B234E"/>
    <w:rsid w:val="728A58B0"/>
    <w:rsid w:val="72D068C7"/>
    <w:rsid w:val="72E42ED8"/>
    <w:rsid w:val="72FC34C3"/>
    <w:rsid w:val="73111482"/>
    <w:rsid w:val="735F4CB9"/>
    <w:rsid w:val="73674C62"/>
    <w:rsid w:val="73845865"/>
    <w:rsid w:val="739B6D9E"/>
    <w:rsid w:val="73BC1D76"/>
    <w:rsid w:val="73FB6630"/>
    <w:rsid w:val="741E64D5"/>
    <w:rsid w:val="748D790E"/>
    <w:rsid w:val="749820CC"/>
    <w:rsid w:val="74CE04EC"/>
    <w:rsid w:val="74E76DCD"/>
    <w:rsid w:val="74F57957"/>
    <w:rsid w:val="751A00A9"/>
    <w:rsid w:val="751D7C0A"/>
    <w:rsid w:val="75722D56"/>
    <w:rsid w:val="75A4312B"/>
    <w:rsid w:val="75C13CDD"/>
    <w:rsid w:val="75DB5477"/>
    <w:rsid w:val="75FC6AC3"/>
    <w:rsid w:val="7616619B"/>
    <w:rsid w:val="76660D7C"/>
    <w:rsid w:val="766C5968"/>
    <w:rsid w:val="768F16E6"/>
    <w:rsid w:val="76BE0C8F"/>
    <w:rsid w:val="76CD53B2"/>
    <w:rsid w:val="76E6594C"/>
    <w:rsid w:val="770719AC"/>
    <w:rsid w:val="776526CC"/>
    <w:rsid w:val="77A262E1"/>
    <w:rsid w:val="77B13C33"/>
    <w:rsid w:val="77DC095A"/>
    <w:rsid w:val="77ED6F44"/>
    <w:rsid w:val="77F45548"/>
    <w:rsid w:val="77FC440B"/>
    <w:rsid w:val="784E7CA6"/>
    <w:rsid w:val="78574801"/>
    <w:rsid w:val="7863107C"/>
    <w:rsid w:val="786A47BB"/>
    <w:rsid w:val="7873527F"/>
    <w:rsid w:val="78D21D5D"/>
    <w:rsid w:val="790A6425"/>
    <w:rsid w:val="790E2D96"/>
    <w:rsid w:val="791B54B2"/>
    <w:rsid w:val="793C0F89"/>
    <w:rsid w:val="795A0A34"/>
    <w:rsid w:val="797339C3"/>
    <w:rsid w:val="79D57D57"/>
    <w:rsid w:val="79F00650"/>
    <w:rsid w:val="7A5C2227"/>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C32874"/>
    <w:rsid w:val="7EE24272"/>
    <w:rsid w:val="7EEA6053"/>
    <w:rsid w:val="7F487C04"/>
    <w:rsid w:val="7F611CBA"/>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lang w:bidi="ug-CN"/>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5">
    <w:name w:val="WPSOffice手动目录 1"/>
    <w:qFormat/>
    <w:uiPriority w:val="0"/>
    <w:rPr>
      <w:rFonts w:ascii="Times New Roman" w:hAnsi="Times New Roman" w:eastAsia="宋体" w:cs="Times New Roman"/>
      <w:lang w:val="en-US" w:eastAsia="zh-CN" w:bidi="ug-CN"/>
    </w:rPr>
  </w:style>
  <w:style w:type="paragraph" w:customStyle="1" w:styleId="1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6857</Words>
  <Characters>7537</Characters>
  <Lines>55</Lines>
  <Paragraphs>15</Paragraphs>
  <TotalTime>0</TotalTime>
  <ScaleCrop>false</ScaleCrop>
  <LinksUpToDate>false</LinksUpToDate>
  <CharactersWithSpaces>7568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2024-09-13T10:52:00Z</dcterms:created>
  <dc:creator>GXR</dc:creator>
  <cp:lastModifiedBy>Administrator</cp:lastModifiedBy>
  <dcterms:modified xsi:type="dcterms:W3CDTF">2024-12-02T03:40:35Z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