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沙湾市第四中学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认真贯彻执行党的教育方针，根据我校的特点，结合实际出发，以国家拨给的教育经费为主要资金来源，妥善科学</w:t>
      </w:r>
      <w:r>
        <w:rPr>
          <w:rFonts w:hint="eastAsia" w:ascii="仿宋_GB2312" w:eastAsia="仿宋_GB2312"/>
          <w:color w:val="auto"/>
          <w:sz w:val="32"/>
          <w:szCs w:val="32"/>
          <w:highlight w:val="none"/>
          <w:lang w:eastAsia="zh-CN"/>
        </w:rPr>
        <w:t>地</w:t>
      </w:r>
      <w:r>
        <w:rPr>
          <w:rFonts w:hint="eastAsia" w:ascii="仿宋_GB2312" w:eastAsia="仿宋_GB2312"/>
          <w:color w:val="auto"/>
          <w:sz w:val="32"/>
          <w:szCs w:val="32"/>
          <w:highlight w:val="none"/>
        </w:rPr>
        <w:t>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沙湾市第四中学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215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146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单位无下属预算单位，下设</w:t>
      </w:r>
      <w:r>
        <w:rPr>
          <w:rFonts w:hint="eastAsia" w:ascii="仿宋_GB2312" w:eastAsia="仿宋_GB2312"/>
          <w:color w:val="auto"/>
          <w:sz w:val="32"/>
          <w:szCs w:val="32"/>
          <w:highlight w:val="none"/>
          <w:lang w:val="en-US" w:eastAsia="zh-CN"/>
        </w:rPr>
        <w:t>6</w:t>
      </w:r>
      <w:bookmarkStart w:id="48" w:name="_GoBack"/>
      <w:bookmarkEnd w:id="48"/>
      <w:r>
        <w:rPr>
          <w:rFonts w:hint="eastAsia" w:ascii="仿宋_GB2312" w:eastAsia="仿宋_GB2312"/>
          <w:color w:val="auto"/>
          <w:sz w:val="32"/>
          <w:szCs w:val="32"/>
          <w:highlight w:val="none"/>
        </w:rPr>
        <w:t>个处室，分别是：党政办公室、教务处、德育处、后勤管理处、工会、团委少先队。</w:t>
      </w:r>
      <w:bookmarkStart w:id="6" w:name="_Toc29374"/>
      <w:bookmarkStart w:id="7" w:name="_Toc3092"/>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4,646.55万元，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4,646.55万元，使用非财政拨款结余0.00万元，年初结转和结余0.00万元。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4,646.55万元，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4,646.55万元，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增加164.21万元</w:t>
      </w:r>
      <w:r>
        <w:rPr>
          <w:rFonts w:hint="eastAsia" w:ascii="仿宋_GB2312" w:eastAsia="仿宋_GB2312"/>
          <w:color w:val="auto"/>
          <w:spacing w:val="0"/>
          <w:sz w:val="32"/>
          <w:szCs w:val="32"/>
          <w:highlight w:val="none"/>
          <w:lang w:eastAsia="zh-CN"/>
        </w:rPr>
        <w:t>，增长3.66%，主要原因是：本年度发放2023年教师考核工资、晋升职称工资、基础性绩效工资增资、补发了2020年绩效奖金及财政拨付了以前年度学生生活补助，增加拨付了风雨操场工程款及1号楼维修工程款。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4,646.55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4,646.55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本年支出4,646.55万元，其中：基本支出4,119.89万元，占88.67%；项目支出526.66万元，占11.33%；上缴上级支出0.00万元，占0.00%；经营支出0.00万元，占0.00%；对附属单位补助支出0.00万元，占0.00%。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4,646.55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4,646.55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4,646.55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4,646.55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增加165.27万元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增长3.69%,</w:t>
      </w:r>
      <w:r>
        <w:rPr>
          <w:rFonts w:hint="eastAsia" w:ascii="仿宋_GB2312" w:eastAsia="仿宋_GB2312"/>
          <w:color w:val="auto"/>
          <w:spacing w:val="0"/>
          <w:sz w:val="32"/>
          <w:szCs w:val="32"/>
          <w:highlight w:val="none"/>
          <w:lang w:eastAsia="zh-CN"/>
        </w:rPr>
        <w:t>主要原因是：本年度发放2023年教师考核工资、晋升职称工资、基础性绩效工资增资、补发了2020年绩效奖金及财政拨付了以前年度学生生活补助，增加拨付了风雨操场工程款及1号楼维修工程款。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4,148.96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4,646.55</w:t>
      </w:r>
      <w:r>
        <w:rPr>
          <w:rFonts w:hint="eastAsia" w:ascii="仿宋_GB2312" w:eastAsia="仿宋_GB2312"/>
          <w:color w:val="auto"/>
          <w:spacing w:val="0"/>
          <w:sz w:val="32"/>
          <w:szCs w:val="32"/>
          <w:highlight w:val="none"/>
          <w:lang w:eastAsia="zh-CN"/>
        </w:rPr>
        <w:t>万元，预决算差异率11.99%，主要原因是：2023年补发以前年度绩效奖励金及2023年增资、2023年设备购置及大型修缮，以上项目为追加预算。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2023年度一般公共预算财政拨款支出4,646.55万元，占本年支出合计的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增加165.27万元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增长3.69%,</w:t>
      </w:r>
      <w:r>
        <w:rPr>
          <w:rFonts w:hint="eastAsia" w:ascii="仿宋_GB2312" w:eastAsia="仿宋_GB2312"/>
          <w:color w:val="auto"/>
          <w:spacing w:val="0"/>
          <w:sz w:val="32"/>
          <w:szCs w:val="32"/>
          <w:highlight w:val="none"/>
          <w:lang w:eastAsia="zh-CN"/>
        </w:rPr>
        <w:t>主要原因是：本年度发放2023年教师考核工资、晋升职称工资、基础性绩效工资增资、补发了2020年绩效奖金及财政拨付了以前年度学生生活补助，增加拨付了风雨操场工程款及1号楼维修工程款。与年初预算相比，年初预算数4,148.96万元，决算数4,646.55万元，预决算差异率11.99%，主要原因是：2023年补发以前年度绩效奖励金及2023年增资、2023年设备购置及大型修缮，以上项目为追加预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1.教育支出（类）4,631.55万元，占99.68%；</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2.其他支出（类）15.00万元，占0.32%。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1.教育支出（类）教育费附加安排的支出（款）其他教育费附加安排的支出（项）:支出决算数为29.00万元，比上年决算减少105.90万元，下降78.50%，主要原因是：</w:t>
      </w:r>
      <w:r>
        <w:rPr>
          <w:rFonts w:hint="eastAsia" w:ascii="仿宋_GB2312" w:hAnsi="仿宋_GB2312" w:eastAsia="仿宋_GB2312" w:cs="仿宋_GB2312"/>
          <w:color w:val="auto"/>
          <w:kern w:val="2"/>
          <w:sz w:val="32"/>
          <w:szCs w:val="32"/>
          <w:highlight w:val="none"/>
          <w:lang w:val="zh-CN" w:eastAsia="zh-CN" w:bidi="ar-SA"/>
        </w:rPr>
        <w:t>202</w:t>
      </w: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zh-CN" w:eastAsia="zh-CN" w:bidi="ar-SA"/>
        </w:rPr>
        <w:t>减少了教育系统班班通设备采购及塑胶运动场工程款。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2.教育支出（类）普通教育（款）高中教育（项）:支出决算数为6.25万元，比上年决算增加3.15万元，增长101.61%，主要原因是：</w:t>
      </w:r>
      <w:r>
        <w:rPr>
          <w:rFonts w:hint="eastAsia" w:ascii="仿宋_GB2312" w:hAnsi="仿宋_GB2312" w:eastAsia="仿宋_GB2312" w:cs="仿宋_GB2312"/>
          <w:color w:val="auto"/>
          <w:kern w:val="2"/>
          <w:sz w:val="32"/>
          <w:szCs w:val="32"/>
          <w:highlight w:val="none"/>
          <w:lang w:val="zh-CN" w:eastAsia="zh-CN" w:bidi="ar-SA"/>
        </w:rPr>
        <w:t>2023年补发了以前年度的绩效奖金。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3.教育支出（类）普通教育（款）初中教育（项）:支出决算数为4,596.30万元，比上年决算增加258.02万元，增长5.95%，主要原因是：</w:t>
      </w:r>
      <w:r>
        <w:rPr>
          <w:rFonts w:hint="eastAsia" w:ascii="仿宋_GB2312" w:hAnsi="仿宋_GB2312" w:eastAsia="仿宋_GB2312" w:cs="仿宋_GB2312"/>
          <w:color w:val="auto"/>
          <w:kern w:val="2"/>
          <w:sz w:val="32"/>
          <w:szCs w:val="32"/>
          <w:highlight w:val="none"/>
          <w:lang w:val="zh-CN" w:eastAsia="zh-CN" w:bidi="ar-SA"/>
        </w:rPr>
        <w:t>2023年补发以前年度绩效奖励金及2023年增资、2023年设备购置及大型修缮支出增加。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4.其他支出（类）其他支出（款）其他支出（项）:支出决算数为15.00万元，比上年决算增加10.00万元，增长200.00%，主要原因是：2023年度新增人才发展基金第一批重大人才计划项目支持资金10万元。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4,119.89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4,107.98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工会经费11.91万元。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财政拨款“三公”经费支出。其中：因公出国（境）费支出0.00万元，占0.00%，比上年增加0.00万元，增长0.00%，主要原因是：本单位无因公出国（境）费支出；公务用车购置及运行维护费支出0.00万元，占0.00%，比上年增加0.00万元，增长0.00%，主要原因是：本单位无公务用车购置及运行维护费支出；公务接待费支出0.00万元，占0.00%，比上年增加0.00万元，增长0.00%，主要原因是：本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因公出国（境）费支出0.00万元，开支内容包括本单位无因公出国（境）费支出。单位全年安排的因公出国（境）团组0个，因公出国（境）0人次。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本单位无公务用车运行维护费开支。公务用车购置数0辆，公务用车保有量0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情况：“三公”经费支出全年预算数0.00万元，决算数0.00万元，预决算差异率0.00%，主要原因是：本单位未安排财政拨款“三公”经费支出，预决算无差异。其中：因公出国（境）费全年预算数0.00万元，决算数0.00万元，预决算差异率0.00%，主要原因是：本单位未安排因公出国（境）费，预决算无差异；公务用车购置费全年预算数0.00万元，决算数0.00万元，预决算差异率0.00%，主要原因是：本单位未安排公务用车购置费，预决算无差异；公务用车运行费全年预算数0.00万元，决算数0.00万元，预决算差异率0.00%，主要原因是：本单位未安排公务用车运行费，预决算无差异；公务接待费全年预算数0.00万元，决算数0.00万元，预决算差异率0.00%，主要原因是：本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FF0000"/>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沙湾市第四中学（事业单位）公用经费支出11.91万元，</w:t>
      </w:r>
      <w:r>
        <w:rPr>
          <w:rFonts w:hint="eastAsia" w:ascii="仿宋_GB2312" w:hAnsi="仿宋_GB2312" w:eastAsia="仿宋_GB2312" w:cs="仿宋_GB2312"/>
          <w:color w:val="auto"/>
          <w:sz w:val="32"/>
          <w:szCs w:val="32"/>
          <w:highlight w:val="none"/>
          <w:lang w:val="zh-CN" w:eastAsia="zh-CN"/>
        </w:rPr>
        <w:t>比上年增加11.91万元，增长100.00%，主要原因是：本单位202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eastAsia="zh-CN"/>
        </w:rPr>
        <w:t>年未支付工会经费，2023年支付11.91万元工会经费。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157.79万元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其中：政府采购货物支出79.32万元、政府采购工程支出58.17万元、政府采购服务支出20.29万元。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授予中小企业合同金额157.79万元，占政府采购支出总额的100.00%，其中：授予小微企业合同金额156.54万元，占政府采购支出总额的99.21%</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4,958.81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屋26,160.18平方米，价值3,253.14万元。车辆0辆，价值0.00万元，其中：副部（省）级及以上领导用车0辆、主要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用车0辆、其他用车0辆，其他用车主要是：本单位无其他用车；单价100万元（含）以上设备（不含车辆）0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预算总额4651.21万元，实际执行总额4646.55万元；预算绩效评价项目7个，全年预算数531.33万元，全年执行数526.66万元，其中本单位sm项目2个，全年预算数34万元，全年执行数34万元，不予以公开。预算绩效管理取得的成效：一是管理制度建立情况及成效。《中华人民共和国预算法》、财政部《行政单位财务规则》《事业单位财务规则》，结合我校实际，制定了《沙湾县第四中学预算管理制度》，从预算编制、预算分解下达、预算执行、</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决算编制、绩效管理等方面，对本单位资金运行全过程进行了规范管理；二是资金管理情况及成效。为加强和规范财政资金管理，根据《中华人民共和国预算法》、《中华人民共和国会计法》、《财政违法行为处罚处分条例》及国家财政专项资金管理相关规定，结合我校实际，制定了《沙湾县第四中学资金管理暂行办法》，从资金拨付、管理使用、绩效评价、责任落实等方面，对本单位资金安全使用进行制度化、流程化管理。发现的问题及原因：一是预算编制前根据年度内单位可预见的工作任务，确定了单位年度预算目标，细化了预算指标，但是在实际支付过程中，个别时候未严格按照预算指标执行；二是本单位的项目领导小组，对该项目的事前、事中、事后进行监督与跟踪，但在项目实施过程中仍存在不全面的地方，对项目的部分细节有所疏忽。资金的拨付审批程序和手续是否能予以简化。资金的拨付的金额能否加大。有一些项目缺口大。下一步改进措施：一是高度重视财政预决算工作，加强预算的约束力；二是加强内部管理，严格执行预算，坚持厉行节约，进一步降低财政支出。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仿宋_GB2312" w:eastAsia="仿宋_GB2312" w:cs="仿宋_GB2312"/>
          <w:color w:val="auto"/>
          <w:kern w:val="0"/>
          <w:sz w:val="32"/>
          <w:szCs w:val="32"/>
          <w:highlight w:val="none"/>
          <w:lang w:val="en-US" w:eastAsia="zh-CN"/>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本单位sm项目2个，全年预算数34万元，全年执行数34万元，不予以公开绩效自评表。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ZDE2NGRiNjc2MjNhY2FkOTdjMGU0ZGMyMGVhZDU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6B107E"/>
    <w:rsid w:val="11731CAC"/>
    <w:rsid w:val="119500A0"/>
    <w:rsid w:val="11C0733B"/>
    <w:rsid w:val="11D50D17"/>
    <w:rsid w:val="120A1561"/>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B3723C"/>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6D4750"/>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947935"/>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AF5296"/>
    <w:rsid w:val="33CB74FA"/>
    <w:rsid w:val="343642F2"/>
    <w:rsid w:val="343F3010"/>
    <w:rsid w:val="345D0A00"/>
    <w:rsid w:val="34713BFD"/>
    <w:rsid w:val="34905F74"/>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09734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5423ED"/>
    <w:rsid w:val="518D0ED5"/>
    <w:rsid w:val="525C687F"/>
    <w:rsid w:val="52A3740A"/>
    <w:rsid w:val="52F647F7"/>
    <w:rsid w:val="52F92565"/>
    <w:rsid w:val="53AE735E"/>
    <w:rsid w:val="53D03877"/>
    <w:rsid w:val="542F73CA"/>
    <w:rsid w:val="5430786D"/>
    <w:rsid w:val="545A1D2A"/>
    <w:rsid w:val="546220FC"/>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713F1E"/>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77784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0490E"/>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CC5A99"/>
    <w:rsid w:val="7DF84014"/>
    <w:rsid w:val="7E207949"/>
    <w:rsid w:val="7E260120"/>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5229</Words>
  <Characters>5926</Characters>
  <Lines>0</Lines>
  <Paragraphs>0</Paragraphs>
  <TotalTime>29</TotalTime>
  <ScaleCrop>false</ScaleCrop>
  <LinksUpToDate>false</LinksUpToDate>
  <CharactersWithSpaces>5938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2025-04-09T05:19:39Z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