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黑体" w:hAnsi="黑体" w:eastAsia="黑体"/>
          <w:sz w:val="32"/>
          <w:szCs w:val="32"/>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沙湾市第二小学</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spacing w:line="240" w:lineRule="auto"/>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spacing w:line="240" w:lineRule="auto"/>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spacing w:line="240" w:lineRule="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spacing w:line="240" w:lineRule="auto"/>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spacing w:line="240" w:lineRule="auto"/>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spacing w:line="240" w:lineRule="auto"/>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spacing w:line="240" w:lineRule="auto"/>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spacing w:line="240" w:lineRule="auto"/>
      </w:pPr>
      <w:r>
        <w:rPr>
          <w:rFonts w:hint="eastAsia" w:ascii="仿宋_GB2312" w:hAnsi="仿宋_GB2312" w:eastAsia="仿宋_GB2312" w:cs="仿宋_GB2312"/>
          <w:sz w:val="32"/>
          <w:szCs w:val="32"/>
        </w:rPr>
        <w:fldChar w:fldCharType="end"/>
      </w:r>
    </w:p>
    <w:p>
      <w:pPr>
        <w:spacing w:line="240" w:lineRule="auto"/>
        <w:rPr>
          <w:rFonts w:ascii="仿宋_GB2312" w:eastAsia="仿宋_GB2312"/>
          <w:sz w:val="32"/>
          <w:szCs w:val="32"/>
        </w:rPr>
      </w:pPr>
      <w:r>
        <w:rPr>
          <w:rFonts w:hint="eastAsia" w:ascii="仿宋_GB2312" w:eastAsia="仿宋_GB2312"/>
          <w:sz w:val="32"/>
          <w:szCs w:val="32"/>
        </w:rPr>
        <w:br w:type="page"/>
      </w:r>
    </w:p>
    <w:p>
      <w:pPr>
        <w:spacing w:line="240" w:lineRule="auto"/>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spacing w:line="240" w:lineRule="auto"/>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spacing w:line="240" w:lineRule="auto"/>
        <w:ind w:firstLine="640" w:firstLineChars="200"/>
        <w:jc w:val="left"/>
        <w:rPr>
          <w:rFonts w:hint="eastAsia" w:ascii="仿宋_GB2312" w:hAnsi="仿宋_GB2312" w:eastAsia="仿宋_GB2312" w:cs="仿宋_GB2312"/>
          <w:bCs/>
          <w:kern w:val="0"/>
          <w:sz w:val="32"/>
          <w:szCs w:val="32"/>
        </w:rPr>
      </w:pPr>
      <w:bookmarkStart w:id="4" w:name="_Toc31238"/>
      <w:bookmarkStart w:id="5" w:name="_Toc2151"/>
      <w:r>
        <w:rPr>
          <w:rFonts w:hint="eastAsia" w:ascii="仿宋_GB2312" w:hAnsi="仿宋_GB2312" w:eastAsia="仿宋_GB2312" w:cs="仿宋_GB2312"/>
          <w:bCs/>
          <w:kern w:val="0"/>
          <w:sz w:val="32"/>
          <w:szCs w:val="32"/>
        </w:rPr>
        <w:t>认真贯彻执行党的教育方针，根据我校的特点，结合实际出发，以国家拨给的教育经费为主要资金来源，妥善科学的管理使用各项资金，更好地为我校教育教学工作服务。</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沙湾市第二小学2023年度，实有人数</w:t>
      </w:r>
      <w:r>
        <w:rPr>
          <w:rFonts w:hint="eastAsia" w:ascii="仿宋_GB2312" w:eastAsia="仿宋_GB2312"/>
          <w:sz w:val="32"/>
          <w:szCs w:val="32"/>
          <w:lang w:val="zh-CN"/>
        </w:rPr>
        <w:t>217</w:t>
      </w:r>
      <w:r>
        <w:rPr>
          <w:rFonts w:hint="eastAsia" w:ascii="仿宋_GB2312" w:eastAsia="仿宋_GB2312"/>
          <w:sz w:val="32"/>
          <w:szCs w:val="32"/>
        </w:rPr>
        <w:t>人，其中：在职人员</w:t>
      </w:r>
      <w:r>
        <w:rPr>
          <w:rFonts w:hint="eastAsia" w:ascii="仿宋_GB2312" w:eastAsia="仿宋_GB2312"/>
          <w:sz w:val="32"/>
          <w:szCs w:val="32"/>
          <w:lang w:val="zh-CN"/>
        </w:rPr>
        <w:t>124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93</w:t>
      </w:r>
      <w:r>
        <w:rPr>
          <w:rFonts w:hint="eastAsia" w:ascii="仿宋_GB2312" w:eastAsia="仿宋_GB2312"/>
          <w:sz w:val="32"/>
          <w:szCs w:val="32"/>
        </w:rPr>
        <w:t>人。</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单位无下属预算单位，下设17个处室，分别是：校办、教务处、德育处、后勤处、一年级组、二年级组、三年级组、四年级组、五年级组、六年级组、数学低段、数学高段、英语组、艺术组、体育组、综合组、行政组。</w:t>
      </w:r>
      <w:bookmarkStart w:id="6" w:name="_Toc3092"/>
      <w:bookmarkStart w:id="7" w:name="_Toc29374"/>
    </w:p>
    <w:p>
      <w:pPr>
        <w:rPr>
          <w:rFonts w:ascii="仿宋_GB2312" w:eastAsia="仿宋_GB2312"/>
          <w:sz w:val="32"/>
          <w:szCs w:val="32"/>
        </w:rPr>
      </w:pPr>
      <w:r>
        <w:rPr>
          <w:rFonts w:hint="eastAsia" w:ascii="仿宋_GB2312" w:eastAsia="仿宋_GB2312"/>
          <w:sz w:val="32"/>
          <w:szCs w:val="32"/>
        </w:rPr>
        <w:br w:type="page"/>
      </w:r>
    </w:p>
    <w:p>
      <w:pPr>
        <w:spacing w:line="240" w:lineRule="auto"/>
        <w:ind w:firstLine="640" w:firstLineChars="200"/>
        <w:jc w:val="center"/>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2023年度收入总计2,556.30万元，其中：本年收入合计2,556.30万元，使用非财政拨款结余0.00万元，年初结转和结余0.00万元。</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2023年度支出总计2,556.30万元，其中：本年支出合计2,556.30万元，结余分配0.00万元，年末结转和结余0.00万元。</w:t>
      </w:r>
    </w:p>
    <w:p>
      <w:pPr>
        <w:pStyle w:val="7"/>
        <w:tabs>
          <w:tab w:val="right" w:pos="8306"/>
        </w:tabs>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增加183.14万元</w:t>
      </w:r>
      <w:r>
        <w:rPr>
          <w:rFonts w:hint="eastAsia" w:ascii="仿宋_GB2312" w:eastAsia="仿宋_GB2312"/>
          <w:sz w:val="32"/>
          <w:szCs w:val="32"/>
        </w:rPr>
        <w:t>，增长7.72%，主要原因是：本年度补发2020年度大绩效，发放了2023年度绩效奖金、考核工资，社保、公积金基数增加、上级拨付工会会费、拨付以前年度项目工程款，</w:t>
      </w:r>
      <w:r>
        <w:rPr>
          <w:rFonts w:hint="eastAsia" w:ascii="仿宋_GB2312" w:eastAsia="仿宋_GB2312"/>
          <w:sz w:val="32"/>
          <w:szCs w:val="32"/>
          <w:lang w:val="zh-CN"/>
        </w:rPr>
        <w:t>办公设备购置款</w:t>
      </w:r>
      <w:r>
        <w:rPr>
          <w:rFonts w:hint="eastAsia" w:ascii="仿宋_GB2312" w:hAnsi="仿宋_GB2312" w:eastAsia="仿宋_GB2312" w:cs="仿宋_GB2312"/>
          <w:sz w:val="32"/>
          <w:szCs w:val="32"/>
          <w:lang w:val="zh-CN"/>
        </w:rPr>
        <w:t>增加</w:t>
      </w:r>
      <w:r>
        <w:rPr>
          <w:rFonts w:hint="eastAsia" w:ascii="仿宋_GB2312" w:hAnsi="仿宋_GB2312" w:eastAsia="仿宋_GB2312" w:cs="仿宋_GB2312"/>
          <w:sz w:val="32"/>
          <w:szCs w:val="32"/>
        </w:rPr>
        <w:t>。</w:t>
      </w:r>
    </w:p>
    <w:p>
      <w:pPr>
        <w:spacing w:line="240" w:lineRule="auto"/>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spacing w:line="240" w:lineRule="auto"/>
        <w:ind w:firstLine="640" w:firstLineChars="200"/>
        <w:rPr>
          <w:rFonts w:ascii="仿宋_GB2312" w:eastAsia="仿宋_GB2312"/>
          <w:sz w:val="32"/>
          <w:szCs w:val="32"/>
        </w:rPr>
      </w:pPr>
      <w:bookmarkStart w:id="12" w:name="_Toc27961"/>
      <w:bookmarkStart w:id="13" w:name="_Toc13201"/>
      <w:r>
        <w:rPr>
          <w:rFonts w:hint="eastAsia" w:ascii="仿宋_GB2312" w:eastAsia="仿宋_GB2312"/>
          <w:sz w:val="32"/>
          <w:szCs w:val="32"/>
        </w:rPr>
        <w:t>本年收入2,556.30万元，其中：财政拨款收入</w:t>
      </w:r>
      <w:r>
        <w:rPr>
          <w:rFonts w:hint="eastAsia" w:ascii="仿宋_GB2312" w:eastAsia="仿宋_GB2312"/>
          <w:sz w:val="32"/>
          <w:szCs w:val="32"/>
          <w:lang w:val="zh-CN"/>
        </w:rPr>
        <w:t>2,556.30</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三、支出决算情况说明</w:t>
      </w:r>
      <w:bookmarkEnd w:id="12"/>
      <w:bookmarkEnd w:id="13"/>
    </w:p>
    <w:p>
      <w:pPr>
        <w:spacing w:line="240" w:lineRule="auto"/>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本年支出2,556.30万元，其中：基本支出2,306.54万元，占90.23%；项目支出249.76万元，占9.77%；上缴上级支出0.00万元，占0.00%；经营支出0.00万元，占0.00%；对附属单位补助支出0.00万元，占0.00%。</w:t>
      </w:r>
    </w:p>
    <w:p>
      <w:pPr>
        <w:spacing w:line="240" w:lineRule="auto"/>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2,556.30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2,556.30</w:t>
      </w:r>
      <w:r>
        <w:rPr>
          <w:rFonts w:hint="eastAsia" w:ascii="仿宋_GB2312" w:eastAsia="仿宋_GB2312"/>
          <w:sz w:val="32"/>
          <w:szCs w:val="32"/>
        </w:rPr>
        <w:t>万元。财政拨款支出总计</w:t>
      </w:r>
      <w:r>
        <w:rPr>
          <w:rFonts w:hint="eastAsia" w:ascii="仿宋_GB2312" w:eastAsia="仿宋_GB2312"/>
          <w:sz w:val="32"/>
          <w:szCs w:val="32"/>
          <w:lang w:val="zh-CN"/>
        </w:rPr>
        <w:t>2,556.30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2,556.30</w:t>
      </w:r>
      <w:r>
        <w:rPr>
          <w:rFonts w:hint="eastAsia" w:ascii="仿宋_GB2312" w:eastAsia="仿宋_GB2312"/>
          <w:sz w:val="32"/>
          <w:szCs w:val="32"/>
        </w:rPr>
        <w:t>万元。</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增加183.14万元</w:t>
      </w:r>
      <w:r>
        <w:rPr>
          <w:rFonts w:hint="eastAsia" w:ascii="仿宋_GB2312" w:eastAsia="仿宋_GB2312"/>
          <w:sz w:val="32"/>
          <w:szCs w:val="32"/>
        </w:rPr>
        <w:t>，增长7.72%,主要原因是：</w:t>
      </w:r>
      <w:r>
        <w:rPr>
          <w:rFonts w:hint="eastAsia" w:ascii="仿宋_GB2312" w:hAnsi="仿宋_GB2312" w:eastAsia="仿宋_GB2312" w:cs="仿宋_GB2312"/>
          <w:sz w:val="32"/>
          <w:szCs w:val="32"/>
          <w:lang w:val="zh-CN"/>
        </w:rPr>
        <w:t>本年度发放以前年度绩效奖金、社保公积金基数增加、上级拨付工会会费、办公设备购置增加。</w:t>
      </w:r>
      <w:r>
        <w:rPr>
          <w:rFonts w:hint="eastAsia" w:ascii="仿宋_GB2312" w:eastAsia="仿宋_GB2312"/>
          <w:sz w:val="32"/>
          <w:szCs w:val="32"/>
        </w:rPr>
        <w:t>与年初预算相比，年初预算数</w:t>
      </w:r>
      <w:r>
        <w:rPr>
          <w:rFonts w:hint="eastAsia" w:ascii="仿宋_GB2312" w:eastAsia="仿宋_GB2312"/>
          <w:sz w:val="32"/>
          <w:szCs w:val="32"/>
          <w:lang w:val="zh-CN"/>
        </w:rPr>
        <w:t>2,350.98</w:t>
      </w:r>
      <w:r>
        <w:rPr>
          <w:rFonts w:hint="eastAsia" w:ascii="仿宋_GB2312" w:eastAsia="仿宋_GB2312"/>
          <w:sz w:val="32"/>
          <w:szCs w:val="32"/>
        </w:rPr>
        <w:t>万元，决算数</w:t>
      </w:r>
      <w:r>
        <w:rPr>
          <w:rFonts w:hint="eastAsia" w:ascii="仿宋_GB2312" w:eastAsia="仿宋_GB2312"/>
          <w:sz w:val="32"/>
          <w:szCs w:val="32"/>
          <w:lang w:val="zh-CN"/>
        </w:rPr>
        <w:t>2,556.30</w:t>
      </w:r>
      <w:r>
        <w:rPr>
          <w:rFonts w:hint="eastAsia" w:ascii="仿宋_GB2312" w:eastAsia="仿宋_GB2312"/>
          <w:sz w:val="32"/>
          <w:szCs w:val="32"/>
        </w:rPr>
        <w:t>万元，预决算差异率8.73%，主要原因是：本年度补发2020年度大绩效，发放了2023年度绩效奖金、考核工资，社保、公积金基数增加、上级拨付工会会费、拨付以前年度项目工程款，</w:t>
      </w:r>
      <w:r>
        <w:rPr>
          <w:rFonts w:hint="eastAsia" w:ascii="仿宋_GB2312" w:eastAsia="仿宋_GB2312"/>
          <w:sz w:val="32"/>
          <w:szCs w:val="32"/>
          <w:lang w:val="zh-CN"/>
        </w:rPr>
        <w:t>办公设备购置款增加</w:t>
      </w:r>
      <w:r>
        <w:rPr>
          <w:rFonts w:hint="eastAsia" w:ascii="仿宋_GB2312" w:eastAsia="仿宋_GB2312"/>
          <w:sz w:val="32"/>
          <w:szCs w:val="32"/>
        </w:rPr>
        <w:t>。</w:t>
      </w:r>
    </w:p>
    <w:p>
      <w:pPr>
        <w:spacing w:line="240" w:lineRule="auto"/>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2023年度一般公共预算财政拨款支出2,556.30万元，占本年支出合计的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增加183.14万元</w:t>
      </w:r>
      <w:r>
        <w:rPr>
          <w:rFonts w:hint="eastAsia" w:ascii="仿宋_GB2312" w:eastAsia="仿宋_GB2312"/>
          <w:sz w:val="32"/>
          <w:szCs w:val="32"/>
        </w:rPr>
        <w:t>，增长7.72%,主要原因是：本年度发放以前年度绩效奖金、社保公积金基数增加。与年初预算相比，年初预算数</w:t>
      </w:r>
      <w:r>
        <w:rPr>
          <w:rFonts w:hint="eastAsia" w:ascii="仿宋_GB2312" w:eastAsia="仿宋_GB2312"/>
          <w:sz w:val="32"/>
          <w:szCs w:val="32"/>
          <w:lang w:val="zh-CN"/>
        </w:rPr>
        <w:t>2,350.98</w:t>
      </w:r>
      <w:r>
        <w:rPr>
          <w:rFonts w:hint="eastAsia" w:ascii="仿宋_GB2312" w:eastAsia="仿宋_GB2312"/>
          <w:sz w:val="32"/>
          <w:szCs w:val="32"/>
        </w:rPr>
        <w:t>万元，决算数</w:t>
      </w:r>
      <w:r>
        <w:rPr>
          <w:rFonts w:hint="eastAsia" w:ascii="仿宋_GB2312" w:eastAsia="仿宋_GB2312"/>
          <w:sz w:val="32"/>
          <w:szCs w:val="32"/>
          <w:lang w:val="zh-CN"/>
        </w:rPr>
        <w:t>2,556.30</w:t>
      </w:r>
      <w:r>
        <w:rPr>
          <w:rFonts w:hint="eastAsia" w:ascii="仿宋_GB2312" w:eastAsia="仿宋_GB2312"/>
          <w:sz w:val="32"/>
          <w:szCs w:val="32"/>
        </w:rPr>
        <w:t>万元，预决算差异率</w:t>
      </w:r>
      <w:r>
        <w:rPr>
          <w:rFonts w:hint="eastAsia" w:ascii="仿宋_GB2312" w:eastAsia="仿宋_GB2312"/>
          <w:sz w:val="32"/>
          <w:szCs w:val="32"/>
          <w:lang w:val="zh-CN"/>
        </w:rPr>
        <w:t>8.73%</w:t>
      </w:r>
      <w:r>
        <w:rPr>
          <w:rFonts w:hint="eastAsia" w:ascii="仿宋_GB2312" w:eastAsia="仿宋_GB2312"/>
          <w:sz w:val="32"/>
          <w:szCs w:val="32"/>
        </w:rPr>
        <w:t>，主要原因是：本年度补发2020年度大绩效，发放了2023年度绩效奖金、考核工资，社保、公积金基数增加、上级拨付工会会费、拨付以前年度项目工程款，</w:t>
      </w:r>
      <w:r>
        <w:rPr>
          <w:rFonts w:hint="eastAsia" w:ascii="仿宋_GB2312" w:eastAsia="仿宋_GB2312"/>
          <w:sz w:val="32"/>
          <w:szCs w:val="32"/>
          <w:lang w:val="zh-CN"/>
        </w:rPr>
        <w:t>办公设备购置款增加</w:t>
      </w:r>
      <w:r>
        <w:rPr>
          <w:rFonts w:hint="eastAsia" w:ascii="仿宋_GB2312" w:eastAsia="仿宋_GB2312"/>
          <w:sz w:val="32"/>
          <w:szCs w:val="32"/>
        </w:rPr>
        <w:t>。</w:t>
      </w:r>
    </w:p>
    <w:p>
      <w:pPr>
        <w:numPr>
          <w:ilvl w:val="0"/>
          <w:numId w:val="1"/>
        </w:num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line="240" w:lineRule="auto"/>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2,544.44</w:t>
      </w:r>
      <w:r>
        <w:rPr>
          <w:rFonts w:ascii="仿宋_GB2312" w:eastAsia="仿宋_GB2312"/>
          <w:kern w:val="2"/>
          <w:sz w:val="32"/>
          <w:szCs w:val="32"/>
          <w:lang w:val="zh-CN"/>
        </w:rPr>
        <w:t>万元，占</w:t>
      </w:r>
      <w:r>
        <w:rPr>
          <w:rFonts w:hint="eastAsia" w:ascii="仿宋_GB2312" w:eastAsia="仿宋_GB2312"/>
          <w:kern w:val="2"/>
          <w:sz w:val="32"/>
          <w:szCs w:val="32"/>
          <w:lang w:val="zh-CN"/>
        </w:rPr>
        <w:t>99.54%</w:t>
      </w:r>
      <w:r>
        <w:rPr>
          <w:rFonts w:ascii="仿宋_GB2312" w:eastAsia="仿宋_GB2312"/>
          <w:kern w:val="2"/>
          <w:sz w:val="32"/>
          <w:szCs w:val="32"/>
          <w:lang w:val="zh-CN"/>
        </w:rPr>
        <w:t>；</w:t>
      </w:r>
    </w:p>
    <w:p>
      <w:pPr>
        <w:pStyle w:val="8"/>
        <w:widowControl/>
        <w:spacing w:before="0" w:beforeAutospacing="0" w:after="0" w:afterAutospacing="0" w:line="240" w:lineRule="auto"/>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1.86</w:t>
      </w:r>
      <w:r>
        <w:rPr>
          <w:rFonts w:ascii="仿宋_GB2312" w:eastAsia="仿宋_GB2312"/>
          <w:kern w:val="2"/>
          <w:sz w:val="32"/>
          <w:szCs w:val="32"/>
          <w:lang w:val="zh-CN"/>
        </w:rPr>
        <w:t>万元，占</w:t>
      </w:r>
      <w:r>
        <w:rPr>
          <w:rFonts w:hint="eastAsia" w:ascii="仿宋_GB2312" w:eastAsia="仿宋_GB2312"/>
          <w:kern w:val="2"/>
          <w:sz w:val="32"/>
          <w:szCs w:val="32"/>
          <w:lang w:val="zh-CN"/>
        </w:rPr>
        <w:t>0.07%</w:t>
      </w:r>
      <w:r>
        <w:rPr>
          <w:rFonts w:ascii="仿宋_GB2312" w:eastAsia="仿宋_GB2312"/>
          <w:kern w:val="2"/>
          <w:sz w:val="32"/>
          <w:szCs w:val="32"/>
          <w:lang w:val="zh-CN"/>
        </w:rPr>
        <w:t>；</w:t>
      </w:r>
    </w:p>
    <w:p>
      <w:pPr>
        <w:pStyle w:val="8"/>
        <w:widowControl/>
        <w:spacing w:before="0" w:beforeAutospacing="0" w:after="0" w:afterAutospacing="0" w:line="240" w:lineRule="auto"/>
        <w:ind w:firstLine="640" w:firstLineChars="200"/>
        <w:rPr>
          <w:rFonts w:ascii="仿宋_GB2312" w:eastAsia="仿宋_GB2312"/>
          <w:kern w:val="2"/>
          <w:sz w:val="32"/>
          <w:szCs w:val="32"/>
          <w:lang w:val="zh-CN"/>
        </w:rPr>
      </w:pPr>
      <w:r>
        <w:rPr>
          <w:rFonts w:ascii="仿宋_GB2312" w:eastAsia="仿宋_GB2312"/>
          <w:kern w:val="2"/>
          <w:sz w:val="32"/>
          <w:szCs w:val="32"/>
          <w:lang w:val="zh-CN"/>
        </w:rPr>
        <w:t>3.其他支出（类）</w:t>
      </w:r>
      <w:r>
        <w:rPr>
          <w:rFonts w:hint="eastAsia" w:ascii="仿宋_GB2312" w:eastAsia="仿宋_GB2312"/>
          <w:kern w:val="2"/>
          <w:sz w:val="32"/>
          <w:szCs w:val="32"/>
          <w:lang w:val="zh-CN"/>
        </w:rPr>
        <w:t>10.00</w:t>
      </w:r>
      <w:r>
        <w:rPr>
          <w:rFonts w:ascii="仿宋_GB2312" w:eastAsia="仿宋_GB2312"/>
          <w:kern w:val="2"/>
          <w:sz w:val="32"/>
          <w:szCs w:val="32"/>
          <w:lang w:val="zh-CN"/>
        </w:rPr>
        <w:t>万元，占</w:t>
      </w:r>
      <w:r>
        <w:rPr>
          <w:rFonts w:hint="eastAsia" w:ascii="仿宋_GB2312" w:eastAsia="仿宋_GB2312"/>
          <w:kern w:val="2"/>
          <w:sz w:val="32"/>
          <w:szCs w:val="32"/>
          <w:lang w:val="zh-CN"/>
        </w:rPr>
        <w:t>0.39%。</w:t>
      </w:r>
    </w:p>
    <w:p>
      <w:p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1.教育支出（类）教育费附加安排的支出（款）其他教育费附加安排的支出（项）:支出决算数为10.49万元，比上年决算减少59.35万元，下降84.98%，主要原因是：</w:t>
      </w:r>
      <w:r>
        <w:rPr>
          <w:rFonts w:hint="eastAsia" w:ascii="仿宋_GB2312" w:hAnsi="仿宋_GB2312" w:eastAsia="仿宋_GB2312" w:cs="仿宋_GB2312"/>
          <w:sz w:val="32"/>
          <w:szCs w:val="32"/>
          <w:lang w:val="zh-CN"/>
        </w:rPr>
        <w:t>学校维修、建筑工程减少，决算金额随之减少。</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2.教育支出（类）普通教育（款）小学教育（项）:支出决算数为2,533.96万元，比上年决算增加232.49万元，增长10.10%，主要原因是：上级拨付</w:t>
      </w:r>
      <w:r>
        <w:rPr>
          <w:rFonts w:hint="eastAsia" w:ascii="仿宋_GB2312" w:hAnsi="仿宋_GB2312" w:eastAsia="仿宋_GB2312" w:cs="仿宋_GB2312"/>
          <w:sz w:val="32"/>
          <w:szCs w:val="32"/>
          <w:lang w:val="zh-CN"/>
        </w:rPr>
        <w:t>工会会费、</w:t>
      </w:r>
      <w:r>
        <w:rPr>
          <w:rFonts w:hint="eastAsia" w:ascii="仿宋_GB2312" w:hAnsi="仿宋_GB2312" w:eastAsia="仿宋_GB2312" w:cs="仿宋_GB2312"/>
          <w:sz w:val="32"/>
          <w:szCs w:val="32"/>
        </w:rPr>
        <w:t>新增</w:t>
      </w:r>
      <w:r>
        <w:rPr>
          <w:rFonts w:hint="eastAsia" w:ascii="仿宋_GB2312" w:hAnsi="仿宋_GB2312" w:eastAsia="仿宋_GB2312" w:cs="仿宋_GB2312"/>
          <w:sz w:val="32"/>
          <w:szCs w:val="32"/>
          <w:lang w:val="zh-CN"/>
        </w:rPr>
        <w:t>办公设备购置</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3.社会保障和就业支出（类）企业改革补助（款）其他企业改革发展补助（项）:支出决算数为1.86万元，比上年决算增加0.02万元，增长1.09%，主要原因是：企业</w:t>
      </w:r>
      <w:r>
        <w:rPr>
          <w:rFonts w:hint="eastAsia" w:ascii="仿宋_GB2312" w:hAnsi="仿宋_GB2312" w:eastAsia="仿宋_GB2312" w:cs="仿宋_GB2312"/>
          <w:sz w:val="32"/>
          <w:szCs w:val="32"/>
          <w:lang w:val="zh-CN"/>
        </w:rPr>
        <w:t>退休人员待遇增加。</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4.其他支出（类）其他支出（款）其他支出（项）:支出决算数为10.00万元，比上年决算增加10.00万元，增长100%，主要原因是：本年有</w:t>
      </w:r>
      <w:r>
        <w:rPr>
          <w:rFonts w:hint="eastAsia" w:ascii="仿宋_GB2312" w:hAnsi="仿宋_GB2312" w:eastAsia="仿宋_GB2312" w:cs="仿宋_GB2312"/>
          <w:sz w:val="32"/>
          <w:szCs w:val="32"/>
          <w:lang w:val="zh-CN"/>
        </w:rPr>
        <w:t>为民办实事工作经费，</w:t>
      </w:r>
      <w:r>
        <w:rPr>
          <w:rFonts w:hint="eastAsia" w:ascii="仿宋_GB2312" w:hAnsi="仿宋_GB2312" w:eastAsia="仿宋_GB2312" w:cs="仿宋_GB2312"/>
          <w:sz w:val="32"/>
          <w:szCs w:val="32"/>
        </w:rPr>
        <w:t>上年度没有此项目支出</w:t>
      </w:r>
      <w:r>
        <w:rPr>
          <w:rFonts w:hint="eastAsia" w:ascii="仿宋_GB2312" w:hAnsi="仿宋_GB2312" w:eastAsia="仿宋_GB2312" w:cs="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2,306.54万元，其中：人员经费2,299.98万元，包括：基本工资、津贴补贴、奖金、绩效工资、机关事业单位基本养老保险缴费、职业年金缴费、职工基本医疗保险缴费、其他社会保障缴费、住房公积金、其他工资福利支出、退休费、抚恤金、生活补助、奖励金。</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公用经费6.56万元，包括：工会经费。</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主要原因是：我单位无因公出国（境）费；公务用车购置及运行维护费支出0.00万元，占0.00%，比上年增加0.00万元，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主要原因是：我单位无公务用车购置及运行维护费；公务接待费支出0.00万元，占0.00%，比上年增加0.00万元，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主要原因是：我单位无公务接待费。</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因公出国（境）费支出0.00万元，开支内容包括单位无因公出国（境）费支出。单位全年安排的因公出国（境）团组0个，因公出国（境）0人次。</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w:t>
      </w:r>
      <w:r>
        <w:rPr>
          <w:rFonts w:hint="eastAsia" w:ascii="仿宋_GB2312" w:eastAsia="仿宋_GB2312"/>
          <w:sz w:val="32"/>
          <w:szCs w:val="32"/>
          <w:lang w:val="zh-CN"/>
        </w:rPr>
        <w:t>公务用车运行维护费。公务用车购置数0辆，公务用车保有量0辆。国有资产占用情况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我单位无</w:t>
      </w:r>
      <w:r>
        <w:rPr>
          <w:rFonts w:hint="eastAsia" w:ascii="仿宋_GB2312" w:eastAsia="仿宋_GB2312"/>
          <w:sz w:val="32"/>
          <w:szCs w:val="32"/>
          <w:lang w:val="zh-CN"/>
        </w:rPr>
        <w:t>公务用车。</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w:t>
      </w:r>
      <w:r>
        <w:rPr>
          <w:rFonts w:hint="eastAsia" w:ascii="仿宋_GB2312" w:eastAsia="仿宋_GB2312"/>
          <w:sz w:val="32"/>
          <w:szCs w:val="32"/>
          <w:lang w:val="zh-CN"/>
        </w:rPr>
        <w:t>公务接待费。单位全年安排的国内公务接待0批次，0人次。</w:t>
      </w:r>
    </w:p>
    <w:p>
      <w:pPr>
        <w:spacing w:line="240" w:lineRule="auto"/>
        <w:ind w:firstLine="640" w:firstLineChars="200"/>
        <w:jc w:val="left"/>
        <w:rPr>
          <w:rFonts w:ascii="仿宋_GB2312" w:eastAsia="仿宋_GB2312"/>
          <w:sz w:val="32"/>
          <w:szCs w:val="32"/>
          <w:lang w:val="zh-CN"/>
        </w:rPr>
      </w:pPr>
      <w:bookmarkStart w:id="18" w:name="_Toc5810"/>
      <w:bookmarkStart w:id="19" w:name="_Toc7927"/>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我单位未安排财政拨款“三公”经费支出，</w:t>
      </w:r>
      <w:r>
        <w:rPr>
          <w:rFonts w:hint="eastAsia" w:ascii="仿宋_GB2312" w:eastAsia="仿宋_GB2312"/>
          <w:sz w:val="32"/>
          <w:szCs w:val="32"/>
          <w:lang w:val="zh-CN"/>
        </w:rPr>
        <w:t>预决算无差异。其中：因公出国（境）费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我单位未安排因公出国（境）费，</w:t>
      </w:r>
      <w:r>
        <w:rPr>
          <w:rFonts w:hint="eastAsia" w:ascii="仿宋_GB2312" w:eastAsia="仿宋_GB2312"/>
          <w:sz w:val="32"/>
          <w:szCs w:val="32"/>
          <w:lang w:val="zh-CN"/>
        </w:rPr>
        <w:t>预决算无差异；公务用车购置费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我单位无公务用车购置费支出</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w:t>
      </w:r>
      <w:r>
        <w:rPr>
          <w:rFonts w:hint="eastAsia" w:ascii="仿宋_GB2312" w:eastAsia="仿宋_GB2312"/>
          <w:sz w:val="32"/>
          <w:szCs w:val="32"/>
          <w:lang w:val="zh-CN"/>
        </w:rPr>
        <w:t>公务用车运行费</w:t>
      </w:r>
      <w:r>
        <w:rPr>
          <w:rFonts w:hint="eastAsia" w:ascii="仿宋_GB2312" w:eastAsia="仿宋_GB2312"/>
          <w:sz w:val="32"/>
          <w:szCs w:val="32"/>
        </w:rPr>
        <w:t>，</w:t>
      </w:r>
      <w:r>
        <w:rPr>
          <w:rFonts w:hint="eastAsia" w:ascii="仿宋_GB2312" w:eastAsia="仿宋_GB2312"/>
          <w:sz w:val="32"/>
          <w:szCs w:val="32"/>
          <w:lang w:val="zh-CN"/>
        </w:rPr>
        <w:t>预决算无差异；公务接待费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w:t>
      </w:r>
      <w:r>
        <w:rPr>
          <w:rFonts w:hint="eastAsia" w:ascii="仿宋_GB2312" w:eastAsia="仿宋_GB2312"/>
          <w:sz w:val="32"/>
          <w:szCs w:val="32"/>
          <w:lang w:val="zh-CN"/>
        </w:rPr>
        <w:t>公务接待费</w:t>
      </w:r>
      <w:r>
        <w:rPr>
          <w:rFonts w:hint="eastAsia" w:ascii="仿宋_GB2312" w:eastAsia="仿宋_GB2312"/>
          <w:sz w:val="32"/>
          <w:szCs w:val="32"/>
        </w:rPr>
        <w:t>，</w:t>
      </w:r>
      <w:r>
        <w:rPr>
          <w:rFonts w:hint="eastAsia" w:ascii="仿宋_GB2312" w:eastAsia="仿宋_GB2312"/>
          <w:sz w:val="32"/>
          <w:szCs w:val="32"/>
          <w:lang w:val="zh-CN"/>
        </w:rPr>
        <w:t>预决算无差异。</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bookmarkEnd w:id="18"/>
      <w:bookmarkEnd w:id="19"/>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spacing w:line="240" w:lineRule="auto"/>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spacing w:line="240" w:lineRule="auto"/>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spacing w:line="240" w:lineRule="auto"/>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spacing w:line="240" w:lineRule="auto"/>
        <w:ind w:firstLine="640" w:firstLineChars="200"/>
        <w:rPr>
          <w:rFonts w:hint="eastAsia" w:ascii="仿宋_GB2312" w:hAnsi="仿宋_GB2312" w:eastAsia="仿宋_GB2312" w:cs="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沙湾市第二小学（事业单位）公用经费支出6.56万元，</w:t>
      </w:r>
      <w:r>
        <w:rPr>
          <w:rFonts w:hint="eastAsia" w:ascii="仿宋_GB2312" w:hAnsi="仿宋_GB2312" w:eastAsia="仿宋_GB2312" w:cs="仿宋_GB2312"/>
          <w:sz w:val="32"/>
          <w:szCs w:val="32"/>
          <w:lang w:val="zh-CN"/>
        </w:rPr>
        <w:t>比上年增加6.56万元，增长100.00%，主要原因是：本年度上级拨付工会会费。</w:t>
      </w:r>
    </w:p>
    <w:p>
      <w:pPr>
        <w:spacing w:line="240" w:lineRule="auto"/>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spacing w:line="240" w:lineRule="auto"/>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2023年度政府采购支出总额39.80万元，其中：政府采购货物支出26.24万元、政府采购工程支出5.12万元、政府采购服务支出8.45万元。</w:t>
      </w:r>
    </w:p>
    <w:p>
      <w:pPr>
        <w:spacing w:line="24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授予中小企业合同金额39.80万元，占政府采购支出总额的100.00%，其中：授予小微企业合同金额38.20万元，占政府采购支出总额的95.98%</w:t>
      </w:r>
      <w:r>
        <w:rPr>
          <w:rFonts w:hint="eastAsia" w:ascii="仿宋_GB2312" w:hAnsi="仿宋_GB2312" w:eastAsia="仿宋_GB2312" w:cs="仿宋_GB2312"/>
          <w:sz w:val="32"/>
          <w:szCs w:val="32"/>
        </w:rPr>
        <w:t>。</w:t>
      </w:r>
    </w:p>
    <w:p>
      <w:pPr>
        <w:spacing w:line="240" w:lineRule="auto"/>
        <w:ind w:firstLine="640" w:firstLineChars="200"/>
        <w:jc w:val="left"/>
        <w:rPr>
          <w:rFonts w:hint="eastAsia" w:ascii="仿宋_GB2312" w:hAnsi="仿宋_GB2312" w:eastAsia="仿宋_GB2312" w:cs="仿宋_GB2312"/>
          <w:sz w:val="32"/>
          <w:szCs w:val="30"/>
          <w:lang w:val="zh-CN"/>
        </w:rPr>
      </w:pPr>
      <w:bookmarkStart w:id="26" w:name="_Toc4591"/>
      <w:bookmarkStart w:id="27" w:name="_Toc8391"/>
      <w:r>
        <w:rPr>
          <w:rFonts w:hint="eastAsia" w:ascii="仿宋_GB2312" w:hAnsi="仿宋_GB2312" w:eastAsia="仿宋_GB2312" w:cs="仿宋_GB2312"/>
          <w:sz w:val="32"/>
          <w:szCs w:val="30"/>
          <w:lang w:val="zh-CN"/>
        </w:rPr>
        <w:t>（三）国有资产占用情况说明</w:t>
      </w:r>
      <w:bookmarkEnd w:id="26"/>
      <w:bookmarkEnd w:id="27"/>
    </w:p>
    <w:p>
      <w:pPr>
        <w:spacing w:line="240" w:lineRule="auto"/>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2,091.11</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屋8,112.80平方米，价值1,234.66万元。车辆0辆，价值0.00万元，其中：副部（省）级及以上领导用车0辆、主要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用车0辆、其他用车0辆，其他用车主要是：本单位无其他用车；单价100万元（含）以上设备（不含车辆）0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spacing w:line="240" w:lineRule="auto"/>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rPr>
          <w:rFonts w:ascii="仿宋_GB2312" w:eastAsia="仿宋_GB2312"/>
          <w:sz w:val="32"/>
          <w:szCs w:val="32"/>
          <w:lang w:eastAsia="zh-Hans"/>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w:t>
      </w:r>
      <w:r>
        <w:rPr>
          <w:rFonts w:hint="eastAsia" w:ascii="仿宋_GB2312" w:eastAsia="仿宋_GB2312"/>
          <w:sz w:val="32"/>
          <w:szCs w:val="32"/>
        </w:rPr>
        <w:t>全年预算总额2556.30万元，实际执行总额2556.30万元；预算绩效评价项目9个，全年预算数249.76万元，全年执行数249.76万元。本单位sm项目2个，全年预算数4</w:t>
      </w:r>
      <w:bookmarkStart w:id="48" w:name="_GoBack"/>
      <w:bookmarkEnd w:id="48"/>
      <w:r>
        <w:rPr>
          <w:rFonts w:hint="eastAsia" w:ascii="仿宋_GB2312" w:eastAsia="仿宋_GB2312"/>
          <w:sz w:val="32"/>
          <w:szCs w:val="32"/>
        </w:rPr>
        <w:t>1.9万元，全年执行数41.9万，不予以公开。预算绩效管理取得的成效：一是通过该项目的实施，改善了教师工作环境、教学环境，为教育教学工作正常开展提供良好的硬件；软件环境：二是小学生生活补助资金，有效减轻小学阶段困难学生家庭负担。发现的问题及原因：一是项目绩效目标设置需要更加科学、合理，完整；二是项目绩效跟着需要更加严格，规范。下一步改进措施：一是继续完善预算目标制定，二是完善执行过程，保障项目顺利实施。具体项目自评情况附绩效自评表及自评报告。</w:t>
      </w:r>
    </w:p>
    <w:p>
      <w:pPr>
        <w:spacing w:line="240" w:lineRule="auto"/>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spacing w:line="240" w:lineRule="auto"/>
        <w:ind w:firstLine="640" w:firstLineChars="200"/>
        <w:jc w:val="left"/>
        <w:outlineLvl w:val="0"/>
        <w:rPr>
          <w:rFonts w:ascii="仿宋_GB2312" w:eastAsia="仿宋_GB2312"/>
          <w:sz w:val="32"/>
          <w:szCs w:val="32"/>
        </w:rPr>
      </w:pPr>
      <w:r>
        <w:rPr>
          <w:rFonts w:hint="eastAsia" w:ascii="仿宋_GB2312" w:eastAsia="仿宋_GB2312"/>
          <w:sz w:val="32"/>
          <w:szCs w:val="32"/>
        </w:rPr>
        <w:t>本单位sm项目2个，全年预算金额41.9万元，全年执行数41.9万，不予以公开绩效自评表。</w:t>
      </w:r>
      <w:bookmarkStart w:id="30" w:name="_Toc3250"/>
      <w:bookmarkStart w:id="31" w:name="_Toc24143"/>
    </w:p>
    <w:p>
      <w:pPr>
        <w:rPr>
          <w:rFonts w:ascii="仿宋_GB2312" w:eastAsia="仿宋_GB2312"/>
          <w:sz w:val="32"/>
          <w:szCs w:val="32"/>
        </w:rPr>
      </w:pPr>
      <w:r>
        <w:rPr>
          <w:rFonts w:hint="eastAsia" w:ascii="仿宋_GB2312" w:eastAsia="仿宋_GB2312"/>
          <w:sz w:val="32"/>
          <w:szCs w:val="32"/>
        </w:rPr>
        <w:br w:type="page"/>
      </w:r>
    </w:p>
    <w:p>
      <w:pPr>
        <w:spacing w:line="240" w:lineRule="auto"/>
        <w:jc w:val="center"/>
        <w:outlineLvl w:val="0"/>
        <w:rPr>
          <w:rFonts w:hint="eastAsia"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spacing w:line="240" w:lineRule="auto"/>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spacing w:line="240" w:lineRule="auto"/>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spacing w:line="240" w:lineRule="auto"/>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spacing w:line="240" w:lineRule="auto"/>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spacing w:line="240" w:lineRule="auto"/>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spacing w:line="240" w:lineRule="auto"/>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spacing w:line="240" w:lineRule="auto"/>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spacing w:line="240" w:lineRule="auto"/>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spacing w:line="240" w:lineRule="auto"/>
        <w:ind w:firstLine="640" w:firstLineChars="200"/>
        <w:rPr>
          <w:rFonts w:ascii="仿宋_GB2312" w:eastAsia="仿宋_GB2312"/>
          <w:sz w:val="32"/>
          <w:szCs w:val="32"/>
        </w:rPr>
      </w:pPr>
    </w:p>
    <w:p>
      <w:pPr>
        <w:spacing w:line="240" w:lineRule="auto"/>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D358CE"/>
    <w:rsid w:val="000B050B"/>
    <w:rsid w:val="00213C59"/>
    <w:rsid w:val="003210CE"/>
    <w:rsid w:val="003707AE"/>
    <w:rsid w:val="0074056D"/>
    <w:rsid w:val="00960E01"/>
    <w:rsid w:val="00B70D59"/>
    <w:rsid w:val="00D358CE"/>
    <w:rsid w:val="00ED0295"/>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0141F8"/>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3450A7"/>
    <w:rsid w:val="14207DC0"/>
    <w:rsid w:val="14B932DA"/>
    <w:rsid w:val="150A66AF"/>
    <w:rsid w:val="154C1139"/>
    <w:rsid w:val="15816100"/>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2047E2"/>
    <w:rsid w:val="1B39345B"/>
    <w:rsid w:val="1BFB2A1F"/>
    <w:rsid w:val="1C015D4A"/>
    <w:rsid w:val="1C290ED5"/>
    <w:rsid w:val="1C317E4F"/>
    <w:rsid w:val="1C472464"/>
    <w:rsid w:val="1CEA4F3A"/>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B37F8C"/>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EB54DD"/>
    <w:rsid w:val="2AF5378F"/>
    <w:rsid w:val="2BB94DBF"/>
    <w:rsid w:val="2BF37410"/>
    <w:rsid w:val="2C6F314E"/>
    <w:rsid w:val="2CC206BE"/>
    <w:rsid w:val="2D1136DF"/>
    <w:rsid w:val="2D20606D"/>
    <w:rsid w:val="2D6729FE"/>
    <w:rsid w:val="2DB87198"/>
    <w:rsid w:val="2DB93C54"/>
    <w:rsid w:val="2E3D144C"/>
    <w:rsid w:val="2E891204"/>
    <w:rsid w:val="2E9B4DC9"/>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AE2084D"/>
    <w:rsid w:val="3B196883"/>
    <w:rsid w:val="3B6716E3"/>
    <w:rsid w:val="3B6C6B2D"/>
    <w:rsid w:val="3BE106D4"/>
    <w:rsid w:val="3C242659"/>
    <w:rsid w:val="3C96719C"/>
    <w:rsid w:val="3CA72BE8"/>
    <w:rsid w:val="3CDC1E1E"/>
    <w:rsid w:val="3CF37F8C"/>
    <w:rsid w:val="3CFC72ED"/>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C61DD9"/>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095A53"/>
    <w:rsid w:val="4B4C0111"/>
    <w:rsid w:val="4B8553A9"/>
    <w:rsid w:val="4BDB3730"/>
    <w:rsid w:val="4C200F7A"/>
    <w:rsid w:val="4C6B57C7"/>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26497"/>
    <w:rsid w:val="58CD2491"/>
    <w:rsid w:val="591B41B2"/>
    <w:rsid w:val="59254A26"/>
    <w:rsid w:val="59326325"/>
    <w:rsid w:val="595C505B"/>
    <w:rsid w:val="595E55C3"/>
    <w:rsid w:val="596E7E20"/>
    <w:rsid w:val="5A0E2B22"/>
    <w:rsid w:val="5A5D23AA"/>
    <w:rsid w:val="5A60780B"/>
    <w:rsid w:val="5AB34579"/>
    <w:rsid w:val="5AB40E78"/>
    <w:rsid w:val="5AF80B40"/>
    <w:rsid w:val="5AFC6609"/>
    <w:rsid w:val="5B113480"/>
    <w:rsid w:val="5B753002"/>
    <w:rsid w:val="5BD456CE"/>
    <w:rsid w:val="5C0D1F49"/>
    <w:rsid w:val="5C233FA7"/>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7B1D22"/>
    <w:rsid w:val="60D0261B"/>
    <w:rsid w:val="618E3791"/>
    <w:rsid w:val="61947DCA"/>
    <w:rsid w:val="61A46A97"/>
    <w:rsid w:val="61D1382F"/>
    <w:rsid w:val="61F114A2"/>
    <w:rsid w:val="622B0ABA"/>
    <w:rsid w:val="62512BB4"/>
    <w:rsid w:val="625D7D1A"/>
    <w:rsid w:val="62660469"/>
    <w:rsid w:val="62976E04"/>
    <w:rsid w:val="62DD7D21"/>
    <w:rsid w:val="637D586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56AAD"/>
    <w:rsid w:val="669B4528"/>
    <w:rsid w:val="66CC12D7"/>
    <w:rsid w:val="67134CEF"/>
    <w:rsid w:val="671F1ABD"/>
    <w:rsid w:val="67521A59"/>
    <w:rsid w:val="67C304AB"/>
    <w:rsid w:val="683B03E6"/>
    <w:rsid w:val="683F0658"/>
    <w:rsid w:val="689C6793"/>
    <w:rsid w:val="68DB0208"/>
    <w:rsid w:val="68FB170C"/>
    <w:rsid w:val="691B3D98"/>
    <w:rsid w:val="693748F0"/>
    <w:rsid w:val="694563B2"/>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572998"/>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9C299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964</Words>
  <Characters>5497</Characters>
  <Lines>45</Lines>
  <Paragraphs>12</Paragraphs>
  <TotalTime>0</TotalTime>
  <ScaleCrop>false</ScaleCrop>
  <LinksUpToDate>false</LinksUpToDate>
  <CharactersWithSpaces>6449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2025-04-08T11:45:12Z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