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沙湾市第二中学</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bookmarkStart w:id="48" w:name="_GoBack"/>
      <w:bookmarkEnd w:id="48"/>
      <w:r>
        <w:rPr>
          <w:rFonts w:hint="eastAsia" w:ascii="方正小标宋_GBK" w:hAnsi="宋体" w:eastAsia="方正小标宋_GBK"/>
          <w:color w:val="auto"/>
          <w:sz w:val="44"/>
          <w:szCs w:val="44"/>
          <w:highlight w:val="none"/>
          <w:lang w:eastAsia="zh-CN"/>
        </w:rPr>
        <w:t>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keepNext w:val="0"/>
        <w:keepLines w:val="0"/>
        <w:pageBreakBefore w:val="0"/>
        <w:kinsoku/>
        <w:wordWrap/>
        <w:overflowPunct/>
        <w:topLinePunct w:val="0"/>
        <w:bidi w:val="0"/>
        <w:adjustRightInd/>
        <w:snapToGrid/>
        <w:spacing w:line="240" w:lineRule="auto"/>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目录</w:t>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第一部分</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第二部分部门决算情况说明</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keepNext w:val="0"/>
        <w:keepLines w:val="0"/>
        <w:pageBreakBefore w:val="0"/>
        <w:kinsoku/>
        <w:wordWrap/>
        <w:overflowPunct/>
        <w:topLinePunct w:val="0"/>
        <w:bidi w:val="0"/>
        <w:adjustRightInd/>
        <w:snapToGrid/>
        <w:spacing w:line="240" w:lineRule="auto"/>
        <w:textAlignment w:val="auto"/>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第三部分专业名词解释</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第四部分部门决算报表（见附表）</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keepNext w:val="0"/>
        <w:keepLines w:val="0"/>
        <w:pageBreakBefore w:val="0"/>
        <w:kinsoku/>
        <w:wordWrap/>
        <w:overflowPunct/>
        <w:topLinePunct w:val="0"/>
        <w:bidi w:val="0"/>
        <w:adjustRightInd/>
        <w:snapToGrid/>
        <w:spacing w:line="240" w:lineRule="auto"/>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第一部分</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全面贯彻党的教育方针和国家的政策、法规，坚持正确政治方向，认真实施素质教育，积极发展办学特色，不断提高教育质量，以培养学生的创新精神和实践能力为重点，造就“有理想、有道德、有文化、有纪律”的德智体美等全面发展的社会主义事业的建设者和接班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沙湾市第二中学</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192</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112</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80</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eastAsia="zh-CN"/>
        </w:rPr>
        <w:t>单位无下属预算单位，</w:t>
      </w:r>
      <w:r>
        <w:rPr>
          <w:rFonts w:hint="eastAsia" w:ascii="仿宋_GB2312" w:eastAsia="仿宋_GB2312"/>
          <w:color w:val="auto"/>
          <w:sz w:val="32"/>
          <w:szCs w:val="32"/>
          <w:highlight w:val="none"/>
        </w:rPr>
        <w:t>沙湾</w:t>
      </w:r>
      <w:r>
        <w:rPr>
          <w:rFonts w:hint="eastAsia" w:ascii="仿宋_GB2312" w:eastAsia="仿宋_GB2312"/>
          <w:color w:val="auto"/>
          <w:sz w:val="32"/>
          <w:szCs w:val="32"/>
          <w:highlight w:val="none"/>
          <w:lang w:val="en-US" w:eastAsia="zh-CN"/>
        </w:rPr>
        <w:t>市</w:t>
      </w:r>
      <w:r>
        <w:rPr>
          <w:rFonts w:hint="eastAsia" w:ascii="仿宋_GB2312" w:eastAsia="仿宋_GB2312"/>
          <w:color w:val="auto"/>
          <w:sz w:val="32"/>
          <w:szCs w:val="32"/>
          <w:highlight w:val="none"/>
          <w:lang w:eastAsia="zh-CN"/>
        </w:rPr>
        <w:t>第二中学</w:t>
      </w:r>
      <w:r>
        <w:rPr>
          <w:rFonts w:hint="eastAsia" w:ascii="仿宋_GB2312" w:eastAsia="仿宋_GB2312"/>
          <w:color w:val="auto"/>
          <w:sz w:val="32"/>
          <w:szCs w:val="32"/>
          <w:highlight w:val="none"/>
        </w:rPr>
        <w:t>本级下设</w:t>
      </w:r>
      <w:r>
        <w:rPr>
          <w:rFonts w:hint="eastAsia" w:ascii="仿宋_GB2312" w:eastAsia="仿宋_GB2312"/>
          <w:color w:val="auto"/>
          <w:sz w:val="32"/>
          <w:szCs w:val="32"/>
          <w:highlight w:val="none"/>
          <w:lang w:val="en-US" w:eastAsia="zh-CN"/>
        </w:rPr>
        <w:t>10</w:t>
      </w:r>
      <w:r>
        <w:rPr>
          <w:rFonts w:hint="eastAsia" w:ascii="仿宋_GB2312" w:eastAsia="仿宋_GB2312"/>
          <w:color w:val="auto"/>
          <w:sz w:val="32"/>
          <w:szCs w:val="32"/>
          <w:highlight w:val="none"/>
        </w:rPr>
        <w:t>个处室，分别是：</w:t>
      </w:r>
      <w:r>
        <w:rPr>
          <w:rFonts w:hint="eastAsia" w:ascii="仿宋_GB2312" w:eastAsia="仿宋_GB2312"/>
          <w:color w:val="auto"/>
          <w:sz w:val="32"/>
          <w:szCs w:val="32"/>
          <w:highlight w:val="none"/>
          <w:lang w:val="en-US" w:eastAsia="zh-CN"/>
        </w:rPr>
        <w:t>高中部、初中部、校办、教务处、德育处、总务处、工会办公室、团委办公室、综治办、财务室。</w:t>
      </w:r>
      <w:bookmarkStart w:id="6" w:name="_Toc3092"/>
      <w:bookmarkStart w:id="7" w:name="_Toc29374"/>
    </w:p>
    <w:p>
      <w:pPr>
        <w:keepNext w:val="0"/>
        <w:keepLines w:val="0"/>
        <w:pageBreakBefore w:val="0"/>
        <w:kinsoku/>
        <w:wordWrap/>
        <w:overflowPunct/>
        <w:topLinePunct w:val="0"/>
        <w:bidi w:val="0"/>
        <w:adjustRightInd/>
        <w:snapToGrid/>
        <w:spacing w:line="240" w:lineRule="auto"/>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br w:type="page"/>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2,288.68万元，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2,288.68万元，使用非财政拨款结余0.00万元，年初结转和结余0.00万元。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2,288.68万元，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2,288.68万元，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减少694.06万元</w:t>
      </w:r>
      <w:r>
        <w:rPr>
          <w:rFonts w:hint="eastAsia" w:ascii="仿宋_GB2312" w:eastAsia="仿宋_GB2312"/>
          <w:color w:val="auto"/>
          <w:spacing w:val="0"/>
          <w:sz w:val="32"/>
          <w:szCs w:val="32"/>
          <w:highlight w:val="none"/>
          <w:lang w:eastAsia="zh-CN"/>
        </w:rPr>
        <w:t>，下降23.27%，主要原因是：</w:t>
      </w:r>
      <w:r>
        <w:rPr>
          <w:rFonts w:hint="eastAsia" w:ascii="仿宋_GB2312" w:eastAsia="仿宋_GB2312"/>
          <w:color w:val="auto"/>
          <w:spacing w:val="0"/>
          <w:sz w:val="32"/>
          <w:szCs w:val="32"/>
          <w:highlight w:val="none"/>
          <w:lang w:val="en-US" w:eastAsia="zh-CN"/>
        </w:rPr>
        <w:t>按上级规划要求我校于2023年进行撤并，所以2022年年底调出54名老师，退休4名老师所以人员收入支出减少了，本年也没有招收学生，义务教育经费减少了，所以总体收入支出比2022年减少。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2,288.68</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2,288.68</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100.00%</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本年支出2,288.68万元，其中：基本支出2,181.77万元，占95.33%；项目支出106.92万元，占4.67%；上缴上级支出0.00万元，占0.00%；经营支出0.00万元，占0.00%；对附属单位补助支出0.00万元，占0.00%。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2,288.68</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2,288.68</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2,288.68</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2,288.68</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减少694.06万元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下降23.27%,</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按上级规划要求我校于2023年进行撤并，所以2022年年底调出54名老师，退休4名老师所以人员收入支出减少了，本年也没有招收学生，义务教育经费减少了，所以总体收入支出比2022年减少。</w:t>
      </w:r>
    </w:p>
    <w:p>
      <w:pPr>
        <w:keepNext w:val="0"/>
        <w:keepLines w:val="0"/>
        <w:pageBreakBefore w:val="0"/>
        <w:kinsoku/>
        <w:wordWrap/>
        <w:overflowPunct/>
        <w:topLinePunct w:val="0"/>
        <w:bidi w:val="0"/>
        <w:adjustRightInd/>
        <w:snapToGrid/>
        <w:spacing w:line="240" w:lineRule="auto"/>
        <w:ind w:firstLine="56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2,069.75</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2,288.68</w:t>
      </w:r>
      <w:r>
        <w:rPr>
          <w:rFonts w:hint="eastAsia" w:ascii="仿宋_GB2312" w:eastAsia="仿宋_GB2312"/>
          <w:color w:val="auto"/>
          <w:spacing w:val="0"/>
          <w:sz w:val="32"/>
          <w:szCs w:val="32"/>
          <w:highlight w:val="none"/>
          <w:lang w:eastAsia="zh-CN"/>
        </w:rPr>
        <w:t>万元，预决算差异率10.58%，</w:t>
      </w:r>
      <w:r>
        <w:rPr>
          <w:rFonts w:hint="eastAsia" w:ascii="仿宋_GB2312" w:eastAsia="仿宋_GB2312"/>
          <w:color w:val="auto"/>
          <w:spacing w:val="0"/>
          <w:sz w:val="32"/>
          <w:szCs w:val="32"/>
          <w:highlight w:val="none"/>
          <w:lang w:val="en-US" w:eastAsia="zh-CN"/>
        </w:rPr>
        <w:t>主要原因是：发放2023年教师考核、晋升职称、基础性绩效增资、补发2020年绩效奖金，这些项目为年中追加预算项目。</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2023年度一般公共预算财政拨款支出2,288.68万元，占本年支出合计的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减少694.06万元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下降23.27%,</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按上级规划要求我校于2023年进行撤并，所以2022年年底调出54名老师，退休4名老师所以人员收入支出减少了，本年也没有招收学生，义务教育经费减少了，所以总体收入支出比2022年减少。</w:t>
      </w:r>
    </w:p>
    <w:p>
      <w:pPr>
        <w:keepNext w:val="0"/>
        <w:keepLines w:val="0"/>
        <w:pageBreakBefore w:val="0"/>
        <w:kinsoku/>
        <w:wordWrap/>
        <w:overflowPunct/>
        <w:topLinePunct w:val="0"/>
        <w:bidi w:val="0"/>
        <w:adjustRightInd/>
        <w:snapToGrid/>
        <w:spacing w:line="240" w:lineRule="auto"/>
        <w:ind w:firstLine="56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2,069.75</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2,288.68</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10.58%</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发放2023年教师考核、晋升职称、基础性绩效增资、补发2020年绩效奖金，这些项目为年中追加预算项目。</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.教育支出（类）</w:t>
      </w:r>
      <w:r>
        <w:rPr>
          <w:rFonts w:hint="eastAsia" w:ascii="仿宋_GB2312" w:hAnsi="Times New Roman" w:eastAsia="仿宋_GB2312" w:cs="Times New Roman"/>
          <w:color w:val="auto"/>
          <w:spacing w:val="0"/>
          <w:kern w:val="2"/>
          <w:sz w:val="32"/>
          <w:szCs w:val="32"/>
          <w:highlight w:val="none"/>
          <w:lang w:val="zh-CN" w:eastAsia="zh-CN" w:bidi="ar-SA"/>
        </w:rPr>
        <w:t>2,288.68</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100.00%</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1.教育支出（类）教育费附加安排的支出（款）其他教育费附加安排的支出（项）:支出决算数为54.46万元，比上年决算增加38.46万元，增长240.38%，主要原因是：本年度支</w:t>
      </w:r>
      <w:r>
        <w:rPr>
          <w:rFonts w:hint="eastAsia" w:ascii="仿宋_GB2312" w:hAnsi="仿宋_GB2312" w:eastAsia="仿宋_GB2312" w:cs="仿宋_GB2312"/>
          <w:color w:val="auto"/>
          <w:kern w:val="2"/>
          <w:sz w:val="32"/>
          <w:szCs w:val="32"/>
          <w:highlight w:val="none"/>
          <w:lang w:val="zh-CN" w:eastAsia="zh-CN" w:bidi="ar-SA"/>
        </w:rPr>
        <w:t>付以前年</w:t>
      </w:r>
      <w:r>
        <w:rPr>
          <w:rFonts w:hint="eastAsia" w:ascii="仿宋_GB2312" w:hAnsi="仿宋_GB2312" w:eastAsia="仿宋_GB2312" w:cs="仿宋_GB2312"/>
          <w:color w:val="auto"/>
          <w:kern w:val="2"/>
          <w:sz w:val="32"/>
          <w:szCs w:val="32"/>
          <w:highlight w:val="none"/>
          <w:lang w:val="en-US" w:eastAsia="zh-CN" w:bidi="ar-SA"/>
        </w:rPr>
        <w:t>塑胶运动场、男生宿舍楼维修、综合楼抗震加固、设备安装、电力建设工程项目</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2.教育支出（类）普通教育（款）高中教育（项）:支出决算数为29.20万元，比上年决算增加12.60万元，增长75.90%，主要原因是：</w:t>
      </w:r>
      <w:r>
        <w:rPr>
          <w:rFonts w:hint="eastAsia" w:ascii="仿宋_GB2312" w:hAnsi="仿宋_GB2312" w:eastAsia="仿宋_GB2312" w:cs="仿宋_GB2312"/>
          <w:color w:val="auto"/>
          <w:kern w:val="2"/>
          <w:sz w:val="32"/>
          <w:szCs w:val="32"/>
          <w:highlight w:val="none"/>
          <w:lang w:val="zh-CN" w:eastAsia="zh-CN" w:bidi="ar-SA"/>
        </w:rPr>
        <w:t>今年发放</w:t>
      </w:r>
      <w:r>
        <w:rPr>
          <w:rFonts w:hint="eastAsia" w:ascii="仿宋_GB2312" w:hAnsi="仿宋_GB2312" w:eastAsia="仿宋_GB2312" w:cs="仿宋_GB2312"/>
          <w:color w:val="auto"/>
          <w:kern w:val="2"/>
          <w:sz w:val="32"/>
          <w:szCs w:val="32"/>
          <w:highlight w:val="none"/>
          <w:lang w:val="en-US" w:eastAsia="zh-CN" w:bidi="ar-SA"/>
        </w:rPr>
        <w:t>以前年的高中老师的2018年及2020年的大绩效工资</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3.教育支出（类）普通教育（款）初中教育（项）:支出决算数为2,205.02万元，比上年决算减少745.12万元，下降25.26%，主要原因是：</w:t>
      </w:r>
      <w:r>
        <w:rPr>
          <w:rFonts w:hint="eastAsia" w:ascii="仿宋_GB2312" w:eastAsia="仿宋_GB2312"/>
          <w:color w:val="auto"/>
          <w:spacing w:val="0"/>
          <w:sz w:val="32"/>
          <w:szCs w:val="32"/>
          <w:highlight w:val="none"/>
          <w:lang w:val="en-US" w:eastAsia="zh-CN"/>
        </w:rPr>
        <w:t>按上级规划要求我校于2023年进行撤并，所以2022年年底调出54名老师，退休4名老师所以人员收入支出减少了，本年也没有招收学生，义务教育经费减少了，所以总体收入支出比2022年减少。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2,181.77</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2,175.60</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基本工资、津贴补贴、奖金、绩效工资、机关事业单位基本养老保险缴费、职业年金缴费、职工基本医疗保险缴费、其他社会保障缴费、住房公积金、其他工资福利支出、退休费、抚恤金、生活补助、奖励金。</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6.16</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工会经费。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kinsoku/>
        <w:wordWrap/>
        <w:overflowPunct/>
        <w:topLinePunct w:val="0"/>
        <w:bidi w:val="0"/>
        <w:adjustRightInd/>
        <w:snapToGrid/>
        <w:spacing w:line="240" w:lineRule="auto"/>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主要原因是：我单位</w:t>
      </w:r>
      <w:r>
        <w:rPr>
          <w:rFonts w:hint="eastAsia" w:ascii="仿宋_GB2312" w:eastAsia="仿宋_GB2312"/>
          <w:color w:val="auto"/>
          <w:sz w:val="32"/>
          <w:szCs w:val="32"/>
          <w:highlight w:val="none"/>
          <w:lang w:val="en-US" w:eastAsia="zh-CN"/>
        </w:rPr>
        <w:t>无“三公”经费支出</w:t>
      </w:r>
      <w:r>
        <w:rPr>
          <w:rFonts w:hint="eastAsia" w:ascii="仿宋_GB2312" w:eastAsia="仿宋_GB2312"/>
          <w:color w:val="auto"/>
          <w:sz w:val="32"/>
          <w:szCs w:val="32"/>
          <w:highlight w:val="none"/>
          <w:lang w:val="zh-CN" w:eastAsia="zh-CN"/>
        </w:rPr>
        <w:t>。其中：因公出国（境）费支出0.00万元，占0.00%，比上年增加0.00万元，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主要原因是：我单位无出国（境）费支出；公务用车购置及运行维护费支出0.00万元，占0.00%，比上年增加0.00万元，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主要原因是：我单位无公务用车购置及运行维护费支出；公务接待费支出0.00万元，占0.00%，比上年增加0.00万元，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主要原因是：我单位无公务接待费支出。</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因公出国（境）费支出0.00万元，开支内容包括无因公出国（境）费支出。单位全年安排的因公出国（境）团组0个，因公出国（境）0人次。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公务用车购置及运行维护费0.00万元，其中：公务用车购置费0.00万元，公务用车运行维护费0.00万元。公务用车运行维护费开支内容包括我单位无公务用车。</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0辆，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原因是：我单位无公务用车。</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公务接待费0.00万元，开支内容包括：无公务接待费。单位全年安排的国内公务接待0批次，0人次。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预算数0.00万元，决算数0.00万元，预决算差异率0.00%，主要原因是：我单位未安排“三公”经费支出，预决算无差异。其中：因公出国（境）费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0.00万元，决算数0.00万元，预决算差异率0.00%，主要原因是：我单位未安排“三公”经费支出，预决算无差异；公务用车购置费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预算数0.00万元，决算数0.00万元，预决算差异率0.00%，主要原因是：我单位未安排公务用车购置费，预决算无差异；公务用车运行费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预算数0.00万元，决算数0.00万元，预决算差异率0.00%，主要原因是：我单位未安排公务用车运行费；公务接待费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预算数0.00万元，决算数0.00万元，预决算差异率0.00%，主要原因是：我单位未安排公务接待费，预决算无差异。</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sz w:val="32"/>
          <w:szCs w:val="32"/>
          <w:highlight w:val="none"/>
          <w:lang w:val="en-US" w:eastAsia="zh-CN"/>
        </w:rPr>
      </w:pPr>
      <w:bookmarkStart w:id="24" w:name="_Toc227"/>
      <w:bookmarkStart w:id="25" w:name="_Toc26704"/>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en-US" w:eastAsia="zh-CN"/>
        </w:rPr>
        <w:t>沙湾市第二中学（事业单位）公用经费支出6.16万元，</w:t>
      </w:r>
      <w:r>
        <w:rPr>
          <w:rFonts w:hint="eastAsia" w:ascii="仿宋_GB2312" w:hAnsi="仿宋_GB2312" w:eastAsia="仿宋_GB2312" w:cs="仿宋_GB2312"/>
          <w:color w:val="auto"/>
          <w:sz w:val="32"/>
          <w:szCs w:val="32"/>
          <w:highlight w:val="none"/>
          <w:lang w:val="zh-CN" w:eastAsia="zh-CN"/>
        </w:rPr>
        <w:t>比上年增加6.16万元，增长100.00%，主要原因是：今年财政拨入工会经费，</w:t>
      </w:r>
      <w:r>
        <w:rPr>
          <w:rFonts w:hint="eastAsia" w:ascii="仿宋_GB2312" w:hAnsi="仿宋_GB2312" w:eastAsia="仿宋_GB2312" w:cs="仿宋_GB2312"/>
          <w:color w:val="auto"/>
          <w:sz w:val="32"/>
          <w:szCs w:val="32"/>
          <w:highlight w:val="none"/>
          <w:lang w:val="en-US" w:eastAsia="zh-CN"/>
        </w:rPr>
        <w:t>上年度无此项目支出</w:t>
      </w:r>
      <w:r>
        <w:rPr>
          <w:rFonts w:hint="eastAsia" w:ascii="仿宋_GB2312" w:hAnsi="仿宋_GB2312" w:eastAsia="仿宋_GB2312" w:cs="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政府采购支出总额</w:t>
      </w:r>
      <w:r>
        <w:rPr>
          <w:rFonts w:hint="eastAsia" w:ascii="仿宋_GB2312" w:hAnsi="仿宋_GB2312" w:eastAsia="仿宋_GB2312" w:cs="仿宋_GB2312"/>
          <w:color w:val="auto"/>
          <w:sz w:val="32"/>
          <w:szCs w:val="32"/>
          <w:highlight w:val="none"/>
          <w:lang w:val="zh-CN" w:eastAsia="zh-CN"/>
        </w:rPr>
        <w:t>0.00万元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zh-CN" w:eastAsia="zh-CN"/>
        </w:rPr>
        <w:t>其中：政府采购货物支出0.00万元、政府采购工程支出0.00万元、政府采购服务支出0.00万元。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授予中小企业合同金额0.00万元，占政府采购支出总额的0.00%，其中：授予小微企业合同金额0.00万元，占政府采购支出总额的0.00%</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0"/>
          <w:highlight w:val="none"/>
          <w:lang w:val="zh-CN" w:eastAsia="zh-CN"/>
        </w:rPr>
      </w:pPr>
      <w:bookmarkStart w:id="26" w:name="_Toc8391"/>
      <w:bookmarkStart w:id="27" w:name="_Toc4591"/>
      <w:r>
        <w:rPr>
          <w:rFonts w:hint="eastAsia" w:ascii="仿宋_GB2312" w:hAnsi="仿宋_GB2312" w:eastAsia="仿宋_GB2312" w:cs="仿宋_GB2312"/>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en-US" w:eastAsia="zh-CN"/>
        </w:rPr>
        <w:t>截至2023</w:t>
      </w:r>
      <w:r>
        <w:rPr>
          <w:rFonts w:hint="eastAsia" w:ascii="仿宋_GB2312" w:hAnsi="仿宋_GB2312" w:eastAsia="仿宋_GB2312" w:cs="仿宋_GB2312"/>
          <w:color w:val="auto"/>
          <w:sz w:val="32"/>
          <w:szCs w:val="32"/>
          <w:highlight w:val="none"/>
          <w:lang w:val="zh-CN" w:eastAsia="zh-CN"/>
        </w:rPr>
        <w:t>年</w:t>
      </w:r>
      <w:r>
        <w:rPr>
          <w:rFonts w:hint="eastAsia" w:ascii="仿宋_GB2312" w:hAnsi="仿宋_GB2312" w:eastAsia="仿宋_GB2312" w:cs="仿宋_GB2312"/>
          <w:color w:val="auto"/>
          <w:sz w:val="32"/>
          <w:szCs w:val="32"/>
          <w:highlight w:val="none"/>
          <w:lang w:val="en-US" w:eastAsia="zh-CN"/>
        </w:rPr>
        <w:t>12月31日</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固定资产原值</w:t>
      </w:r>
      <w:r>
        <w:rPr>
          <w:rFonts w:hint="eastAsia" w:ascii="仿宋_GB2312" w:hAnsi="仿宋_GB2312" w:eastAsia="仿宋_GB2312" w:cs="仿宋_GB2312"/>
          <w:color w:val="auto"/>
          <w:sz w:val="32"/>
          <w:szCs w:val="32"/>
          <w:highlight w:val="none"/>
          <w:lang w:val="zh-CN" w:eastAsia="zh-CN"/>
        </w:rPr>
        <w:t>3,497.00</w:t>
      </w:r>
      <w:r>
        <w:rPr>
          <w:rFonts w:hint="eastAsia" w:ascii="仿宋_GB2312" w:hAnsi="仿宋_GB2312" w:eastAsia="仿宋_GB2312" w:cs="仿宋_GB2312"/>
          <w:color w:val="auto"/>
          <w:sz w:val="32"/>
          <w:szCs w:val="32"/>
          <w:highlight w:val="none"/>
          <w:lang w:val="en-US" w:eastAsia="zh-CN"/>
        </w:rPr>
        <w:t>万元，房</w:t>
      </w:r>
      <w:r>
        <w:rPr>
          <w:rFonts w:hint="eastAsia" w:ascii="仿宋_GB2312" w:hAnsi="仿宋_GB2312" w:eastAsia="仿宋_GB2312" w:cs="仿宋_GB2312"/>
          <w:color w:val="auto"/>
          <w:sz w:val="32"/>
          <w:szCs w:val="32"/>
          <w:highlight w:val="none"/>
          <w:lang w:val="zh-CN" w:eastAsia="zh-CN"/>
        </w:rPr>
        <w:t>屋19,950.20平方米，价值1,335.31万元。车辆0辆，价值0.00万元，其中：副部（省）级及以上领导用车0辆、主要</w:t>
      </w:r>
      <w:r>
        <w:rPr>
          <w:rFonts w:hint="eastAsia" w:ascii="仿宋_GB2312" w:hAnsi="仿宋_GB2312" w:eastAsia="仿宋_GB2312" w:cs="仿宋_GB2312"/>
          <w:color w:val="auto"/>
          <w:sz w:val="32"/>
          <w:szCs w:val="32"/>
          <w:highlight w:val="none"/>
          <w:lang w:val="en-US" w:eastAsia="zh-CN"/>
        </w:rPr>
        <w:t>负责人</w:t>
      </w:r>
      <w:r>
        <w:rPr>
          <w:rFonts w:hint="eastAsia" w:ascii="仿宋_GB2312" w:hAnsi="仿宋_GB2312" w:eastAsia="仿宋_GB2312" w:cs="仿宋_GB2312"/>
          <w:color w:val="auto"/>
          <w:sz w:val="32"/>
          <w:szCs w:val="32"/>
          <w:highlight w:val="none"/>
          <w:lang w:val="zh-CN" w:eastAsia="zh-CN"/>
        </w:rPr>
        <w:t>用车0辆、机要通信用车0辆、应急保障用车0辆、执法执勤用车0辆、特种专业技术用车0辆、离退休干部</w:t>
      </w:r>
      <w:r>
        <w:rPr>
          <w:rFonts w:hint="eastAsia" w:ascii="仿宋_GB2312" w:hAnsi="仿宋_GB2312" w:eastAsia="仿宋_GB2312" w:cs="仿宋_GB2312"/>
          <w:color w:val="auto"/>
          <w:sz w:val="32"/>
          <w:szCs w:val="32"/>
          <w:highlight w:val="none"/>
          <w:lang w:val="en-US" w:eastAsia="zh-CN"/>
        </w:rPr>
        <w:t>服务</w:t>
      </w:r>
      <w:r>
        <w:rPr>
          <w:rFonts w:hint="eastAsia" w:ascii="仿宋_GB2312" w:hAnsi="仿宋_GB2312" w:eastAsia="仿宋_GB2312" w:cs="仿宋_GB2312"/>
          <w:color w:val="auto"/>
          <w:sz w:val="32"/>
          <w:szCs w:val="32"/>
          <w:highlight w:val="none"/>
          <w:lang w:val="zh-CN" w:eastAsia="zh-CN"/>
        </w:rPr>
        <w:t>用车0辆、其他用车0辆，其他用车主要是：我单位其他用车；单价100万元（含）以上设备（不含车辆）0</w:t>
      </w:r>
      <w:r>
        <w:rPr>
          <w:rFonts w:hint="eastAsia" w:ascii="仿宋_GB2312" w:hAnsi="仿宋_GB2312" w:eastAsia="仿宋_GB2312" w:cs="仿宋_GB2312"/>
          <w:color w:val="auto"/>
          <w:sz w:val="32"/>
          <w:szCs w:val="32"/>
          <w:highlight w:val="none"/>
          <w:lang w:val="en-US" w:eastAsia="zh-CN"/>
        </w:rPr>
        <w:t>台（</w:t>
      </w:r>
      <w:r>
        <w:rPr>
          <w:rFonts w:hint="eastAsia" w:ascii="仿宋_GB2312" w:hAnsi="仿宋_GB2312" w:eastAsia="仿宋_GB2312" w:cs="仿宋_GB2312"/>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2023年度预算绩效管理整体</w:t>
      </w:r>
      <w:r>
        <w:rPr>
          <w:rFonts w:hint="eastAsia" w:ascii="仿宋_GB2312" w:eastAsia="仿宋_GB2312"/>
          <w:color w:val="auto"/>
          <w:sz w:val="32"/>
          <w:szCs w:val="32"/>
          <w:highlight w:val="none"/>
          <w:lang w:val="en-US" w:eastAsia="zh-CN"/>
        </w:rPr>
        <w:t>支出</w:t>
      </w:r>
      <w:r>
        <w:rPr>
          <w:rFonts w:hint="eastAsia" w:ascii="仿宋_GB2312" w:eastAsia="仿宋_GB2312"/>
          <w:color w:val="auto"/>
          <w:sz w:val="32"/>
          <w:szCs w:val="32"/>
          <w:highlight w:val="none"/>
          <w:lang w:eastAsia="zh-CN"/>
        </w:rPr>
        <w:t>绩效自评表</w:t>
      </w:r>
      <w:r>
        <w:rPr>
          <w:rFonts w:hint="eastAsia" w:ascii="仿宋_GB2312" w:eastAsia="仿宋_GB2312"/>
          <w:color w:val="auto"/>
          <w:sz w:val="32"/>
          <w:szCs w:val="32"/>
          <w:highlight w:val="none"/>
          <w:lang w:val="en-US" w:eastAsia="zh-CN"/>
        </w:rPr>
        <w:t>1个，全年预算总额</w:t>
      </w:r>
      <w:r>
        <w:rPr>
          <w:rFonts w:hint="eastAsia" w:ascii="仿宋_GB2312" w:eastAsia="仿宋_GB2312"/>
          <w:color w:val="auto"/>
          <w:sz w:val="32"/>
          <w:szCs w:val="32"/>
          <w:highlight w:val="none"/>
          <w:lang w:eastAsia="zh-CN"/>
        </w:rPr>
        <w:t>2,288.68万元，</w:t>
      </w:r>
      <w:r>
        <w:rPr>
          <w:rFonts w:hint="eastAsia" w:ascii="仿宋_GB2312" w:eastAsia="仿宋_GB2312"/>
          <w:color w:val="auto"/>
          <w:sz w:val="32"/>
          <w:szCs w:val="32"/>
          <w:highlight w:val="none"/>
          <w:lang w:val="en-US" w:eastAsia="zh-CN"/>
        </w:rPr>
        <w:t>实际执行总额</w:t>
      </w:r>
      <w:r>
        <w:rPr>
          <w:rFonts w:hint="eastAsia" w:ascii="仿宋_GB2312" w:eastAsia="仿宋_GB2312"/>
          <w:color w:val="auto"/>
          <w:sz w:val="32"/>
          <w:szCs w:val="32"/>
          <w:highlight w:val="none"/>
          <w:lang w:eastAsia="zh-CN"/>
        </w:rPr>
        <w:t>2,288.68万元</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6</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全年预算数106.92</w:t>
      </w:r>
      <w:r>
        <w:rPr>
          <w:rFonts w:hint="eastAsia" w:ascii="仿宋_GB2312" w:eastAsia="仿宋_GB2312"/>
          <w:color w:val="auto"/>
          <w:sz w:val="32"/>
          <w:szCs w:val="32"/>
          <w:highlight w:val="none"/>
          <w:lang w:eastAsia="zh-CN"/>
        </w:rPr>
        <w:t>万元，</w:t>
      </w:r>
      <w:r>
        <w:rPr>
          <w:rFonts w:hint="eastAsia" w:ascii="仿宋_GB2312" w:eastAsia="仿宋_GB2312"/>
          <w:color w:val="auto"/>
          <w:sz w:val="32"/>
          <w:szCs w:val="32"/>
          <w:highlight w:val="none"/>
          <w:lang w:val="en-US" w:eastAsia="zh-CN"/>
        </w:rPr>
        <w:t>全年执行数106.92</w:t>
      </w:r>
      <w:r>
        <w:rPr>
          <w:rFonts w:hint="eastAsia" w:ascii="仿宋_GB2312" w:eastAsia="仿宋_GB2312"/>
          <w:color w:val="auto"/>
          <w:sz w:val="32"/>
          <w:szCs w:val="32"/>
          <w:highlight w:val="none"/>
          <w:lang w:eastAsia="zh-CN"/>
        </w:rPr>
        <w:t>万元，本单位sm项目</w:t>
      </w:r>
      <w:r>
        <w:rPr>
          <w:rFonts w:hint="eastAsia" w:ascii="仿宋_GB2312" w:eastAsia="仿宋_GB2312"/>
          <w:color w:val="auto"/>
          <w:sz w:val="32"/>
          <w:szCs w:val="32"/>
          <w:highlight w:val="none"/>
          <w:lang w:val="en-US" w:eastAsia="zh-CN"/>
        </w:rPr>
        <w:t>2</w:t>
      </w:r>
      <w:r>
        <w:rPr>
          <w:rFonts w:hint="eastAsia" w:ascii="仿宋_GB2312" w:eastAsia="仿宋_GB2312"/>
          <w:color w:val="auto"/>
          <w:sz w:val="32"/>
          <w:szCs w:val="32"/>
          <w:highlight w:val="none"/>
          <w:lang w:eastAsia="zh-CN"/>
        </w:rPr>
        <w:t>个，全年预算数</w:t>
      </w:r>
      <w:r>
        <w:rPr>
          <w:rFonts w:hint="eastAsia" w:ascii="仿宋_GB2312" w:eastAsia="仿宋_GB2312"/>
          <w:color w:val="auto"/>
          <w:sz w:val="32"/>
          <w:szCs w:val="32"/>
          <w:highlight w:val="none"/>
          <w:lang w:val="en-US" w:eastAsia="zh-CN"/>
        </w:rPr>
        <w:t>76.25</w:t>
      </w:r>
      <w:r>
        <w:rPr>
          <w:rFonts w:hint="eastAsia" w:ascii="仿宋_GB2312" w:eastAsia="仿宋_GB2312"/>
          <w:color w:val="auto"/>
          <w:sz w:val="32"/>
          <w:szCs w:val="32"/>
          <w:highlight w:val="none"/>
          <w:lang w:eastAsia="zh-CN"/>
        </w:rPr>
        <w:t>万元，全年执行数</w:t>
      </w:r>
      <w:r>
        <w:rPr>
          <w:rFonts w:hint="eastAsia" w:ascii="仿宋_GB2312" w:eastAsia="仿宋_GB2312"/>
          <w:color w:val="auto"/>
          <w:sz w:val="32"/>
          <w:szCs w:val="32"/>
          <w:highlight w:val="none"/>
          <w:lang w:val="en-US" w:eastAsia="zh-CN"/>
        </w:rPr>
        <w:t>76.25</w:t>
      </w:r>
      <w:r>
        <w:rPr>
          <w:rFonts w:hint="eastAsia" w:ascii="仿宋_GB2312" w:eastAsia="仿宋_GB2312"/>
          <w:color w:val="auto"/>
          <w:sz w:val="32"/>
          <w:szCs w:val="32"/>
          <w:highlight w:val="none"/>
          <w:lang w:eastAsia="zh-CN"/>
        </w:rPr>
        <w:t>万元，不予以公开。</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预算绩效管理取得的成效：一是预算绩效管理取得的成效一是通过该项目的实施，改善了办学条件，为教育教学提供良好的硬件软件环境；二是预算绩效管理取得的成效二是保障了学校正常运转、改善了我校教师工作环境、教学环境。发现的问题及原因：一是项目绩效目标设置需要更加科学、合理，完整；二是发现的问题及原因二是项目绩效跟着需要更加严格，规范。下一步改进措施：一是下一步改进措施一是继续完善预算目标制定；二是项目绩效跟着需要更加严格，规范，严格执行财务审批制度齐全，资金支出程序规范。具体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lang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eastAsia="仿宋_GB2312"/>
          <w:color w:val="auto"/>
          <w:sz w:val="32"/>
          <w:szCs w:val="32"/>
          <w:highlight w:val="none"/>
          <w:lang w:val="en-US" w:eastAsia="zh-CN"/>
        </w:rPr>
        <w:t>授予中小企业合同金额、授予小微企业合同金额为0万元，主要原因是：我单位无政府采购平台，无相关数据。</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eastAsia="仿宋_GB2312"/>
          <w:color w:val="auto"/>
          <w:sz w:val="32"/>
          <w:szCs w:val="32"/>
          <w:highlight w:val="none"/>
        </w:rPr>
        <w:t>本单位sm项目</w:t>
      </w:r>
      <w:r>
        <w:rPr>
          <w:rFonts w:hint="eastAsia" w:ascii="仿宋_GB2312" w:eastAsia="仿宋_GB2312"/>
          <w:color w:val="auto"/>
          <w:sz w:val="32"/>
          <w:szCs w:val="32"/>
          <w:highlight w:val="none"/>
          <w:lang w:val="en-US" w:eastAsia="zh-CN"/>
        </w:rPr>
        <w:t>2</w:t>
      </w:r>
      <w:r>
        <w:rPr>
          <w:rFonts w:hint="eastAsia" w:ascii="仿宋_GB2312" w:eastAsia="仿宋_GB2312"/>
          <w:color w:val="auto"/>
          <w:sz w:val="32"/>
          <w:szCs w:val="32"/>
          <w:highlight w:val="none"/>
        </w:rPr>
        <w:t>个，全年预算数</w:t>
      </w:r>
      <w:r>
        <w:rPr>
          <w:rFonts w:hint="eastAsia" w:ascii="仿宋_GB2312" w:eastAsia="仿宋_GB2312"/>
          <w:color w:val="auto"/>
          <w:sz w:val="32"/>
          <w:szCs w:val="32"/>
          <w:highlight w:val="none"/>
          <w:lang w:val="en-US" w:eastAsia="zh-CN"/>
        </w:rPr>
        <w:t>76.25</w:t>
      </w:r>
      <w:r>
        <w:rPr>
          <w:rFonts w:hint="eastAsia" w:ascii="仿宋_GB2312" w:eastAsia="仿宋_GB2312"/>
          <w:color w:val="auto"/>
          <w:sz w:val="32"/>
          <w:szCs w:val="32"/>
          <w:highlight w:val="none"/>
        </w:rPr>
        <w:t>万元，全年执行数</w:t>
      </w:r>
      <w:r>
        <w:rPr>
          <w:rFonts w:hint="eastAsia" w:ascii="仿宋_GB2312" w:eastAsia="仿宋_GB2312"/>
          <w:color w:val="auto"/>
          <w:sz w:val="32"/>
          <w:szCs w:val="32"/>
          <w:highlight w:val="none"/>
          <w:lang w:val="en-US" w:eastAsia="zh-CN"/>
        </w:rPr>
        <w:t>76.25</w:t>
      </w:r>
      <w:r>
        <w:rPr>
          <w:rFonts w:hint="eastAsia" w:ascii="仿宋_GB2312" w:eastAsia="仿宋_GB2312"/>
          <w:color w:val="auto"/>
          <w:sz w:val="32"/>
          <w:szCs w:val="32"/>
          <w:highlight w:val="none"/>
        </w:rPr>
        <w:t>万元，不予以公开绩效自评表。</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24143"/>
      <w:bookmarkStart w:id="31" w:name="_Toc3250"/>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I5ZjZhYjUzNDAyMWFlYjRjMzRjNzEwYTJmMzdlNWQifQ=="/>
    <w:docVar w:name="KSO_WPS_MARK_KEY" w:val="41ee2a61-2d54-4f93-83be-afdb9a40d732"/>
  </w:docVars>
  <w:rsids>
    <w:rsidRoot w:val="00000000"/>
    <w:rsid w:val="00213C59"/>
    <w:rsid w:val="003210CE"/>
    <w:rsid w:val="00B70D59"/>
    <w:rsid w:val="00F52A8D"/>
    <w:rsid w:val="019404F8"/>
    <w:rsid w:val="01C30B6B"/>
    <w:rsid w:val="01ED22F2"/>
    <w:rsid w:val="02BD3108"/>
    <w:rsid w:val="02F73D26"/>
    <w:rsid w:val="034D4FEF"/>
    <w:rsid w:val="035D1785"/>
    <w:rsid w:val="039F47CE"/>
    <w:rsid w:val="03BD5310"/>
    <w:rsid w:val="03E05CE8"/>
    <w:rsid w:val="03F973EE"/>
    <w:rsid w:val="043E5B56"/>
    <w:rsid w:val="04C04386"/>
    <w:rsid w:val="04D1736D"/>
    <w:rsid w:val="04D96608"/>
    <w:rsid w:val="04F210E4"/>
    <w:rsid w:val="04FA68C4"/>
    <w:rsid w:val="053F5AE6"/>
    <w:rsid w:val="057C0B0F"/>
    <w:rsid w:val="05DC6435"/>
    <w:rsid w:val="05EF4B48"/>
    <w:rsid w:val="05F76ECA"/>
    <w:rsid w:val="06183A24"/>
    <w:rsid w:val="06792773"/>
    <w:rsid w:val="06FD75CA"/>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172DAA"/>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3D70FD3"/>
    <w:rsid w:val="14207DC0"/>
    <w:rsid w:val="14B932DA"/>
    <w:rsid w:val="150A66AF"/>
    <w:rsid w:val="154A4BEE"/>
    <w:rsid w:val="154C1139"/>
    <w:rsid w:val="158C5B77"/>
    <w:rsid w:val="15A17FDA"/>
    <w:rsid w:val="160D1149"/>
    <w:rsid w:val="163563C0"/>
    <w:rsid w:val="164315EF"/>
    <w:rsid w:val="16557DFE"/>
    <w:rsid w:val="167268FB"/>
    <w:rsid w:val="16770D0A"/>
    <w:rsid w:val="169A0039"/>
    <w:rsid w:val="16D50C50"/>
    <w:rsid w:val="16E0533A"/>
    <w:rsid w:val="16E120E1"/>
    <w:rsid w:val="17385A05"/>
    <w:rsid w:val="173B3901"/>
    <w:rsid w:val="176747F9"/>
    <w:rsid w:val="17954A6E"/>
    <w:rsid w:val="17BE2C86"/>
    <w:rsid w:val="180059E9"/>
    <w:rsid w:val="184510FD"/>
    <w:rsid w:val="190648B0"/>
    <w:rsid w:val="19071D6C"/>
    <w:rsid w:val="19D26CD4"/>
    <w:rsid w:val="19E60D19"/>
    <w:rsid w:val="1A3E3450"/>
    <w:rsid w:val="1AD3100B"/>
    <w:rsid w:val="1AD807E5"/>
    <w:rsid w:val="1B39345B"/>
    <w:rsid w:val="1BCA4FB2"/>
    <w:rsid w:val="1BFB2A1F"/>
    <w:rsid w:val="1C015D4A"/>
    <w:rsid w:val="1C1B7E1B"/>
    <w:rsid w:val="1C290ED5"/>
    <w:rsid w:val="1C317E4F"/>
    <w:rsid w:val="1C472464"/>
    <w:rsid w:val="1D22799A"/>
    <w:rsid w:val="1D5C1A72"/>
    <w:rsid w:val="1DA96537"/>
    <w:rsid w:val="1DAF458D"/>
    <w:rsid w:val="1E086ACE"/>
    <w:rsid w:val="1E62130A"/>
    <w:rsid w:val="1E97358B"/>
    <w:rsid w:val="1EAA4A5F"/>
    <w:rsid w:val="1EE869A7"/>
    <w:rsid w:val="1F3F37CF"/>
    <w:rsid w:val="1F653684"/>
    <w:rsid w:val="1F6C006F"/>
    <w:rsid w:val="1FA15E62"/>
    <w:rsid w:val="1FED69B6"/>
    <w:rsid w:val="2064678E"/>
    <w:rsid w:val="20DC1AB9"/>
    <w:rsid w:val="20DD6197"/>
    <w:rsid w:val="212631E0"/>
    <w:rsid w:val="2138666F"/>
    <w:rsid w:val="21742080"/>
    <w:rsid w:val="21A53757"/>
    <w:rsid w:val="21F879E1"/>
    <w:rsid w:val="221236C6"/>
    <w:rsid w:val="22431C1E"/>
    <w:rsid w:val="22516D4D"/>
    <w:rsid w:val="22D7662C"/>
    <w:rsid w:val="23326B7F"/>
    <w:rsid w:val="2380045B"/>
    <w:rsid w:val="23BC04D2"/>
    <w:rsid w:val="23EF1892"/>
    <w:rsid w:val="2483647E"/>
    <w:rsid w:val="24A32D55"/>
    <w:rsid w:val="24CE6D9A"/>
    <w:rsid w:val="25292727"/>
    <w:rsid w:val="252E5CA9"/>
    <w:rsid w:val="256F7692"/>
    <w:rsid w:val="25BA2154"/>
    <w:rsid w:val="25C8773F"/>
    <w:rsid w:val="26235823"/>
    <w:rsid w:val="264A7253"/>
    <w:rsid w:val="26F0170C"/>
    <w:rsid w:val="26FE3B9A"/>
    <w:rsid w:val="27201D62"/>
    <w:rsid w:val="27286E73"/>
    <w:rsid w:val="27CF2642"/>
    <w:rsid w:val="27E26A2D"/>
    <w:rsid w:val="27E777F5"/>
    <w:rsid w:val="27EA1D4C"/>
    <w:rsid w:val="27EA2E41"/>
    <w:rsid w:val="282459E2"/>
    <w:rsid w:val="283A7FE5"/>
    <w:rsid w:val="285F51FF"/>
    <w:rsid w:val="28DA4193"/>
    <w:rsid w:val="28DF2665"/>
    <w:rsid w:val="29072599"/>
    <w:rsid w:val="290B1AB1"/>
    <w:rsid w:val="291029F3"/>
    <w:rsid w:val="292D12C0"/>
    <w:rsid w:val="29CB58F0"/>
    <w:rsid w:val="2A053397"/>
    <w:rsid w:val="2A145E96"/>
    <w:rsid w:val="2A2131BB"/>
    <w:rsid w:val="2A4810CC"/>
    <w:rsid w:val="2AF5378F"/>
    <w:rsid w:val="2BB94DBF"/>
    <w:rsid w:val="2BF37410"/>
    <w:rsid w:val="2C6F314E"/>
    <w:rsid w:val="2CBB6408"/>
    <w:rsid w:val="2CC206BE"/>
    <w:rsid w:val="2D1136DF"/>
    <w:rsid w:val="2D20606D"/>
    <w:rsid w:val="2D6729FE"/>
    <w:rsid w:val="2DB87198"/>
    <w:rsid w:val="2DB93C54"/>
    <w:rsid w:val="2E3D144C"/>
    <w:rsid w:val="2E891204"/>
    <w:rsid w:val="2ED54612"/>
    <w:rsid w:val="2F3F0A28"/>
    <w:rsid w:val="2FBF7029"/>
    <w:rsid w:val="2FD0187F"/>
    <w:rsid w:val="2FD27414"/>
    <w:rsid w:val="2FFE4BB0"/>
    <w:rsid w:val="300E7B60"/>
    <w:rsid w:val="300F6E18"/>
    <w:rsid w:val="30862F5F"/>
    <w:rsid w:val="30A4775A"/>
    <w:rsid w:val="3127360C"/>
    <w:rsid w:val="31327C0E"/>
    <w:rsid w:val="314029C9"/>
    <w:rsid w:val="31C63837"/>
    <w:rsid w:val="31C82E39"/>
    <w:rsid w:val="32601BAD"/>
    <w:rsid w:val="329F6389"/>
    <w:rsid w:val="32B52D84"/>
    <w:rsid w:val="3389023A"/>
    <w:rsid w:val="33CB74FA"/>
    <w:rsid w:val="343642F2"/>
    <w:rsid w:val="343F3010"/>
    <w:rsid w:val="345D0A00"/>
    <w:rsid w:val="34713BFD"/>
    <w:rsid w:val="34A54BE6"/>
    <w:rsid w:val="34C13589"/>
    <w:rsid w:val="353369E3"/>
    <w:rsid w:val="35965263"/>
    <w:rsid w:val="35B21E0B"/>
    <w:rsid w:val="35E00D72"/>
    <w:rsid w:val="35FC35B4"/>
    <w:rsid w:val="36965B9D"/>
    <w:rsid w:val="36C549FD"/>
    <w:rsid w:val="37A755DD"/>
    <w:rsid w:val="37F33BFE"/>
    <w:rsid w:val="37F94FA0"/>
    <w:rsid w:val="380D3381"/>
    <w:rsid w:val="38115B1F"/>
    <w:rsid w:val="385E3AC3"/>
    <w:rsid w:val="387D6B9E"/>
    <w:rsid w:val="38B75FF0"/>
    <w:rsid w:val="38D45016"/>
    <w:rsid w:val="38D90432"/>
    <w:rsid w:val="3914510A"/>
    <w:rsid w:val="3926770B"/>
    <w:rsid w:val="3982065B"/>
    <w:rsid w:val="398D3668"/>
    <w:rsid w:val="39DA0497"/>
    <w:rsid w:val="3A893816"/>
    <w:rsid w:val="3A893B6D"/>
    <w:rsid w:val="3AD1763A"/>
    <w:rsid w:val="3AEB7261"/>
    <w:rsid w:val="3B196883"/>
    <w:rsid w:val="3B467B51"/>
    <w:rsid w:val="3B6716E3"/>
    <w:rsid w:val="3B6C6B2D"/>
    <w:rsid w:val="3C242659"/>
    <w:rsid w:val="3C96719C"/>
    <w:rsid w:val="3CA72BE8"/>
    <w:rsid w:val="3CDC1E1E"/>
    <w:rsid w:val="3CF37F8C"/>
    <w:rsid w:val="3D137554"/>
    <w:rsid w:val="3D5275AC"/>
    <w:rsid w:val="3DCC2473"/>
    <w:rsid w:val="3DEB0883"/>
    <w:rsid w:val="3E2527BF"/>
    <w:rsid w:val="3E70484C"/>
    <w:rsid w:val="3E731662"/>
    <w:rsid w:val="3E8168DD"/>
    <w:rsid w:val="3EA7725F"/>
    <w:rsid w:val="3EB03713"/>
    <w:rsid w:val="3EBF1A11"/>
    <w:rsid w:val="3EC52607"/>
    <w:rsid w:val="3EEC6CEF"/>
    <w:rsid w:val="3F183429"/>
    <w:rsid w:val="3F301211"/>
    <w:rsid w:val="3FB77A1D"/>
    <w:rsid w:val="3FDC3674"/>
    <w:rsid w:val="3FED7F8A"/>
    <w:rsid w:val="40094AEF"/>
    <w:rsid w:val="405470BD"/>
    <w:rsid w:val="40794A29"/>
    <w:rsid w:val="40834692"/>
    <w:rsid w:val="411608F1"/>
    <w:rsid w:val="41431AD5"/>
    <w:rsid w:val="414B3C0F"/>
    <w:rsid w:val="417C1CE7"/>
    <w:rsid w:val="41900018"/>
    <w:rsid w:val="41944406"/>
    <w:rsid w:val="41CE128F"/>
    <w:rsid w:val="41DA6F12"/>
    <w:rsid w:val="42171FB1"/>
    <w:rsid w:val="426D5E2E"/>
    <w:rsid w:val="42C10D7B"/>
    <w:rsid w:val="43236855"/>
    <w:rsid w:val="434E6957"/>
    <w:rsid w:val="43BA0E31"/>
    <w:rsid w:val="43C15147"/>
    <w:rsid w:val="43E14DD2"/>
    <w:rsid w:val="43F800E9"/>
    <w:rsid w:val="443A7E4B"/>
    <w:rsid w:val="444A7D08"/>
    <w:rsid w:val="452F5B3A"/>
    <w:rsid w:val="45392ABF"/>
    <w:rsid w:val="454E7FD2"/>
    <w:rsid w:val="456B573B"/>
    <w:rsid w:val="45764222"/>
    <w:rsid w:val="45D934C0"/>
    <w:rsid w:val="46061BDC"/>
    <w:rsid w:val="461404F8"/>
    <w:rsid w:val="46413018"/>
    <w:rsid w:val="464B7E04"/>
    <w:rsid w:val="468041AA"/>
    <w:rsid w:val="468123C6"/>
    <w:rsid w:val="46901EEE"/>
    <w:rsid w:val="469C74D2"/>
    <w:rsid w:val="47445515"/>
    <w:rsid w:val="47447537"/>
    <w:rsid w:val="474B4782"/>
    <w:rsid w:val="47D90D14"/>
    <w:rsid w:val="47DE1152"/>
    <w:rsid w:val="48387FB0"/>
    <w:rsid w:val="483A6114"/>
    <w:rsid w:val="488727DB"/>
    <w:rsid w:val="48B82268"/>
    <w:rsid w:val="48C354B3"/>
    <w:rsid w:val="493D58B5"/>
    <w:rsid w:val="494A7A04"/>
    <w:rsid w:val="49605EF7"/>
    <w:rsid w:val="4A0A26D2"/>
    <w:rsid w:val="4A2019A5"/>
    <w:rsid w:val="4A241A0B"/>
    <w:rsid w:val="4A5C2BD7"/>
    <w:rsid w:val="4A7B2875"/>
    <w:rsid w:val="4A934476"/>
    <w:rsid w:val="4AAA220A"/>
    <w:rsid w:val="4AE12E67"/>
    <w:rsid w:val="4B4C0111"/>
    <w:rsid w:val="4B8553A9"/>
    <w:rsid w:val="4BDB3730"/>
    <w:rsid w:val="4C200F7A"/>
    <w:rsid w:val="4CEE3180"/>
    <w:rsid w:val="4D0F4AF6"/>
    <w:rsid w:val="4DF94F37"/>
    <w:rsid w:val="4E045B54"/>
    <w:rsid w:val="4E0A1DD5"/>
    <w:rsid w:val="4E3160E5"/>
    <w:rsid w:val="4E4D37AF"/>
    <w:rsid w:val="4E8C6496"/>
    <w:rsid w:val="4EFD18DE"/>
    <w:rsid w:val="4F144236"/>
    <w:rsid w:val="4F663C87"/>
    <w:rsid w:val="4F7E29A8"/>
    <w:rsid w:val="4F9E1FFC"/>
    <w:rsid w:val="4FB1110B"/>
    <w:rsid w:val="50447CC2"/>
    <w:rsid w:val="50874A7C"/>
    <w:rsid w:val="50895EE7"/>
    <w:rsid w:val="50921B9D"/>
    <w:rsid w:val="50D16158"/>
    <w:rsid w:val="50DB5F45"/>
    <w:rsid w:val="50F36F77"/>
    <w:rsid w:val="51025EB1"/>
    <w:rsid w:val="51141503"/>
    <w:rsid w:val="511F1548"/>
    <w:rsid w:val="513C450E"/>
    <w:rsid w:val="518D0ED5"/>
    <w:rsid w:val="525C687F"/>
    <w:rsid w:val="52A3740A"/>
    <w:rsid w:val="52F647F7"/>
    <w:rsid w:val="52F92565"/>
    <w:rsid w:val="53AE735E"/>
    <w:rsid w:val="53D03877"/>
    <w:rsid w:val="542F73CA"/>
    <w:rsid w:val="5430786D"/>
    <w:rsid w:val="545A1D2A"/>
    <w:rsid w:val="54753328"/>
    <w:rsid w:val="549507DD"/>
    <w:rsid w:val="54C811C0"/>
    <w:rsid w:val="556A442D"/>
    <w:rsid w:val="55DA564E"/>
    <w:rsid w:val="55E1754C"/>
    <w:rsid w:val="55E816A3"/>
    <w:rsid w:val="5604127D"/>
    <w:rsid w:val="56044E6C"/>
    <w:rsid w:val="56166703"/>
    <w:rsid w:val="563E31A7"/>
    <w:rsid w:val="56510474"/>
    <w:rsid w:val="56861525"/>
    <w:rsid w:val="56A93273"/>
    <w:rsid w:val="56BD550C"/>
    <w:rsid w:val="56E07045"/>
    <w:rsid w:val="56FF28AF"/>
    <w:rsid w:val="57540E7D"/>
    <w:rsid w:val="577B4878"/>
    <w:rsid w:val="57926973"/>
    <w:rsid w:val="57D1482F"/>
    <w:rsid w:val="58175352"/>
    <w:rsid w:val="581F2200"/>
    <w:rsid w:val="583059FA"/>
    <w:rsid w:val="584A0929"/>
    <w:rsid w:val="58CC38F7"/>
    <w:rsid w:val="58CD2491"/>
    <w:rsid w:val="58F74BDB"/>
    <w:rsid w:val="591B41B2"/>
    <w:rsid w:val="59254A26"/>
    <w:rsid w:val="592B6B00"/>
    <w:rsid w:val="59326325"/>
    <w:rsid w:val="595C505B"/>
    <w:rsid w:val="595E55C3"/>
    <w:rsid w:val="596E7E20"/>
    <w:rsid w:val="598E18C8"/>
    <w:rsid w:val="5A5D23AA"/>
    <w:rsid w:val="5A60780B"/>
    <w:rsid w:val="5AB34579"/>
    <w:rsid w:val="5AB40E78"/>
    <w:rsid w:val="5AF80B40"/>
    <w:rsid w:val="5AFC6609"/>
    <w:rsid w:val="5B113480"/>
    <w:rsid w:val="5BD456CE"/>
    <w:rsid w:val="5C0D1F49"/>
    <w:rsid w:val="5CBB0CE2"/>
    <w:rsid w:val="5CC17177"/>
    <w:rsid w:val="5CF306BC"/>
    <w:rsid w:val="5D0A6D7D"/>
    <w:rsid w:val="5D0C1348"/>
    <w:rsid w:val="5D3F3D64"/>
    <w:rsid w:val="5D833043"/>
    <w:rsid w:val="5DD92690"/>
    <w:rsid w:val="5DDB1CFD"/>
    <w:rsid w:val="5E7E6D93"/>
    <w:rsid w:val="5E82459B"/>
    <w:rsid w:val="5ED44800"/>
    <w:rsid w:val="5F350BDE"/>
    <w:rsid w:val="5F61632C"/>
    <w:rsid w:val="5FA17648"/>
    <w:rsid w:val="5FE705CB"/>
    <w:rsid w:val="6007714E"/>
    <w:rsid w:val="603D5080"/>
    <w:rsid w:val="606842D0"/>
    <w:rsid w:val="60D0261B"/>
    <w:rsid w:val="61070E36"/>
    <w:rsid w:val="618E3791"/>
    <w:rsid w:val="61947DCA"/>
    <w:rsid w:val="61A46A97"/>
    <w:rsid w:val="61D1382F"/>
    <w:rsid w:val="61F114A2"/>
    <w:rsid w:val="622B0ABA"/>
    <w:rsid w:val="62512BB4"/>
    <w:rsid w:val="625D7D1A"/>
    <w:rsid w:val="62660469"/>
    <w:rsid w:val="62DD7D21"/>
    <w:rsid w:val="637D586B"/>
    <w:rsid w:val="638F587B"/>
    <w:rsid w:val="63A5560B"/>
    <w:rsid w:val="63E9091F"/>
    <w:rsid w:val="64322AF9"/>
    <w:rsid w:val="64D6010D"/>
    <w:rsid w:val="64D82665"/>
    <w:rsid w:val="64E47C96"/>
    <w:rsid w:val="651E5741"/>
    <w:rsid w:val="655D7702"/>
    <w:rsid w:val="658128A4"/>
    <w:rsid w:val="658A4877"/>
    <w:rsid w:val="65A00902"/>
    <w:rsid w:val="65AC6EDD"/>
    <w:rsid w:val="65D97752"/>
    <w:rsid w:val="66085536"/>
    <w:rsid w:val="66105BF7"/>
    <w:rsid w:val="66150023"/>
    <w:rsid w:val="6628010D"/>
    <w:rsid w:val="669B4528"/>
    <w:rsid w:val="66CC12D7"/>
    <w:rsid w:val="66F63B7F"/>
    <w:rsid w:val="67134CEF"/>
    <w:rsid w:val="671F1ABD"/>
    <w:rsid w:val="67521A59"/>
    <w:rsid w:val="6757335F"/>
    <w:rsid w:val="67C304AB"/>
    <w:rsid w:val="683F0658"/>
    <w:rsid w:val="689C6793"/>
    <w:rsid w:val="68DB0208"/>
    <w:rsid w:val="68DC5C78"/>
    <w:rsid w:val="68FB170C"/>
    <w:rsid w:val="691B3D98"/>
    <w:rsid w:val="693748F0"/>
    <w:rsid w:val="69846A0E"/>
    <w:rsid w:val="69AA1366"/>
    <w:rsid w:val="69AD798C"/>
    <w:rsid w:val="69D005C0"/>
    <w:rsid w:val="69D80B96"/>
    <w:rsid w:val="69F47AD7"/>
    <w:rsid w:val="6A2C39D4"/>
    <w:rsid w:val="6AD632CF"/>
    <w:rsid w:val="6B68175F"/>
    <w:rsid w:val="6B783B32"/>
    <w:rsid w:val="6BFD799F"/>
    <w:rsid w:val="6C4A2E5A"/>
    <w:rsid w:val="6C8138D0"/>
    <w:rsid w:val="6C9636AE"/>
    <w:rsid w:val="6CEF0725"/>
    <w:rsid w:val="6D4B2604"/>
    <w:rsid w:val="6D77358F"/>
    <w:rsid w:val="6D8030E4"/>
    <w:rsid w:val="6E0E35C4"/>
    <w:rsid w:val="6E0F7A08"/>
    <w:rsid w:val="6E3947F5"/>
    <w:rsid w:val="6E463FAD"/>
    <w:rsid w:val="6E6733A0"/>
    <w:rsid w:val="6E6E3938"/>
    <w:rsid w:val="6E9C74ED"/>
    <w:rsid w:val="6EF72976"/>
    <w:rsid w:val="6F2C1195"/>
    <w:rsid w:val="6F795A80"/>
    <w:rsid w:val="6F7C1D2E"/>
    <w:rsid w:val="6F8E0407"/>
    <w:rsid w:val="6FDD069F"/>
    <w:rsid w:val="6FEF6474"/>
    <w:rsid w:val="702B4D16"/>
    <w:rsid w:val="70AA6621"/>
    <w:rsid w:val="7111480F"/>
    <w:rsid w:val="71261F49"/>
    <w:rsid w:val="712E6956"/>
    <w:rsid w:val="71473612"/>
    <w:rsid w:val="71504F32"/>
    <w:rsid w:val="7152309F"/>
    <w:rsid w:val="718F7F65"/>
    <w:rsid w:val="71DA6992"/>
    <w:rsid w:val="727B234E"/>
    <w:rsid w:val="728A58B0"/>
    <w:rsid w:val="72D068C7"/>
    <w:rsid w:val="72DF2F7F"/>
    <w:rsid w:val="72E42ED8"/>
    <w:rsid w:val="72FC34C3"/>
    <w:rsid w:val="735F4CB9"/>
    <w:rsid w:val="73674C62"/>
    <w:rsid w:val="73845865"/>
    <w:rsid w:val="739B6D9E"/>
    <w:rsid w:val="73BC1D76"/>
    <w:rsid w:val="73FB6630"/>
    <w:rsid w:val="748D790E"/>
    <w:rsid w:val="749820CC"/>
    <w:rsid w:val="74CE04EC"/>
    <w:rsid w:val="74E76DCD"/>
    <w:rsid w:val="751D7C0A"/>
    <w:rsid w:val="7545031C"/>
    <w:rsid w:val="75722D56"/>
    <w:rsid w:val="75DB5477"/>
    <w:rsid w:val="75FC6AC3"/>
    <w:rsid w:val="7616619B"/>
    <w:rsid w:val="76660D7C"/>
    <w:rsid w:val="766C5968"/>
    <w:rsid w:val="76BE0C8F"/>
    <w:rsid w:val="76CD53B2"/>
    <w:rsid w:val="76E6594C"/>
    <w:rsid w:val="770719AC"/>
    <w:rsid w:val="773376CD"/>
    <w:rsid w:val="776526CC"/>
    <w:rsid w:val="77A262E1"/>
    <w:rsid w:val="77B13C33"/>
    <w:rsid w:val="77DC095A"/>
    <w:rsid w:val="77ED6F44"/>
    <w:rsid w:val="77F45548"/>
    <w:rsid w:val="77FC440B"/>
    <w:rsid w:val="784E7CA6"/>
    <w:rsid w:val="78574801"/>
    <w:rsid w:val="7873527F"/>
    <w:rsid w:val="790A6425"/>
    <w:rsid w:val="790E2D96"/>
    <w:rsid w:val="791B54B2"/>
    <w:rsid w:val="79236913"/>
    <w:rsid w:val="793C0F89"/>
    <w:rsid w:val="795A0A34"/>
    <w:rsid w:val="797339C3"/>
    <w:rsid w:val="79D57D57"/>
    <w:rsid w:val="79F00650"/>
    <w:rsid w:val="7A6242BF"/>
    <w:rsid w:val="7A794513"/>
    <w:rsid w:val="7A9B3811"/>
    <w:rsid w:val="7AB467DA"/>
    <w:rsid w:val="7AB9318D"/>
    <w:rsid w:val="7AE952D2"/>
    <w:rsid w:val="7B9F26AF"/>
    <w:rsid w:val="7BB607FE"/>
    <w:rsid w:val="7C7248A0"/>
    <w:rsid w:val="7C976D69"/>
    <w:rsid w:val="7CD752DA"/>
    <w:rsid w:val="7CDE40AB"/>
    <w:rsid w:val="7CE87BC0"/>
    <w:rsid w:val="7CF057E2"/>
    <w:rsid w:val="7D1548B5"/>
    <w:rsid w:val="7D667133"/>
    <w:rsid w:val="7DF84014"/>
    <w:rsid w:val="7E207949"/>
    <w:rsid w:val="7E5C0A47"/>
    <w:rsid w:val="7E670C75"/>
    <w:rsid w:val="7EE24272"/>
    <w:rsid w:val="7EEA6053"/>
    <w:rsid w:val="7F487C04"/>
    <w:rsid w:val="7F611CBA"/>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outlineLvl w:val="2"/>
    </w:pPr>
    <w:rPr>
      <w:rFonts w:ascii="仿宋_GB2312" w:hAnsi="仿宋_GB2312" w:eastAsia="仿宋_GB2312"/>
      <w:b/>
      <w:bCs/>
      <w:szCs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2">
    <w:name w:val="Strong"/>
    <w:basedOn w:val="11"/>
    <w:qFormat/>
    <w:uiPriority w:val="0"/>
    <w:rPr>
      <w:b/>
    </w:rPr>
  </w:style>
  <w:style w:type="paragraph" w:customStyle="1" w:styleId="13">
    <w:name w:val="WPSOffice手动目录 3"/>
    <w:qFormat/>
    <w:uiPriority w:val="0"/>
    <w:pPr>
      <w:ind w:leftChars="400"/>
    </w:pPr>
    <w:rPr>
      <w:rFonts w:ascii="Times New Roman" w:hAnsi="Times New Roman" w:eastAsia="宋体" w:cs="Times New Roman"/>
      <w:sz w:val="20"/>
      <w:szCs w:val="20"/>
    </w:rPr>
  </w:style>
  <w:style w:type="paragraph" w:customStyle="1" w:styleId="14">
    <w:name w:val="WPSOffice手动目录 2"/>
    <w:qFormat/>
    <w:uiPriority w:val="0"/>
    <w:pPr>
      <w:ind w:leftChars="200"/>
    </w:pPr>
    <w:rPr>
      <w:rFonts w:ascii="Times New Roman" w:hAnsi="Times New Roman" w:eastAsia="宋体" w:cs="Times New Roman"/>
      <w:sz w:val="20"/>
      <w:szCs w:val="20"/>
    </w:rPr>
  </w:style>
  <w:style w:type="paragraph" w:customStyle="1" w:styleId="15">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5031</Words>
  <Characters>5700</Characters>
  <Lines>0</Lines>
  <Paragraphs>0</Paragraphs>
  <TotalTime>9</TotalTime>
  <ScaleCrop>false</ScaleCrop>
  <LinksUpToDate>false</LinksUpToDate>
  <CharactersWithSpaces>5711</CharactersWithSpaces>
  <Application>WPS Office_11.8.2.8808_F1E327BC-269C-435d-A152-05C5408002CA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2024-11-18T03:12:28Z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2052-11.8.2.8808</vt:lpwstr>
  </property>
  <property fmtid="{D5CDD505-2E9C-101B-9397-08002B2CF9AE}" pid="3" name="ICV">
    <vt:lpwstr>D624B15633CD43C8BF9435464A96BF70</vt:lpwstr>
  </property>
</Properties>
</file>