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0ECE8">
      <w:pPr>
        <w:spacing w:line="240" w:lineRule="atLeast"/>
        <w:ind w:firstLine="960"/>
        <w:jc w:val="center"/>
        <w:rPr>
          <w:rFonts w:ascii="方正小标宋简体" w:hAnsi="黑体" w:eastAsia="方正小标宋简体" w:cs="黑体"/>
          <w:bCs/>
          <w:color w:val="auto"/>
          <w:sz w:val="48"/>
          <w:szCs w:val="48"/>
        </w:rPr>
      </w:pPr>
    </w:p>
    <w:p w14:paraId="1C6603E9">
      <w:pPr>
        <w:spacing w:line="240" w:lineRule="atLeast"/>
        <w:ind w:firstLine="960"/>
        <w:jc w:val="center"/>
        <w:rPr>
          <w:rFonts w:ascii="方正小标宋简体" w:hAnsi="黑体" w:eastAsia="方正小标宋简体" w:cs="黑体"/>
          <w:bCs/>
          <w:color w:val="auto"/>
          <w:sz w:val="48"/>
          <w:szCs w:val="48"/>
        </w:rPr>
      </w:pPr>
    </w:p>
    <w:p w14:paraId="23CDAE3A">
      <w:pPr>
        <w:spacing w:line="240" w:lineRule="atLeast"/>
        <w:ind w:firstLine="960"/>
        <w:jc w:val="center"/>
        <w:rPr>
          <w:rFonts w:ascii="方正小标宋简体" w:hAnsi="黑体" w:eastAsia="方正小标宋简体" w:cs="黑体"/>
          <w:bCs/>
          <w:color w:val="auto"/>
          <w:sz w:val="48"/>
          <w:szCs w:val="48"/>
        </w:rPr>
      </w:pPr>
    </w:p>
    <w:p w14:paraId="66116D93">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沙湾市第三中学2023年城乡义务教育补助经费教育项目资金（公用经费）项目支出</w:t>
      </w:r>
    </w:p>
    <w:p w14:paraId="422E681D">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绩效评价报告</w:t>
      </w:r>
    </w:p>
    <w:p w14:paraId="2F0AD9BE">
      <w:pPr>
        <w:spacing w:line="240" w:lineRule="atLeast"/>
        <w:ind w:firstLine="960"/>
        <w:jc w:val="center"/>
        <w:rPr>
          <w:rFonts w:ascii="方正小标宋简体" w:hAnsi="黑体" w:eastAsia="方正小标宋简体" w:cs="黑体"/>
          <w:bCs/>
          <w:color w:val="auto"/>
          <w:sz w:val="48"/>
          <w:szCs w:val="48"/>
        </w:rPr>
      </w:pPr>
    </w:p>
    <w:p w14:paraId="6D434927">
      <w:pPr>
        <w:spacing w:line="240" w:lineRule="atLeast"/>
        <w:ind w:firstLine="960"/>
        <w:jc w:val="center"/>
        <w:rPr>
          <w:rFonts w:ascii="方正小标宋简体" w:hAnsi="黑体" w:eastAsia="方正小标宋简体" w:cs="黑体"/>
          <w:bCs/>
          <w:color w:val="auto"/>
          <w:sz w:val="48"/>
          <w:szCs w:val="48"/>
        </w:rPr>
      </w:pPr>
    </w:p>
    <w:p w14:paraId="2802A77A">
      <w:pPr>
        <w:spacing w:line="240" w:lineRule="atLeast"/>
        <w:ind w:firstLine="960"/>
        <w:jc w:val="center"/>
        <w:rPr>
          <w:rFonts w:ascii="方正小标宋简体" w:hAnsi="黑体" w:eastAsia="方正小标宋简体" w:cs="黑体"/>
          <w:bCs/>
          <w:color w:val="auto"/>
          <w:sz w:val="48"/>
          <w:szCs w:val="48"/>
        </w:rPr>
      </w:pPr>
    </w:p>
    <w:p w14:paraId="2D177F7E">
      <w:pPr>
        <w:spacing w:line="240" w:lineRule="atLeast"/>
        <w:ind w:firstLine="960"/>
        <w:jc w:val="center"/>
        <w:rPr>
          <w:rFonts w:ascii="方正小标宋简体" w:hAnsi="黑体" w:eastAsia="方正小标宋简体" w:cs="黑体"/>
          <w:bCs/>
          <w:color w:val="auto"/>
          <w:sz w:val="48"/>
          <w:szCs w:val="48"/>
        </w:rPr>
      </w:pPr>
    </w:p>
    <w:p w14:paraId="59FF2852">
      <w:pPr>
        <w:spacing w:line="240" w:lineRule="atLeast"/>
        <w:ind w:left="0" w:leftChars="0" w:firstLine="0" w:firstLineChars="0"/>
        <w:jc w:val="both"/>
        <w:rPr>
          <w:rFonts w:ascii="方正小标宋简体" w:hAnsi="黑体" w:eastAsia="方正小标宋简体" w:cs="黑体"/>
          <w:bCs/>
          <w:color w:val="auto"/>
          <w:sz w:val="48"/>
          <w:szCs w:val="48"/>
        </w:rPr>
      </w:pPr>
    </w:p>
    <w:p w14:paraId="5573DA68">
      <w:pPr>
        <w:spacing w:line="240" w:lineRule="atLeast"/>
        <w:ind w:firstLine="960"/>
        <w:jc w:val="center"/>
        <w:rPr>
          <w:rFonts w:ascii="方正小标宋简体" w:hAnsi="黑体" w:eastAsia="方正小标宋简体" w:cs="黑体"/>
          <w:bCs/>
          <w:color w:val="auto"/>
          <w:sz w:val="48"/>
          <w:szCs w:val="48"/>
        </w:rPr>
      </w:pPr>
    </w:p>
    <w:p w14:paraId="552841F6">
      <w:pPr>
        <w:ind w:left="2798" w:leftChars="428" w:hanging="1600" w:hangingChars="5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项目名称：</w:t>
      </w:r>
      <w:bookmarkStart w:id="0" w:name="_Hlk68780987"/>
      <w:r>
        <w:rPr>
          <w:rFonts w:hint="eastAsia" w:ascii="仿宋_GB2312" w:hAnsi="仿宋_GB2312" w:eastAsia="仿宋_GB2312" w:cs="仿宋_GB2312"/>
          <w:color w:val="auto"/>
          <w:sz w:val="32"/>
          <w:szCs w:val="32"/>
          <w:lang w:val="en-US" w:eastAsia="zh-CN"/>
        </w:rPr>
        <w:t>2023年城乡义务教育补助经费教育项目资金（公用经费）</w:t>
      </w:r>
      <w:r>
        <w:rPr>
          <w:rFonts w:hint="eastAsia" w:ascii="仿宋_GB2312" w:hAnsi="仿宋_GB2312" w:eastAsia="仿宋_GB2312" w:cs="仿宋_GB2312"/>
          <w:color w:val="auto"/>
          <w:sz w:val="32"/>
          <w:szCs w:val="32"/>
        </w:rPr>
        <w:t>项目</w:t>
      </w:r>
      <w:bookmarkEnd w:id="0"/>
    </w:p>
    <w:p w14:paraId="3D6AD8B9">
      <w:pPr>
        <w:ind w:firstLine="1280" w:firstLineChars="4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项目单位：</w:t>
      </w:r>
      <w:r>
        <w:rPr>
          <w:rFonts w:hint="eastAsia" w:ascii="仿宋_GB2312" w:hAnsi="仿宋_GB2312" w:eastAsia="仿宋_GB2312" w:cs="仿宋_GB2312"/>
          <w:color w:val="auto"/>
          <w:sz w:val="32"/>
          <w:szCs w:val="32"/>
          <w:lang w:val="en-US" w:eastAsia="zh-CN"/>
        </w:rPr>
        <w:t>沙湾市第三中学</w:t>
      </w:r>
    </w:p>
    <w:p w14:paraId="01539277">
      <w:pPr>
        <w:ind w:firstLine="1280" w:firstLineChars="4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主管部门：</w:t>
      </w:r>
      <w:r>
        <w:rPr>
          <w:rFonts w:hint="eastAsia" w:ascii="仿宋_GB2312" w:hAnsi="仿宋_GB2312" w:eastAsia="仿宋_GB2312" w:cs="仿宋_GB2312"/>
          <w:color w:val="auto"/>
          <w:sz w:val="32"/>
          <w:szCs w:val="32"/>
          <w:lang w:val="en-US" w:eastAsia="zh-CN"/>
        </w:rPr>
        <w:t>沙湾市教育和科学技术局</w:t>
      </w:r>
    </w:p>
    <w:p w14:paraId="3601BE1F">
      <w:pPr>
        <w:ind w:firstLine="1280" w:firstLineChars="4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项目负责人：</w:t>
      </w:r>
      <w:r>
        <w:rPr>
          <w:rFonts w:hint="eastAsia" w:ascii="仿宋_GB2312" w:hAnsi="仿宋_GB2312" w:eastAsia="仿宋_GB2312" w:cs="仿宋_GB2312"/>
          <w:color w:val="auto"/>
          <w:sz w:val="32"/>
          <w:szCs w:val="32"/>
          <w:lang w:val="en-US" w:eastAsia="zh-CN"/>
        </w:rPr>
        <w:t>马力</w:t>
      </w:r>
    </w:p>
    <w:p w14:paraId="18F9693C">
      <w:pPr>
        <w:ind w:firstLine="1280" w:firstLineChars="4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填报时间：202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w:t>
      </w:r>
    </w:p>
    <w:p w14:paraId="6F96BB64">
      <w:pPr>
        <w:pStyle w:val="3"/>
        <w:pageBreakBefore w:val="0"/>
        <w:widowControl w:val="0"/>
        <w:kinsoku/>
        <w:wordWrap/>
        <w:topLinePunct w:val="0"/>
        <w:autoSpaceDE/>
        <w:autoSpaceDN/>
        <w:bidi w:val="0"/>
        <w:spacing w:line="520" w:lineRule="exact"/>
        <w:textAlignment w:val="auto"/>
        <w:rPr>
          <w:color w:val="auto"/>
          <w:szCs w:val="32"/>
        </w:rPr>
      </w:pPr>
      <w:r>
        <w:rPr>
          <w:rFonts w:hint="eastAsia"/>
          <w:color w:val="auto"/>
          <w:szCs w:val="32"/>
        </w:rPr>
        <w:t>一、基本情况</w:t>
      </w:r>
    </w:p>
    <w:p w14:paraId="06A4F33A">
      <w:pPr>
        <w:pStyle w:val="4"/>
        <w:pageBreakBefore w:val="0"/>
        <w:widowControl w:val="0"/>
        <w:kinsoku/>
        <w:wordWrap/>
        <w:topLinePunct w:val="0"/>
        <w:autoSpaceDE/>
        <w:autoSpaceDN/>
        <w:bidi w:val="0"/>
        <w:spacing w:line="520" w:lineRule="exact"/>
        <w:ind w:firstLine="643"/>
        <w:textAlignment w:val="auto"/>
        <w:rPr>
          <w:rFonts w:ascii="楷体_GB2312" w:eastAsia="楷体_GB2312"/>
          <w:color w:val="auto"/>
          <w:szCs w:val="32"/>
        </w:rPr>
      </w:pPr>
      <w:r>
        <w:rPr>
          <w:rFonts w:hint="eastAsia" w:ascii="楷体_GB2312" w:eastAsia="楷体_GB2312"/>
          <w:color w:val="auto"/>
          <w:szCs w:val="32"/>
        </w:rPr>
        <w:t>（一）项目概况</w:t>
      </w:r>
    </w:p>
    <w:p w14:paraId="10ABFCE0">
      <w:pPr>
        <w:pageBreakBefore w:val="0"/>
        <w:widowControl w:val="0"/>
        <w:kinsoku/>
        <w:wordWrap/>
        <w:topLinePunct w:val="0"/>
        <w:autoSpaceDE/>
        <w:autoSpaceDN/>
        <w:bidi w:val="0"/>
        <w:spacing w:line="520" w:lineRule="exact"/>
        <w:textAlignment w:val="auto"/>
        <w:rPr>
          <w:b/>
          <w:bCs/>
          <w:color w:val="auto"/>
          <w:sz w:val="32"/>
          <w:szCs w:val="32"/>
        </w:rPr>
      </w:pPr>
      <w:r>
        <w:rPr>
          <w:rFonts w:hint="eastAsia"/>
          <w:b/>
          <w:bCs/>
          <w:color w:val="auto"/>
          <w:sz w:val="32"/>
          <w:szCs w:val="32"/>
        </w:rPr>
        <w:t>1.项目背景</w:t>
      </w:r>
    </w:p>
    <w:p w14:paraId="07BA6AB7">
      <w:pPr>
        <w:pageBreakBefore w:val="0"/>
        <w:widowControl w:val="0"/>
        <w:kinsoku/>
        <w:wordWrap/>
        <w:topLinePunct w:val="0"/>
        <w:autoSpaceDE/>
        <w:autoSpaceDN/>
        <w:bidi w:val="0"/>
        <w:spacing w:line="520" w:lineRule="exact"/>
        <w:textAlignment w:val="auto"/>
        <w:rPr>
          <w:rFonts w:hint="eastAsia"/>
          <w:color w:val="auto"/>
          <w:sz w:val="32"/>
          <w:szCs w:val="32"/>
        </w:rPr>
      </w:pPr>
      <w:r>
        <w:rPr>
          <w:rFonts w:hint="eastAsia"/>
          <w:color w:val="auto"/>
          <w:sz w:val="32"/>
          <w:szCs w:val="32"/>
        </w:rPr>
        <w:t>国家为支持城乡义务教育发展而设立的专项资金，用于支付学校日常运行所需的水</w:t>
      </w:r>
      <w:r>
        <w:rPr>
          <w:rFonts w:hint="eastAsia"/>
          <w:color w:val="auto"/>
          <w:sz w:val="32"/>
          <w:szCs w:val="32"/>
          <w:lang w:val="en-US" w:eastAsia="zh-CN"/>
        </w:rPr>
        <w:t>费、</w:t>
      </w:r>
      <w:r>
        <w:rPr>
          <w:rFonts w:hint="eastAsia"/>
          <w:color w:val="auto"/>
          <w:sz w:val="32"/>
          <w:szCs w:val="32"/>
        </w:rPr>
        <w:t>电</w:t>
      </w:r>
      <w:r>
        <w:rPr>
          <w:rFonts w:hint="eastAsia"/>
          <w:color w:val="auto"/>
          <w:sz w:val="32"/>
          <w:szCs w:val="32"/>
          <w:lang w:val="en-US" w:eastAsia="zh-CN"/>
        </w:rPr>
        <w:t>费</w:t>
      </w:r>
      <w:r>
        <w:rPr>
          <w:rFonts w:hint="eastAsia"/>
          <w:color w:val="auto"/>
          <w:sz w:val="32"/>
          <w:szCs w:val="32"/>
        </w:rPr>
        <w:t>、</w:t>
      </w:r>
      <w:r>
        <w:rPr>
          <w:rFonts w:hint="eastAsia"/>
          <w:color w:val="auto"/>
          <w:sz w:val="32"/>
          <w:szCs w:val="32"/>
          <w:lang w:val="en-US" w:eastAsia="zh-CN"/>
        </w:rPr>
        <w:t>取暖费</w:t>
      </w:r>
      <w:r>
        <w:rPr>
          <w:rFonts w:hint="eastAsia"/>
          <w:color w:val="auto"/>
          <w:sz w:val="32"/>
          <w:szCs w:val="32"/>
        </w:rPr>
        <w:t>、</w:t>
      </w:r>
      <w:r>
        <w:rPr>
          <w:rFonts w:hint="eastAsia"/>
          <w:color w:val="auto"/>
          <w:sz w:val="32"/>
          <w:szCs w:val="32"/>
          <w:lang w:val="en-US" w:eastAsia="zh-CN"/>
        </w:rPr>
        <w:t>培训费、邮电费、办公费</w:t>
      </w:r>
      <w:r>
        <w:rPr>
          <w:rFonts w:hint="eastAsia"/>
          <w:color w:val="auto"/>
          <w:sz w:val="32"/>
          <w:szCs w:val="32"/>
        </w:rPr>
        <w:t>等公用经费开支。城乡义务教育补助经费教育资金（公用经费）是支持城乡义务教育发展的重要举措，需要各级政府和教育部门加强监管和优化资源配置，同时加强信息化建设和社会宣传，确保资金使用效益的最大化。</w:t>
      </w:r>
    </w:p>
    <w:p w14:paraId="67DAD5D1">
      <w:pPr>
        <w:pageBreakBefore w:val="0"/>
        <w:widowControl w:val="0"/>
        <w:kinsoku/>
        <w:wordWrap/>
        <w:topLinePunct w:val="0"/>
        <w:autoSpaceDE/>
        <w:autoSpaceDN/>
        <w:bidi w:val="0"/>
        <w:spacing w:line="520" w:lineRule="exact"/>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保障义务教育学校正常运转：公用经费是学校日常运转的重要资金来源，可以保障学校的基本运行，包括教学设备维护、水电费支出、信息化设备更新等。通过公用经费的投入，可以改善学校的教学环境，提高教学质量，促进教育公平。城乡义务教育补助经费教育资金有助于缩小城乡教育差距，促进教育资源的均衡配置，推动教育事业的均衡发展。</w:t>
      </w:r>
    </w:p>
    <w:p w14:paraId="2F26160C">
      <w:pPr>
        <w:pageBreakBefore w:val="0"/>
        <w:widowControl w:val="0"/>
        <w:kinsoku/>
        <w:wordWrap/>
        <w:topLinePunct w:val="0"/>
        <w:autoSpaceDE/>
        <w:autoSpaceDN/>
        <w:bidi w:val="0"/>
        <w:spacing w:line="520" w:lineRule="exact"/>
        <w:textAlignment w:val="auto"/>
        <w:rPr>
          <w:rFonts w:hint="eastAsia" w:ascii="Times New Roman" w:hAnsi="Times New Roman" w:eastAsia="仿宋_GB2312" w:cs="Times New Roman"/>
          <w:b w:val="0"/>
          <w:bCs w:val="0"/>
          <w:color w:val="auto"/>
          <w:kern w:val="2"/>
          <w:sz w:val="32"/>
          <w:szCs w:val="32"/>
          <w:lang w:val="en-US" w:eastAsia="zh-CN" w:bidi="ar-SA"/>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沙湾市第三中学根据</w:t>
      </w:r>
      <w:r>
        <w:rPr>
          <w:rFonts w:hint="eastAsia" w:ascii="仿宋_GB2312" w:hAnsi="仿宋_GB2312" w:cs="仿宋_GB2312"/>
          <w:color w:val="auto"/>
          <w:sz w:val="32"/>
          <w:szCs w:val="32"/>
          <w:lang w:val="en-US" w:eastAsia="zh-CN"/>
        </w:rPr>
        <w:t>《关于提前下达2023年城乡义务教育补助经费预算（中央直达资金）的通知（沙财教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color w:val="auto"/>
          <w:sz w:val="32"/>
          <w:szCs w:val="32"/>
          <w:lang w:val="en-US" w:eastAsia="zh-CN"/>
        </w:rPr>
        <w:t>要求，积极开展了</w:t>
      </w:r>
      <w:r>
        <w:rPr>
          <w:rFonts w:hint="eastAsia"/>
          <w:color w:val="auto"/>
          <w:sz w:val="32"/>
          <w:szCs w:val="32"/>
        </w:rPr>
        <w:t>2023年城乡义务教育补助经费教育项目资金（公用经费）项目</w:t>
      </w:r>
      <w:r>
        <w:rPr>
          <w:rFonts w:hint="eastAsia"/>
          <w:color w:val="auto"/>
          <w:sz w:val="32"/>
          <w:szCs w:val="32"/>
          <w:lang w:eastAsia="zh-CN"/>
        </w:rPr>
        <w:t>，</w:t>
      </w:r>
      <w:r>
        <w:rPr>
          <w:rFonts w:hint="eastAsia"/>
          <w:color w:val="auto"/>
          <w:sz w:val="32"/>
          <w:szCs w:val="32"/>
        </w:rPr>
        <w:t>以</w:t>
      </w:r>
      <w:r>
        <w:rPr>
          <w:rFonts w:hint="eastAsia" w:ascii="Times New Roman" w:hAnsi="Times New Roman" w:eastAsia="仿宋_GB2312" w:cs="Times New Roman"/>
          <w:b w:val="0"/>
          <w:bCs w:val="0"/>
          <w:color w:val="auto"/>
          <w:kern w:val="2"/>
          <w:sz w:val="32"/>
          <w:szCs w:val="32"/>
          <w:lang w:val="en-US" w:eastAsia="zh-CN" w:bidi="ar-SA"/>
        </w:rPr>
        <w:t>加强对公用经费使用的监管，确保资金用于学校日常运转和教育教学活动，防止资金挪用和浪费。科学合理分配资金，确保城乡学校都能够得到相应的支持，促进教育资源的均衡配置。加大对信息化设备的投入，提高学校信息化水平，提高教育教学效率和质量。加强对城乡义务教育补助经费教育资金的宣传，提高学校和家长对资金的认知和使用意识，引导社会各界共同关注和支持教育事业发展。</w:t>
      </w:r>
    </w:p>
    <w:p w14:paraId="14ECBFD7">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项目</w:t>
      </w:r>
      <w:r>
        <w:rPr>
          <w:rFonts w:hint="eastAsia" w:ascii="仿宋_GB2312" w:hAnsi="仿宋_GB2312" w:eastAsia="仿宋_GB2312" w:cs="仿宋_GB2312"/>
          <w:b/>
          <w:bCs/>
          <w:color w:val="auto"/>
          <w:sz w:val="32"/>
          <w:szCs w:val="32"/>
        </w:rPr>
        <w:t>主要内容及实施情况</w:t>
      </w:r>
    </w:p>
    <w:p w14:paraId="39987042">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color w:val="auto"/>
          <w:sz w:val="32"/>
          <w:szCs w:val="32"/>
          <w:lang w:val="en-US" w:eastAsia="zh-CN"/>
        </w:rPr>
        <w:t>根据沙湾市</w:t>
      </w:r>
      <w:r>
        <w:rPr>
          <w:rFonts w:hint="eastAsia" w:ascii="仿宋_GB2312" w:hAnsi="仿宋_GB2312" w:cs="仿宋_GB2312"/>
          <w:color w:val="auto"/>
          <w:sz w:val="32"/>
          <w:szCs w:val="32"/>
          <w:lang w:val="en-US" w:eastAsia="zh-CN"/>
        </w:rPr>
        <w:t>《关于提前下达2023年城乡义务教育补助经费预算（中央直达资金）的通知（沙财教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color w:val="auto"/>
          <w:sz w:val="32"/>
          <w:szCs w:val="32"/>
          <w:lang w:val="en-US" w:eastAsia="zh-CN"/>
        </w:rPr>
        <w:t>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“1、用于</w:t>
      </w:r>
      <w:r>
        <w:rPr>
          <w:rFonts w:hint="eastAsia" w:ascii="仿宋_GB2312"/>
          <w:color w:val="auto"/>
          <w:sz w:val="32"/>
          <w:szCs w:val="32"/>
        </w:rPr>
        <w:t>支付</w:t>
      </w:r>
      <w:r>
        <w:rPr>
          <w:rFonts w:hint="eastAsia" w:ascii="仿宋_GB2312"/>
          <w:color w:val="auto"/>
          <w:sz w:val="32"/>
          <w:szCs w:val="32"/>
          <w:lang w:val="en-US" w:eastAsia="zh-CN"/>
        </w:rPr>
        <w:t>为保障正常教育教学产生的办公</w:t>
      </w:r>
      <w:r>
        <w:rPr>
          <w:rFonts w:hint="eastAsia" w:ascii="仿宋_GB2312"/>
          <w:color w:val="auto"/>
          <w:sz w:val="32"/>
          <w:szCs w:val="32"/>
        </w:rPr>
        <w:t>费用、</w:t>
      </w:r>
      <w:r>
        <w:rPr>
          <w:rFonts w:hint="eastAsia" w:ascii="仿宋_GB2312"/>
          <w:color w:val="auto"/>
          <w:sz w:val="32"/>
          <w:szCs w:val="32"/>
          <w:lang w:val="en-US" w:eastAsia="zh-CN"/>
        </w:rPr>
        <w:t>维修</w:t>
      </w:r>
      <w:r>
        <w:rPr>
          <w:rFonts w:hint="eastAsia" w:ascii="仿宋_GB2312"/>
          <w:color w:val="auto"/>
          <w:sz w:val="32"/>
          <w:szCs w:val="32"/>
        </w:rPr>
        <w:t>费用、</w:t>
      </w:r>
      <w:r>
        <w:rPr>
          <w:rFonts w:hint="eastAsia" w:ascii="仿宋_GB2312"/>
          <w:color w:val="auto"/>
          <w:sz w:val="32"/>
          <w:szCs w:val="32"/>
          <w:lang w:val="en-US" w:eastAsia="zh-CN"/>
        </w:rPr>
        <w:t>办公设备购置</w:t>
      </w:r>
      <w:r>
        <w:rPr>
          <w:rFonts w:hint="eastAsia" w:ascii="仿宋_GB2312"/>
          <w:color w:val="auto"/>
          <w:sz w:val="32"/>
          <w:szCs w:val="32"/>
        </w:rPr>
        <w:t>费用、</w:t>
      </w:r>
      <w:r>
        <w:rPr>
          <w:rFonts w:hint="eastAsia" w:ascii="仿宋_GB2312"/>
          <w:color w:val="auto"/>
          <w:sz w:val="32"/>
          <w:szCs w:val="32"/>
          <w:lang w:val="en-US" w:eastAsia="zh-CN"/>
        </w:rPr>
        <w:t>培训</w:t>
      </w:r>
      <w:r>
        <w:rPr>
          <w:rFonts w:hint="eastAsia" w:ascii="仿宋_GB2312"/>
          <w:color w:val="auto"/>
          <w:sz w:val="32"/>
          <w:szCs w:val="32"/>
        </w:rPr>
        <w:t>费用</w:t>
      </w:r>
      <w:r>
        <w:rPr>
          <w:rFonts w:hint="eastAsia" w:ascii="仿宋_GB2312"/>
          <w:color w:val="auto"/>
          <w:sz w:val="32"/>
          <w:szCs w:val="32"/>
          <w:lang w:val="en-US" w:eastAsia="zh-CN"/>
        </w:rPr>
        <w:t>等；</w:t>
      </w:r>
      <w:r>
        <w:rPr>
          <w:rFonts w:hint="eastAsia"/>
          <w:color w:val="auto"/>
          <w:sz w:val="32"/>
          <w:szCs w:val="32"/>
          <w:lang w:val="en-US" w:eastAsia="zh-CN"/>
        </w:rPr>
        <w:t xml:space="preserve"> 2、实施完成维持保障学校正常运转产生费用的支付，改善了学校的办学条件；3、完成保障</w:t>
      </w:r>
      <w:r>
        <w:rPr>
          <w:rFonts w:hint="eastAsia" w:ascii="Times New Roman" w:hAnsi="Times New Roman" w:eastAsia="仿宋_GB2312" w:cs="Times New Roman"/>
          <w:b w:val="0"/>
          <w:bCs w:val="0"/>
          <w:color w:val="auto"/>
          <w:kern w:val="2"/>
          <w:sz w:val="32"/>
          <w:szCs w:val="32"/>
          <w:lang w:val="en-US" w:eastAsia="zh-CN" w:bidi="ar-SA"/>
        </w:rPr>
        <w:t>学校日常运转和教育教学活动</w:t>
      </w:r>
      <w:r>
        <w:rPr>
          <w:rFonts w:hint="eastAsia" w:cs="Times New Roman"/>
          <w:b w:val="0"/>
          <w:bCs w:val="0"/>
          <w:color w:val="auto"/>
          <w:kern w:val="2"/>
          <w:sz w:val="32"/>
          <w:szCs w:val="32"/>
          <w:lang w:val="en-US" w:eastAsia="zh-CN" w:bidi="ar-SA"/>
        </w:rPr>
        <w:t>的顺利开展</w:t>
      </w:r>
      <w:r>
        <w:rPr>
          <w:rFonts w:hint="eastAsia"/>
          <w:color w:val="auto"/>
          <w:sz w:val="32"/>
          <w:szCs w:val="32"/>
          <w:lang w:val="en-US" w:eastAsia="zh-CN"/>
        </w:rPr>
        <w:t>；4、</w:t>
      </w:r>
      <w:r>
        <w:rPr>
          <w:rFonts w:hint="eastAsia"/>
          <w:color w:val="auto"/>
          <w:sz w:val="32"/>
          <w:szCs w:val="32"/>
        </w:rPr>
        <w:t>通过项目实施，旨在增强经费保障力度，有效改善学校办学条件，提高学生及教师的幸福感，加大对教育惠民工作的推进力度。</w:t>
      </w:r>
    </w:p>
    <w:p w14:paraId="69B3F988">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lang w:val="en-US" w:eastAsia="zh-CN"/>
        </w:rPr>
        <w:t>本项目于2023年1月开始实施，截至2023年12月，该项目已实施完成，各项任务指标全部完成。通过本项目的实施</w:t>
      </w:r>
      <w:r>
        <w:rPr>
          <w:rFonts w:hint="eastAsia"/>
          <w:color w:val="auto"/>
          <w:sz w:val="32"/>
          <w:szCs w:val="32"/>
        </w:rPr>
        <w:t>有效解决了保障学校运转产生费用，对水费、电费、电话费、办公费、培训费等进行及时支付，</w:t>
      </w:r>
      <w:r>
        <w:rPr>
          <w:rFonts w:hint="eastAsia" w:ascii="Times New Roman" w:hAnsi="Times New Roman" w:eastAsia="仿宋_GB2312" w:cs="Times New Roman"/>
          <w:b w:val="0"/>
          <w:bCs w:val="0"/>
          <w:color w:val="auto"/>
          <w:kern w:val="2"/>
          <w:sz w:val="32"/>
          <w:szCs w:val="32"/>
          <w:lang w:val="en-US" w:eastAsia="zh-CN" w:bidi="ar-SA"/>
        </w:rPr>
        <w:t>确保资金用于学校日常运转和教育教学活动</w:t>
      </w:r>
      <w:r>
        <w:rPr>
          <w:rFonts w:hint="eastAsia" w:cs="Times New Roman"/>
          <w:b w:val="0"/>
          <w:bCs w:val="0"/>
          <w:color w:val="auto"/>
          <w:kern w:val="2"/>
          <w:sz w:val="32"/>
          <w:szCs w:val="32"/>
          <w:lang w:val="en-US" w:eastAsia="zh-CN" w:bidi="ar-SA"/>
        </w:rPr>
        <w:t>，</w:t>
      </w:r>
      <w:r>
        <w:rPr>
          <w:rFonts w:hint="eastAsia"/>
          <w:color w:val="auto"/>
          <w:sz w:val="32"/>
          <w:szCs w:val="32"/>
        </w:rPr>
        <w:t>提升了办学条件，增强了师生幸福感。</w:t>
      </w:r>
    </w:p>
    <w:p w14:paraId="3F611A2B">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3.项目实施主体</w:t>
      </w:r>
    </w:p>
    <w:p w14:paraId="4EAD7FAB">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highlight w:val="none"/>
          <w:lang w:val="en-US" w:eastAsia="zh-CN"/>
        </w:rPr>
        <w:t>2023年城乡义务教育补助经费教育项目资金（公用经费）</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沙湾市第三中学</w:t>
      </w:r>
      <w:r>
        <w:rPr>
          <w:rFonts w:hint="eastAsia"/>
          <w:color w:val="auto"/>
          <w:sz w:val="32"/>
          <w:szCs w:val="32"/>
          <w:lang w:eastAsia="zh-Hans"/>
        </w:rPr>
        <w:t>。</w:t>
      </w:r>
    </w:p>
    <w:p w14:paraId="1091E316">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4. 资金投入和使用情况</w:t>
      </w:r>
    </w:p>
    <w:p w14:paraId="361C855F">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color w:val="auto"/>
          <w:sz w:val="32"/>
          <w:szCs w:val="32"/>
        </w:rPr>
        <w:t>（1）项目资金安排落实、总投入情况</w:t>
      </w:r>
    </w:p>
    <w:p w14:paraId="7EEBD96F">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沙湾市财政局《关于提前下达2023年城乡义务教育补助经费预算（中央直达资金）的通知（沙财教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ascii="仿宋_GB2312" w:hAnsi="仿宋_GB2312" w:cs="仿宋_GB2312"/>
          <w:color w:val="auto"/>
          <w:sz w:val="32"/>
          <w:szCs w:val="32"/>
          <w:highlight w:val="none"/>
          <w:lang w:val="en-US" w:eastAsia="zh-CN"/>
        </w:rPr>
        <w:t>2023年城乡义务教育补助经费教育项目资金（公用经费）</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175.03</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175.03</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175.03</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100.0</w:t>
      </w:r>
      <w:r>
        <w:rPr>
          <w:rFonts w:hint="eastAsia" w:ascii="仿宋_GB2312"/>
          <w:color w:val="auto"/>
          <w:sz w:val="32"/>
          <w:szCs w:val="32"/>
        </w:rPr>
        <w:t>%。</w:t>
      </w:r>
    </w:p>
    <w:p w14:paraId="518CDEF8">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（2）项目资金实际使用情况</w:t>
      </w:r>
    </w:p>
    <w:p w14:paraId="374C74C5">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175.03</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办公</w:t>
      </w:r>
      <w:r>
        <w:rPr>
          <w:rFonts w:hint="eastAsia" w:ascii="仿宋_GB2312"/>
          <w:color w:val="auto"/>
          <w:sz w:val="32"/>
          <w:szCs w:val="32"/>
        </w:rPr>
        <w:t>费用</w:t>
      </w:r>
      <w:r>
        <w:rPr>
          <w:rFonts w:hint="eastAsia" w:ascii="仿宋_GB2312"/>
          <w:color w:val="auto"/>
          <w:sz w:val="32"/>
          <w:szCs w:val="32"/>
          <w:lang w:val="en-US" w:eastAsia="zh-CN"/>
        </w:rPr>
        <w:t>46.87</w:t>
      </w:r>
      <w:r>
        <w:rPr>
          <w:rFonts w:hint="eastAsia" w:ascii="仿宋_GB2312"/>
          <w:color w:val="auto"/>
          <w:sz w:val="32"/>
          <w:szCs w:val="32"/>
        </w:rPr>
        <w:t>万元、</w:t>
      </w:r>
      <w:r>
        <w:rPr>
          <w:rFonts w:hint="eastAsia" w:ascii="仿宋_GB2312"/>
          <w:color w:val="auto"/>
          <w:sz w:val="32"/>
          <w:szCs w:val="32"/>
          <w:lang w:val="en-US" w:eastAsia="zh-CN"/>
        </w:rPr>
        <w:t>维修</w:t>
      </w:r>
      <w:r>
        <w:rPr>
          <w:rFonts w:hint="eastAsia" w:ascii="仿宋_GB2312"/>
          <w:color w:val="auto"/>
          <w:sz w:val="32"/>
          <w:szCs w:val="32"/>
        </w:rPr>
        <w:t>费用</w:t>
      </w:r>
      <w:r>
        <w:rPr>
          <w:rFonts w:hint="eastAsia" w:ascii="仿宋_GB2312"/>
          <w:color w:val="auto"/>
          <w:sz w:val="32"/>
          <w:szCs w:val="32"/>
          <w:lang w:val="en-US" w:eastAsia="zh-CN"/>
        </w:rPr>
        <w:t>43.88</w:t>
      </w:r>
      <w:r>
        <w:rPr>
          <w:rFonts w:hint="eastAsia" w:ascii="仿宋_GB2312"/>
          <w:color w:val="auto"/>
          <w:sz w:val="32"/>
          <w:szCs w:val="32"/>
        </w:rPr>
        <w:t>万元、</w:t>
      </w:r>
      <w:r>
        <w:rPr>
          <w:rFonts w:hint="eastAsia" w:ascii="仿宋_GB2312"/>
          <w:color w:val="auto"/>
          <w:sz w:val="32"/>
          <w:szCs w:val="32"/>
          <w:lang w:val="en-US" w:eastAsia="zh-CN"/>
        </w:rPr>
        <w:t>办公设备购置</w:t>
      </w:r>
      <w:r>
        <w:rPr>
          <w:rFonts w:hint="eastAsia" w:ascii="仿宋_GB2312"/>
          <w:color w:val="auto"/>
          <w:sz w:val="32"/>
          <w:szCs w:val="32"/>
        </w:rPr>
        <w:t>费用</w:t>
      </w:r>
      <w:r>
        <w:rPr>
          <w:rFonts w:hint="eastAsia" w:ascii="仿宋_GB2312"/>
          <w:color w:val="auto"/>
          <w:sz w:val="32"/>
          <w:szCs w:val="32"/>
          <w:lang w:val="en-US" w:eastAsia="zh-CN"/>
        </w:rPr>
        <w:t>24.04</w:t>
      </w:r>
      <w:r>
        <w:rPr>
          <w:rFonts w:hint="eastAsia" w:ascii="仿宋_GB2312"/>
          <w:color w:val="auto"/>
          <w:sz w:val="32"/>
          <w:szCs w:val="32"/>
        </w:rPr>
        <w:t>万元、</w:t>
      </w:r>
      <w:r>
        <w:rPr>
          <w:rFonts w:hint="eastAsia" w:ascii="仿宋_GB2312"/>
          <w:color w:val="auto"/>
          <w:sz w:val="32"/>
          <w:szCs w:val="32"/>
          <w:lang w:val="en-US" w:eastAsia="zh-CN"/>
        </w:rPr>
        <w:t>培训</w:t>
      </w:r>
      <w:r>
        <w:rPr>
          <w:rFonts w:hint="eastAsia" w:ascii="仿宋_GB2312"/>
          <w:color w:val="auto"/>
          <w:sz w:val="32"/>
          <w:szCs w:val="32"/>
        </w:rPr>
        <w:t>费用</w:t>
      </w:r>
      <w:r>
        <w:rPr>
          <w:rFonts w:hint="eastAsia" w:ascii="仿宋_GB2312"/>
          <w:color w:val="auto"/>
          <w:sz w:val="32"/>
          <w:szCs w:val="32"/>
          <w:lang w:val="en-US" w:eastAsia="zh-CN"/>
        </w:rPr>
        <w:t>8.14</w:t>
      </w:r>
      <w:r>
        <w:rPr>
          <w:rFonts w:hint="eastAsia" w:ascii="仿宋_GB2312"/>
          <w:color w:val="auto"/>
          <w:sz w:val="32"/>
          <w:szCs w:val="32"/>
        </w:rPr>
        <w:t>万元、</w:t>
      </w:r>
      <w:r>
        <w:rPr>
          <w:rFonts w:hint="eastAsia" w:ascii="仿宋_GB2312"/>
          <w:color w:val="auto"/>
          <w:sz w:val="32"/>
          <w:szCs w:val="32"/>
          <w:lang w:val="en-US" w:eastAsia="zh-CN"/>
        </w:rPr>
        <w:t>水</w:t>
      </w:r>
      <w:r>
        <w:rPr>
          <w:rFonts w:hint="eastAsia" w:ascii="仿宋_GB2312"/>
          <w:color w:val="auto"/>
          <w:sz w:val="32"/>
          <w:szCs w:val="32"/>
        </w:rPr>
        <w:t>费</w:t>
      </w:r>
      <w:r>
        <w:rPr>
          <w:rFonts w:hint="eastAsia" w:ascii="仿宋_GB2312"/>
          <w:color w:val="auto"/>
          <w:sz w:val="32"/>
          <w:szCs w:val="32"/>
          <w:lang w:val="en-US" w:eastAsia="zh-CN"/>
        </w:rPr>
        <w:t>20.00</w:t>
      </w:r>
      <w:r>
        <w:rPr>
          <w:rFonts w:hint="eastAsia" w:ascii="仿宋_GB2312"/>
          <w:color w:val="auto"/>
          <w:sz w:val="32"/>
          <w:szCs w:val="32"/>
        </w:rPr>
        <w:t>万元、</w:t>
      </w:r>
      <w:r>
        <w:rPr>
          <w:rFonts w:hint="eastAsia" w:ascii="仿宋_GB2312"/>
          <w:color w:val="auto"/>
          <w:sz w:val="32"/>
          <w:szCs w:val="32"/>
          <w:lang w:val="en-US" w:eastAsia="zh-CN"/>
        </w:rPr>
        <w:t>电</w:t>
      </w:r>
      <w:r>
        <w:rPr>
          <w:rFonts w:hint="eastAsia" w:ascii="仿宋_GB2312"/>
          <w:color w:val="auto"/>
          <w:sz w:val="32"/>
          <w:szCs w:val="32"/>
        </w:rPr>
        <w:t>费</w:t>
      </w:r>
      <w:r>
        <w:rPr>
          <w:rFonts w:hint="eastAsia" w:ascii="仿宋_GB2312"/>
          <w:color w:val="auto"/>
          <w:sz w:val="32"/>
          <w:szCs w:val="32"/>
          <w:lang w:val="en-US" w:eastAsia="zh-CN"/>
        </w:rPr>
        <w:t>9.67</w:t>
      </w:r>
      <w:r>
        <w:rPr>
          <w:rFonts w:hint="eastAsia" w:ascii="仿宋_GB2312"/>
          <w:color w:val="auto"/>
          <w:sz w:val="32"/>
          <w:szCs w:val="32"/>
        </w:rPr>
        <w:t>万元、</w:t>
      </w:r>
      <w:r>
        <w:rPr>
          <w:rFonts w:hint="eastAsia" w:ascii="仿宋_GB2312"/>
          <w:color w:val="auto"/>
          <w:sz w:val="32"/>
          <w:szCs w:val="32"/>
          <w:lang w:val="en-US" w:eastAsia="zh-CN"/>
        </w:rPr>
        <w:t>暖气</w:t>
      </w:r>
      <w:r>
        <w:rPr>
          <w:rFonts w:hint="eastAsia" w:ascii="仿宋_GB2312"/>
          <w:color w:val="auto"/>
          <w:sz w:val="32"/>
          <w:szCs w:val="32"/>
        </w:rPr>
        <w:t>费用</w:t>
      </w:r>
      <w:r>
        <w:rPr>
          <w:rFonts w:hint="eastAsia" w:ascii="仿宋_GB2312"/>
          <w:color w:val="auto"/>
          <w:sz w:val="32"/>
          <w:szCs w:val="32"/>
          <w:lang w:val="en-US" w:eastAsia="zh-CN"/>
        </w:rPr>
        <w:t>15.91</w:t>
      </w:r>
      <w:r>
        <w:rPr>
          <w:rFonts w:hint="eastAsia" w:ascii="仿宋_GB2312"/>
          <w:color w:val="auto"/>
          <w:sz w:val="32"/>
          <w:szCs w:val="32"/>
        </w:rPr>
        <w:t>万元、</w:t>
      </w:r>
      <w:r>
        <w:rPr>
          <w:rFonts w:hint="eastAsia" w:ascii="仿宋_GB2312"/>
          <w:color w:val="auto"/>
          <w:sz w:val="32"/>
          <w:szCs w:val="32"/>
          <w:lang w:val="en-US" w:eastAsia="zh-CN"/>
        </w:rPr>
        <w:t>邮电</w:t>
      </w:r>
      <w:r>
        <w:rPr>
          <w:rFonts w:hint="eastAsia" w:ascii="仿宋_GB2312"/>
          <w:color w:val="auto"/>
          <w:sz w:val="32"/>
          <w:szCs w:val="32"/>
        </w:rPr>
        <w:t>费用</w:t>
      </w:r>
      <w:r>
        <w:rPr>
          <w:rFonts w:hint="eastAsia" w:ascii="仿宋_GB2312"/>
          <w:color w:val="auto"/>
          <w:sz w:val="32"/>
          <w:szCs w:val="32"/>
          <w:lang w:val="en-US" w:eastAsia="zh-CN"/>
        </w:rPr>
        <w:t>1.00</w:t>
      </w:r>
      <w:r>
        <w:rPr>
          <w:rFonts w:hint="eastAsia" w:ascii="仿宋_GB2312"/>
          <w:color w:val="auto"/>
          <w:sz w:val="32"/>
          <w:szCs w:val="32"/>
        </w:rPr>
        <w:t>万元、</w:t>
      </w:r>
      <w:r>
        <w:rPr>
          <w:rFonts w:hint="eastAsia" w:ascii="仿宋_GB2312"/>
          <w:color w:val="auto"/>
          <w:sz w:val="32"/>
          <w:szCs w:val="32"/>
          <w:lang w:val="en-US" w:eastAsia="zh-CN"/>
        </w:rPr>
        <w:t>物业管理</w:t>
      </w:r>
      <w:r>
        <w:rPr>
          <w:rFonts w:hint="eastAsia" w:ascii="仿宋_GB2312"/>
          <w:color w:val="auto"/>
          <w:sz w:val="32"/>
          <w:szCs w:val="32"/>
        </w:rPr>
        <w:t>费用</w:t>
      </w:r>
      <w:r>
        <w:rPr>
          <w:rFonts w:hint="eastAsia" w:ascii="仿宋_GB2312"/>
          <w:color w:val="auto"/>
          <w:sz w:val="32"/>
          <w:szCs w:val="32"/>
          <w:lang w:val="en-US" w:eastAsia="zh-CN"/>
        </w:rPr>
        <w:t>2.95</w:t>
      </w:r>
      <w:r>
        <w:rPr>
          <w:rFonts w:hint="eastAsia" w:ascii="仿宋_GB2312"/>
          <w:color w:val="auto"/>
          <w:sz w:val="32"/>
          <w:szCs w:val="32"/>
        </w:rPr>
        <w:t>万元、</w:t>
      </w:r>
      <w:r>
        <w:rPr>
          <w:rFonts w:hint="eastAsia" w:ascii="仿宋_GB2312"/>
          <w:color w:val="auto"/>
          <w:sz w:val="32"/>
          <w:szCs w:val="32"/>
          <w:lang w:val="en-US" w:eastAsia="zh-CN"/>
        </w:rPr>
        <w:t>印刷</w:t>
      </w:r>
      <w:r>
        <w:rPr>
          <w:rFonts w:hint="eastAsia" w:ascii="仿宋_GB2312"/>
          <w:color w:val="auto"/>
          <w:sz w:val="32"/>
          <w:szCs w:val="32"/>
        </w:rPr>
        <w:t>费用</w:t>
      </w:r>
      <w:r>
        <w:rPr>
          <w:rFonts w:hint="eastAsia" w:ascii="仿宋_GB2312"/>
          <w:color w:val="auto"/>
          <w:sz w:val="32"/>
          <w:szCs w:val="32"/>
          <w:lang w:val="en-US" w:eastAsia="zh-CN"/>
        </w:rPr>
        <w:t>0.77</w:t>
      </w:r>
      <w:r>
        <w:rPr>
          <w:rFonts w:hint="eastAsia" w:ascii="仿宋_GB2312"/>
          <w:color w:val="auto"/>
          <w:sz w:val="32"/>
          <w:szCs w:val="32"/>
        </w:rPr>
        <w:t>万元、</w:t>
      </w:r>
      <w:r>
        <w:rPr>
          <w:rFonts w:hint="eastAsia" w:ascii="仿宋_GB2312"/>
          <w:color w:val="auto"/>
          <w:sz w:val="32"/>
          <w:szCs w:val="32"/>
          <w:lang w:val="en-US" w:eastAsia="zh-CN"/>
        </w:rPr>
        <w:t>差旅</w:t>
      </w:r>
      <w:r>
        <w:rPr>
          <w:rFonts w:hint="eastAsia" w:ascii="仿宋_GB2312"/>
          <w:color w:val="auto"/>
          <w:sz w:val="32"/>
          <w:szCs w:val="32"/>
        </w:rPr>
        <w:t>费用</w:t>
      </w:r>
      <w:r>
        <w:rPr>
          <w:rFonts w:hint="eastAsia" w:ascii="仿宋_GB2312"/>
          <w:color w:val="auto"/>
          <w:sz w:val="32"/>
          <w:szCs w:val="32"/>
          <w:lang w:val="en-US" w:eastAsia="zh-CN"/>
        </w:rPr>
        <w:t>0.81</w:t>
      </w:r>
      <w:r>
        <w:rPr>
          <w:rFonts w:hint="eastAsia" w:ascii="仿宋_GB2312"/>
          <w:color w:val="auto"/>
          <w:sz w:val="32"/>
          <w:szCs w:val="32"/>
        </w:rPr>
        <w:t>万元、</w:t>
      </w:r>
      <w:r>
        <w:rPr>
          <w:rFonts w:hint="eastAsia" w:ascii="仿宋_GB2312"/>
          <w:color w:val="auto"/>
          <w:sz w:val="32"/>
          <w:szCs w:val="32"/>
          <w:lang w:val="en-US" w:eastAsia="zh-CN"/>
        </w:rPr>
        <w:t>专用材料</w:t>
      </w:r>
      <w:r>
        <w:rPr>
          <w:rFonts w:hint="eastAsia" w:ascii="仿宋_GB2312"/>
          <w:color w:val="auto"/>
          <w:sz w:val="32"/>
          <w:szCs w:val="32"/>
        </w:rPr>
        <w:t>费</w:t>
      </w:r>
      <w:r>
        <w:rPr>
          <w:rFonts w:hint="eastAsia" w:ascii="仿宋_GB2312"/>
          <w:color w:val="auto"/>
          <w:sz w:val="32"/>
          <w:szCs w:val="32"/>
          <w:lang w:val="en-US" w:eastAsia="zh-CN"/>
        </w:rPr>
        <w:t>0.44</w:t>
      </w:r>
      <w:r>
        <w:rPr>
          <w:rFonts w:hint="eastAsia" w:ascii="仿宋_GB2312"/>
          <w:color w:val="auto"/>
          <w:sz w:val="32"/>
          <w:szCs w:val="32"/>
        </w:rPr>
        <w:t>万元、</w:t>
      </w:r>
      <w:r>
        <w:rPr>
          <w:rFonts w:hint="eastAsia" w:ascii="仿宋_GB2312"/>
          <w:color w:val="auto"/>
          <w:sz w:val="32"/>
          <w:szCs w:val="32"/>
          <w:lang w:val="en-US" w:eastAsia="zh-CN"/>
        </w:rPr>
        <w:t>其他交通费用0.55</w:t>
      </w:r>
      <w:r>
        <w:rPr>
          <w:rFonts w:hint="eastAsia" w:ascii="仿宋_GB2312"/>
          <w:color w:val="auto"/>
          <w:sz w:val="32"/>
          <w:szCs w:val="32"/>
        </w:rPr>
        <w:t>万元</w:t>
      </w:r>
    </w:p>
    <w:p w14:paraId="35356782">
      <w:pPr>
        <w:pStyle w:val="4"/>
        <w:pageBreakBefore w:val="0"/>
        <w:widowControl w:val="0"/>
        <w:numPr>
          <w:ilvl w:val="0"/>
          <w:numId w:val="2"/>
        </w:numPr>
        <w:kinsoku/>
        <w:wordWrap/>
        <w:topLinePunct w:val="0"/>
        <w:autoSpaceDE/>
        <w:autoSpaceDN/>
        <w:bidi w:val="0"/>
        <w:spacing w:line="520" w:lineRule="exact"/>
        <w:ind w:firstLine="643"/>
        <w:textAlignment w:val="auto"/>
        <w:rPr>
          <w:rFonts w:ascii="楷体_GB2312" w:eastAsia="楷体_GB2312"/>
          <w:color w:val="auto"/>
          <w:szCs w:val="32"/>
        </w:rPr>
      </w:pPr>
      <w:r>
        <w:rPr>
          <w:rFonts w:hint="eastAsia" w:ascii="楷体_GB2312" w:eastAsia="楷体_GB2312"/>
          <w:color w:val="auto"/>
          <w:szCs w:val="32"/>
        </w:rPr>
        <w:t>项目绩效目标</w:t>
      </w:r>
    </w:p>
    <w:p w14:paraId="21F9639B">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1.总体目标</w:t>
      </w:r>
    </w:p>
    <w:p w14:paraId="64D40CE2">
      <w:pPr>
        <w:pageBreakBefore w:val="0"/>
        <w:widowControl w:val="0"/>
        <w:kinsoku/>
        <w:wordWrap/>
        <w:topLinePunct w:val="0"/>
        <w:autoSpaceDE/>
        <w:autoSpaceDN/>
        <w:bidi w:val="0"/>
        <w:spacing w:line="520" w:lineRule="exact"/>
        <w:textAlignment w:val="auto"/>
        <w:rPr>
          <w:rFonts w:hint="eastAsia"/>
          <w:color w:val="auto"/>
          <w:sz w:val="32"/>
          <w:szCs w:val="32"/>
          <w:lang w:val="en-US" w:eastAsia="zh-CN"/>
        </w:rPr>
      </w:pPr>
      <w:r>
        <w:rPr>
          <w:rFonts w:hint="eastAsia"/>
          <w:color w:val="auto"/>
          <w:sz w:val="32"/>
          <w:szCs w:val="32"/>
          <w:lang w:val="en-US" w:eastAsia="zh-CN"/>
        </w:rPr>
        <w:t>2023年城乡义务教育补助经费教育项目资金（公用经费）</w:t>
      </w:r>
      <w:r>
        <w:rPr>
          <w:rFonts w:hint="eastAsia"/>
          <w:color w:val="auto"/>
          <w:sz w:val="32"/>
          <w:szCs w:val="32"/>
        </w:rPr>
        <w:t>的设立，是以解决</w:t>
      </w:r>
      <w:r>
        <w:rPr>
          <w:rFonts w:hint="eastAsia" w:cs="Times New Roman"/>
          <w:b w:val="0"/>
          <w:bCs w:val="0"/>
          <w:color w:val="auto"/>
          <w:kern w:val="2"/>
          <w:sz w:val="32"/>
          <w:szCs w:val="32"/>
          <w:lang w:val="en-US" w:eastAsia="zh-CN" w:bidi="ar-SA"/>
        </w:rPr>
        <w:t>保障学</w:t>
      </w:r>
      <w:r>
        <w:rPr>
          <w:rFonts w:hint="eastAsia" w:ascii="Times New Roman" w:hAnsi="Times New Roman" w:eastAsia="仿宋_GB2312" w:cs="Times New Roman"/>
          <w:b w:val="0"/>
          <w:bCs w:val="0"/>
          <w:color w:val="auto"/>
          <w:kern w:val="2"/>
          <w:sz w:val="32"/>
          <w:szCs w:val="32"/>
          <w:lang w:val="en-US" w:eastAsia="zh-CN" w:bidi="ar-SA"/>
        </w:rPr>
        <w:t>校日常运转和教育教学活动</w:t>
      </w:r>
      <w:r>
        <w:rPr>
          <w:rFonts w:hint="eastAsia" w:cs="Times New Roman"/>
          <w:b w:val="0"/>
          <w:bCs w:val="0"/>
          <w:color w:val="auto"/>
          <w:kern w:val="2"/>
          <w:sz w:val="32"/>
          <w:szCs w:val="32"/>
          <w:lang w:val="en-US" w:eastAsia="zh-CN" w:bidi="ar-SA"/>
        </w:rPr>
        <w:t>的顺利开展，</w:t>
      </w:r>
      <w:r>
        <w:rPr>
          <w:rFonts w:hint="eastAsia"/>
          <w:color w:val="auto"/>
          <w:sz w:val="32"/>
          <w:szCs w:val="32"/>
        </w:rPr>
        <w:t>提升办学条件，增强了师生幸福感。</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lang w:val="en-US" w:eastAsia="zh-CN"/>
        </w:rPr>
        <w:t>保障在籍学生经费的正常使用，提高学校的教学设施和设备水平，改善学生的学习环境，提高教学质量。目标2：保障学校基本的教学需要，包括图书、教学仪器、实验设备等，为学生提供更好的学习条件。目标3：优化教师队伍，增加教师外出学习和培训机会，提高教师队伍的业务水平和整体素质。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lang w:val="en-US" w:eastAsia="zh-CN"/>
        </w:rPr>
        <w:t>为学校提供更好的教学设施和设备，为学生提供良好的学生生活环境；加大教师外出培训和学习力度，提高教师队伍素质水平，提高教学质量和办学实力，为义务教育学校的发展和社会进步做出积极贡献。</w:t>
      </w:r>
    </w:p>
    <w:p w14:paraId="1816CB5F">
      <w:pPr>
        <w:pageBreakBefore w:val="0"/>
        <w:widowControl w:val="0"/>
        <w:numPr>
          <w:ilvl w:val="0"/>
          <w:numId w:val="0"/>
        </w:numPr>
        <w:kinsoku/>
        <w:wordWrap/>
        <w:topLinePunct w:val="0"/>
        <w:autoSpaceDE/>
        <w:autoSpaceDN/>
        <w:bidi w:val="0"/>
        <w:spacing w:line="520" w:lineRule="exact"/>
        <w:ind w:firstLine="643" w:firstLineChars="200"/>
        <w:textAlignment w:val="auto"/>
        <w:rPr>
          <w:rFonts w:hint="eastAsia"/>
          <w:b/>
          <w:bCs/>
          <w:color w:val="auto"/>
          <w:sz w:val="32"/>
          <w:szCs w:val="32"/>
        </w:rPr>
      </w:pPr>
      <w:r>
        <w:rPr>
          <w:rFonts w:hint="eastAsia"/>
          <w:b/>
          <w:bCs/>
          <w:color w:val="auto"/>
          <w:sz w:val="32"/>
          <w:szCs w:val="32"/>
        </w:rPr>
        <w:t>2.阶段性目标</w:t>
      </w:r>
    </w:p>
    <w:p w14:paraId="761372F9">
      <w:pPr>
        <w:pageBreakBefore w:val="0"/>
        <w:widowControl w:val="0"/>
        <w:kinsoku/>
        <w:wordWrap/>
        <w:topLinePunct w:val="0"/>
        <w:autoSpaceDE/>
        <w:autoSpaceDN/>
        <w:bidi w:val="0"/>
        <w:spacing w:line="520" w:lineRule="exact"/>
        <w:ind w:firstLine="640"/>
        <w:textAlignment w:val="auto"/>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14:paraId="2A235570">
      <w:pPr>
        <w:pageBreakBefore w:val="0"/>
        <w:widowControl w:val="0"/>
        <w:numPr>
          <w:ilvl w:val="0"/>
          <w:numId w:val="3"/>
        </w:numPr>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项目产出</w:t>
      </w:r>
      <w:r>
        <w:rPr>
          <w:rFonts w:hint="eastAsia"/>
          <w:color w:val="auto"/>
          <w:sz w:val="32"/>
          <w:szCs w:val="32"/>
          <w:lang w:val="en-US" w:eastAsia="zh-CN"/>
        </w:rPr>
        <w:t>指标</w:t>
      </w:r>
    </w:p>
    <w:p w14:paraId="259726F6">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①数量指标</w:t>
      </w:r>
    </w:p>
    <w:p w14:paraId="3A65F88A">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补助学生人数</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1693人</w:t>
      </w:r>
      <w:r>
        <w:rPr>
          <w:rFonts w:hint="eastAsia"/>
          <w:color w:val="auto"/>
          <w:sz w:val="32"/>
          <w:szCs w:val="32"/>
        </w:rPr>
        <w:t>”；</w:t>
      </w:r>
    </w:p>
    <w:p w14:paraId="2D631F03">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“随班就读”学生补助人数</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13人</w:t>
      </w:r>
      <w:r>
        <w:rPr>
          <w:rFonts w:hint="eastAsia"/>
          <w:color w:val="auto"/>
          <w:sz w:val="32"/>
          <w:szCs w:val="32"/>
        </w:rPr>
        <w:t>”；</w:t>
      </w:r>
    </w:p>
    <w:p w14:paraId="24182C11">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②质量指标</w:t>
      </w:r>
    </w:p>
    <w:p w14:paraId="26CAC27C">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资金支付规范率</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p>
    <w:p w14:paraId="63C1BFD1">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资金补助覆盖率</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p>
    <w:p w14:paraId="12B8C938">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③时效指标</w:t>
      </w:r>
    </w:p>
    <w:p w14:paraId="240E0624">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项目完成时限</w:t>
      </w:r>
      <w:r>
        <w:rPr>
          <w:rFonts w:hint="eastAsia"/>
          <w:color w:val="auto"/>
          <w:sz w:val="32"/>
          <w:szCs w:val="32"/>
        </w:rPr>
        <w:t>”指标，预期指标值为“</w:t>
      </w:r>
      <w:r>
        <w:rPr>
          <w:rFonts w:hint="eastAsia" w:ascii="仿宋_GB2312"/>
          <w:color w:val="auto"/>
          <w:sz w:val="32"/>
          <w:szCs w:val="32"/>
          <w:lang w:eastAsia="zh-Hans"/>
        </w:rPr>
        <w:t>2023年12月25日前</w:t>
      </w:r>
      <w:r>
        <w:rPr>
          <w:rFonts w:hint="eastAsia"/>
          <w:color w:val="auto"/>
          <w:sz w:val="32"/>
          <w:szCs w:val="32"/>
        </w:rPr>
        <w:t>”；</w:t>
      </w:r>
    </w:p>
    <w:p w14:paraId="4996321C">
      <w:pPr>
        <w:pageBreakBefore w:val="0"/>
        <w:widowControl w:val="0"/>
        <w:numPr>
          <w:ilvl w:val="0"/>
          <w:numId w:val="3"/>
        </w:numPr>
        <w:kinsoku/>
        <w:wordWrap/>
        <w:topLinePunct w:val="0"/>
        <w:autoSpaceDE/>
        <w:autoSpaceDN/>
        <w:bidi w:val="0"/>
        <w:spacing w:line="520" w:lineRule="exact"/>
        <w:ind w:left="0" w:leftChars="0" w:firstLine="640" w:firstLineChars="200"/>
        <w:textAlignment w:val="auto"/>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14:paraId="596C85C0">
      <w:pPr>
        <w:pageBreakBefore w:val="0"/>
        <w:widowControl w:val="0"/>
        <w:kinsoku/>
        <w:wordWrap/>
        <w:topLinePunct w:val="0"/>
        <w:autoSpaceDE/>
        <w:autoSpaceDN/>
        <w:bidi w:val="0"/>
        <w:spacing w:line="520" w:lineRule="exact"/>
        <w:ind w:firstLine="640"/>
        <w:textAlignment w:val="auto"/>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14:paraId="47FCF211">
      <w:pPr>
        <w:pageBreakBefore w:val="0"/>
        <w:widowControl w:val="0"/>
        <w:kinsoku/>
        <w:wordWrap/>
        <w:topLinePunct w:val="0"/>
        <w:autoSpaceDE/>
        <w:autoSpaceDN/>
        <w:bidi w:val="0"/>
        <w:spacing w:line="520" w:lineRule="exact"/>
        <w:ind w:firstLine="640"/>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生均经费补助标准</w:t>
      </w:r>
      <w:r>
        <w:rPr>
          <w:rFonts w:hint="eastAsia"/>
          <w:color w:val="auto"/>
          <w:sz w:val="32"/>
          <w:szCs w:val="32"/>
          <w:highlight w:val="none"/>
        </w:rPr>
        <w:t>”指标，预期指标值为“</w:t>
      </w:r>
      <w:r>
        <w:rPr>
          <w:rFonts w:hint="eastAsia"/>
          <w:color w:val="auto"/>
          <w:sz w:val="32"/>
          <w:szCs w:val="32"/>
          <w:lang w:val="en-US" w:eastAsia="zh-CN"/>
        </w:rPr>
        <w:t>等于</w:t>
      </w:r>
      <w:r>
        <w:rPr>
          <w:rFonts w:hint="eastAsia" w:ascii="仿宋_GB2312"/>
          <w:color w:val="auto"/>
          <w:sz w:val="32"/>
          <w:szCs w:val="32"/>
          <w:highlight w:val="none"/>
          <w:lang w:val="en-US" w:eastAsia="zh-CN"/>
        </w:rPr>
        <w:t>940</w:t>
      </w:r>
      <w:r>
        <w:rPr>
          <w:rFonts w:hint="eastAsia" w:ascii="仿宋_GB2312"/>
          <w:color w:val="auto"/>
          <w:sz w:val="32"/>
          <w:szCs w:val="32"/>
          <w:highlight w:val="none"/>
          <w:lang w:eastAsia="zh-Hans"/>
        </w:rPr>
        <w:t>元/生/年</w:t>
      </w:r>
      <w:r>
        <w:rPr>
          <w:rFonts w:hint="eastAsia"/>
          <w:color w:val="auto"/>
          <w:sz w:val="32"/>
          <w:szCs w:val="32"/>
          <w:highlight w:val="none"/>
        </w:rPr>
        <w:t>”；</w:t>
      </w:r>
    </w:p>
    <w:p w14:paraId="2DDA9C77">
      <w:pPr>
        <w:pageBreakBefore w:val="0"/>
        <w:widowControl w:val="0"/>
        <w:kinsoku/>
        <w:wordWrap/>
        <w:topLinePunct w:val="0"/>
        <w:autoSpaceDE/>
        <w:autoSpaceDN/>
        <w:bidi w:val="0"/>
        <w:spacing w:line="520" w:lineRule="exact"/>
        <w:ind w:firstLine="640"/>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“随班就读”学生补助标准</w:t>
      </w:r>
      <w:r>
        <w:rPr>
          <w:rFonts w:hint="eastAsia"/>
          <w:color w:val="auto"/>
          <w:sz w:val="32"/>
          <w:szCs w:val="32"/>
          <w:highlight w:val="none"/>
        </w:rPr>
        <w:t>”指标，预期指标值为“</w:t>
      </w:r>
      <w:r>
        <w:rPr>
          <w:rFonts w:hint="eastAsia"/>
          <w:color w:val="auto"/>
          <w:sz w:val="32"/>
          <w:szCs w:val="32"/>
          <w:lang w:val="en-US" w:eastAsia="zh-CN"/>
        </w:rPr>
        <w:t>等于</w:t>
      </w:r>
      <w:r>
        <w:rPr>
          <w:rFonts w:hint="eastAsia" w:ascii="仿宋_GB2312"/>
          <w:color w:val="auto"/>
          <w:sz w:val="32"/>
          <w:szCs w:val="32"/>
          <w:highlight w:val="none"/>
          <w:lang w:val="en-US" w:eastAsia="zh-CN"/>
        </w:rPr>
        <w:t>6000</w:t>
      </w:r>
      <w:r>
        <w:rPr>
          <w:rFonts w:hint="eastAsia" w:ascii="仿宋_GB2312"/>
          <w:color w:val="auto"/>
          <w:sz w:val="32"/>
          <w:szCs w:val="32"/>
          <w:highlight w:val="none"/>
          <w:lang w:eastAsia="zh-Hans"/>
        </w:rPr>
        <w:t>元/生/年</w:t>
      </w:r>
      <w:r>
        <w:rPr>
          <w:rFonts w:hint="eastAsia"/>
          <w:color w:val="auto"/>
          <w:sz w:val="32"/>
          <w:szCs w:val="32"/>
          <w:highlight w:val="none"/>
        </w:rPr>
        <w:t>”。</w:t>
      </w:r>
    </w:p>
    <w:p w14:paraId="3A720CBF">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14:paraId="70FD8234">
      <w:pPr>
        <w:pStyle w:val="2"/>
        <w:pageBreakBefore w:val="0"/>
        <w:widowControl w:val="0"/>
        <w:kinsoku/>
        <w:wordWrap/>
        <w:topLinePunct w:val="0"/>
        <w:autoSpaceDE/>
        <w:autoSpaceDN/>
        <w:bidi w:val="0"/>
        <w:spacing w:line="520" w:lineRule="exact"/>
        <w:textAlignment w:val="auto"/>
        <w:rPr>
          <w:b w:val="0"/>
          <w:bCs w:val="0"/>
          <w:color w:val="auto"/>
        </w:rPr>
      </w:pPr>
      <w:r>
        <w:rPr>
          <w:rFonts w:hint="eastAsia" w:ascii="仿宋_GB2312"/>
          <w:b w:val="0"/>
          <w:bCs w:val="0"/>
          <w:color w:val="auto"/>
          <w:sz w:val="32"/>
          <w:szCs w:val="32"/>
        </w:rPr>
        <w:t>无此项指标</w:t>
      </w:r>
    </w:p>
    <w:p w14:paraId="5C0BA245">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14:paraId="19621BA2">
      <w:pPr>
        <w:pStyle w:val="2"/>
        <w:pageBreakBefore w:val="0"/>
        <w:widowControl w:val="0"/>
        <w:kinsoku/>
        <w:wordWrap/>
        <w:topLinePunct w:val="0"/>
        <w:autoSpaceDE/>
        <w:autoSpaceDN/>
        <w:bidi w:val="0"/>
        <w:spacing w:line="520" w:lineRule="exact"/>
        <w:textAlignment w:val="auto"/>
        <w:rPr>
          <w:rFonts w:hint="eastAsia"/>
          <w:b w:val="0"/>
          <w:bCs w:val="0"/>
          <w:color w:val="auto"/>
          <w:sz w:val="32"/>
          <w:szCs w:val="32"/>
        </w:rPr>
      </w:pPr>
      <w:r>
        <w:rPr>
          <w:rFonts w:hint="eastAsia" w:ascii="仿宋_GB2312"/>
          <w:b w:val="0"/>
          <w:bCs w:val="0"/>
          <w:color w:val="auto"/>
          <w:sz w:val="32"/>
          <w:szCs w:val="32"/>
        </w:rPr>
        <w:t>无此项指标</w:t>
      </w:r>
    </w:p>
    <w:p w14:paraId="5AB6DC02">
      <w:pPr>
        <w:pageBreakBefore w:val="0"/>
        <w:widowControl w:val="0"/>
        <w:kinsoku/>
        <w:wordWrap/>
        <w:topLinePunct w:val="0"/>
        <w:autoSpaceDE/>
        <w:autoSpaceDN/>
        <w:bidi w:val="0"/>
        <w:spacing w:line="520" w:lineRule="exact"/>
        <w:ind w:firstLine="640"/>
        <w:textAlignment w:val="auto"/>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14:paraId="77602F37">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①经济效益指标</w:t>
      </w:r>
    </w:p>
    <w:p w14:paraId="0093474C">
      <w:pPr>
        <w:pStyle w:val="2"/>
        <w:pageBreakBefore w:val="0"/>
        <w:widowControl w:val="0"/>
        <w:kinsoku/>
        <w:wordWrap/>
        <w:topLinePunct w:val="0"/>
        <w:autoSpaceDE/>
        <w:autoSpaceDN/>
        <w:bidi w:val="0"/>
        <w:spacing w:line="520" w:lineRule="exact"/>
        <w:textAlignment w:val="auto"/>
        <w:rPr>
          <w:b w:val="0"/>
          <w:bCs w:val="0"/>
          <w:color w:val="auto"/>
          <w:sz w:val="32"/>
          <w:szCs w:val="32"/>
        </w:rPr>
      </w:pPr>
      <w:r>
        <w:rPr>
          <w:rFonts w:hint="eastAsia" w:ascii="仿宋_GB2312"/>
          <w:b w:val="0"/>
          <w:bCs w:val="0"/>
          <w:color w:val="auto"/>
          <w:sz w:val="32"/>
          <w:szCs w:val="32"/>
        </w:rPr>
        <w:t>无此项指标</w:t>
      </w:r>
    </w:p>
    <w:p w14:paraId="09DFB74D">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②社会效益指标</w:t>
      </w:r>
    </w:p>
    <w:p w14:paraId="0F0CF500">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保障学校正常运转</w:t>
      </w:r>
      <w:r>
        <w:rPr>
          <w:rFonts w:hint="eastAsia"/>
          <w:color w:val="auto"/>
          <w:sz w:val="32"/>
          <w:szCs w:val="32"/>
        </w:rPr>
        <w:t>”指标，预期指标值为“</w:t>
      </w:r>
      <w:r>
        <w:rPr>
          <w:rFonts w:hint="eastAsia" w:ascii="仿宋_GB2312"/>
          <w:color w:val="auto"/>
          <w:sz w:val="32"/>
          <w:szCs w:val="32"/>
          <w:lang w:eastAsia="zh-Hans"/>
        </w:rPr>
        <w:t>有效保障</w:t>
      </w:r>
      <w:r>
        <w:rPr>
          <w:rFonts w:hint="eastAsia"/>
          <w:color w:val="auto"/>
          <w:sz w:val="32"/>
          <w:szCs w:val="32"/>
        </w:rPr>
        <w:t>”；</w:t>
      </w:r>
    </w:p>
    <w:p w14:paraId="67E4D936">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提高学生生活水平</w:t>
      </w:r>
      <w:r>
        <w:rPr>
          <w:rFonts w:hint="eastAsia"/>
          <w:color w:val="auto"/>
          <w:sz w:val="32"/>
          <w:szCs w:val="32"/>
        </w:rPr>
        <w:t>”指标，预期指标值为“</w:t>
      </w:r>
      <w:r>
        <w:rPr>
          <w:rFonts w:hint="eastAsia" w:ascii="仿宋_GB2312"/>
          <w:color w:val="auto"/>
          <w:sz w:val="32"/>
          <w:szCs w:val="32"/>
          <w:lang w:eastAsia="zh-Hans"/>
        </w:rPr>
        <w:t>有效提升</w:t>
      </w:r>
      <w:r>
        <w:rPr>
          <w:rFonts w:hint="eastAsia"/>
          <w:color w:val="auto"/>
          <w:sz w:val="32"/>
          <w:szCs w:val="32"/>
        </w:rPr>
        <w:t>”。</w:t>
      </w:r>
    </w:p>
    <w:p w14:paraId="3B2154D3">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③生态效益指标</w:t>
      </w:r>
    </w:p>
    <w:p w14:paraId="7E157A0F">
      <w:pPr>
        <w:pStyle w:val="2"/>
        <w:pageBreakBefore w:val="0"/>
        <w:widowControl w:val="0"/>
        <w:kinsoku/>
        <w:wordWrap/>
        <w:topLinePunct w:val="0"/>
        <w:autoSpaceDE/>
        <w:autoSpaceDN/>
        <w:bidi w:val="0"/>
        <w:spacing w:line="520" w:lineRule="exact"/>
        <w:textAlignment w:val="auto"/>
        <w:rPr>
          <w:b w:val="0"/>
          <w:bCs w:val="0"/>
          <w:color w:val="auto"/>
        </w:rPr>
      </w:pPr>
      <w:r>
        <w:rPr>
          <w:rFonts w:hint="eastAsia" w:ascii="仿宋_GB2312"/>
          <w:b w:val="0"/>
          <w:bCs w:val="0"/>
          <w:color w:val="auto"/>
          <w:sz w:val="32"/>
          <w:szCs w:val="32"/>
        </w:rPr>
        <w:t>无此项指标</w:t>
      </w:r>
    </w:p>
    <w:p w14:paraId="50C4651D">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14:paraId="49062806">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学生满意度</w:t>
      </w:r>
      <w:r>
        <w:rPr>
          <w:rFonts w:hint="eastAsia"/>
          <w:color w:val="auto"/>
          <w:sz w:val="32"/>
          <w:szCs w:val="32"/>
        </w:rPr>
        <w:t>”指标，预期指标值为“</w:t>
      </w:r>
      <w:r>
        <w:rPr>
          <w:rFonts w:hint="eastAsia" w:ascii="Arial" w:hAnsi="Arial" w:cs="Arial"/>
          <w:color w:val="auto"/>
          <w:sz w:val="32"/>
          <w:szCs w:val="32"/>
          <w:lang w:val="en-US" w:eastAsia="zh-CN"/>
        </w:rPr>
        <w:t>大于等于</w:t>
      </w:r>
      <w:r>
        <w:rPr>
          <w:rFonts w:hint="eastAsia" w:ascii="仿宋_GB2312"/>
          <w:color w:val="auto"/>
          <w:sz w:val="32"/>
          <w:szCs w:val="32"/>
          <w:lang w:val="en-US" w:eastAsia="zh-CN"/>
        </w:rPr>
        <w:t>95%</w:t>
      </w:r>
      <w:r>
        <w:rPr>
          <w:rFonts w:hint="eastAsia"/>
          <w:color w:val="auto"/>
          <w:sz w:val="32"/>
          <w:szCs w:val="32"/>
        </w:rPr>
        <w:t>”；</w:t>
      </w:r>
    </w:p>
    <w:p w14:paraId="6DAB9EAD">
      <w:pPr>
        <w:pStyle w:val="3"/>
        <w:pageBreakBefore w:val="0"/>
        <w:widowControl w:val="0"/>
        <w:kinsoku/>
        <w:wordWrap/>
        <w:topLinePunct w:val="0"/>
        <w:autoSpaceDE/>
        <w:autoSpaceDN/>
        <w:bidi w:val="0"/>
        <w:spacing w:line="520" w:lineRule="exact"/>
        <w:ind w:firstLine="640"/>
        <w:textAlignment w:val="auto"/>
        <w:rPr>
          <w:rFonts w:hint="eastAsia" w:ascii="黑体" w:hAnsi="黑体" w:eastAsia="黑体" w:cs="黑体"/>
          <w:b/>
          <w:bCs/>
          <w:color w:val="auto"/>
          <w:szCs w:val="32"/>
        </w:rPr>
      </w:pPr>
      <w:r>
        <w:rPr>
          <w:rFonts w:hint="eastAsia" w:ascii="黑体" w:hAnsi="黑体" w:eastAsia="黑体" w:cs="黑体"/>
          <w:b/>
          <w:bCs/>
          <w:color w:val="auto"/>
          <w:szCs w:val="32"/>
        </w:rPr>
        <w:t>二、绩效评价工作开展情况</w:t>
      </w:r>
    </w:p>
    <w:p w14:paraId="74B6CE45">
      <w:pPr>
        <w:pStyle w:val="4"/>
        <w:pageBreakBefore w:val="0"/>
        <w:widowControl w:val="0"/>
        <w:numPr>
          <w:ilvl w:val="0"/>
          <w:numId w:val="4"/>
        </w:numPr>
        <w:kinsoku/>
        <w:wordWrap/>
        <w:topLinePunct w:val="0"/>
        <w:autoSpaceDE/>
        <w:autoSpaceDN/>
        <w:bidi w:val="0"/>
        <w:spacing w:line="520" w:lineRule="exact"/>
        <w:ind w:firstLine="643"/>
        <w:textAlignment w:val="auto"/>
        <w:rPr>
          <w:rFonts w:hint="eastAsia" w:ascii="楷体_GB2312" w:hAnsi="楷体_GB2312" w:eastAsia="楷体_GB2312" w:cs="楷体_GB2312"/>
          <w:color w:val="auto"/>
          <w:szCs w:val="32"/>
        </w:rPr>
      </w:pPr>
      <w:bookmarkStart w:id="1" w:name="_Toc22169_WPSOffice_Level2"/>
      <w:bookmarkStart w:id="2" w:name="_Toc12868"/>
      <w:bookmarkStart w:id="3" w:name="_Toc5258"/>
      <w:bookmarkStart w:id="4" w:name="_Toc26632"/>
      <w:bookmarkStart w:id="5" w:name="_Toc5462343"/>
      <w:bookmarkStart w:id="6" w:name="_Toc21664"/>
      <w:bookmarkStart w:id="7" w:name="_Toc22922"/>
      <w:bookmarkStart w:id="8" w:name="_Toc480473081"/>
      <w:r>
        <w:rPr>
          <w:rFonts w:hint="eastAsia" w:ascii="楷体_GB2312" w:hAnsi="楷体_GB2312" w:eastAsia="楷体_GB2312" w:cs="楷体_GB2312"/>
          <w:color w:val="auto"/>
          <w:szCs w:val="32"/>
        </w:rPr>
        <w:t>绩效评价的目的</w:t>
      </w:r>
      <w:bookmarkEnd w:id="1"/>
      <w:bookmarkEnd w:id="2"/>
      <w:bookmarkEnd w:id="3"/>
      <w:bookmarkEnd w:id="4"/>
      <w:bookmarkEnd w:id="5"/>
      <w:bookmarkEnd w:id="6"/>
      <w:bookmarkEnd w:id="7"/>
      <w:bookmarkEnd w:id="8"/>
      <w:r>
        <w:rPr>
          <w:rFonts w:hint="eastAsia" w:ascii="楷体_GB2312" w:hAnsi="楷体_GB2312" w:eastAsia="楷体_GB2312" w:cs="楷体_GB2312"/>
          <w:color w:val="auto"/>
          <w:szCs w:val="32"/>
        </w:rPr>
        <w:t>、对象和范围</w:t>
      </w:r>
    </w:p>
    <w:p w14:paraId="6AECE581">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1.绩效评价的目的</w:t>
      </w:r>
    </w:p>
    <w:p w14:paraId="50CEA19B">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C1A13A1">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2.绩效评价的对象和范围</w:t>
      </w:r>
    </w:p>
    <w:p w14:paraId="3725F67D">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eastAsia="zh-Hans"/>
        </w:rPr>
        <w:t>2023年城乡义务教育补助经费教育项目资金（公用经费）</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FDE3771">
      <w:pPr>
        <w:pStyle w:val="4"/>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color w:val="auto"/>
          <w:szCs w:val="32"/>
        </w:rPr>
      </w:pPr>
      <w:r>
        <w:rPr>
          <w:rFonts w:hint="eastAsia" w:ascii="楷体_GB2312" w:eastAsia="楷体_GB2312"/>
          <w:color w:val="auto"/>
          <w:szCs w:val="32"/>
        </w:rPr>
        <w:t>评价工作简述</w:t>
      </w:r>
    </w:p>
    <w:p w14:paraId="55A5CC9D">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1.绩效评价原则</w:t>
      </w:r>
    </w:p>
    <w:p w14:paraId="4BB2EF27">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2023年城乡义务教育补助经费教育项目资金（公用经费）</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14:paraId="0DBDFCEE">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根据以上原则，绩效评价遵循如下具体要求：</w:t>
      </w:r>
    </w:p>
    <w:p w14:paraId="0981A112">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14:paraId="4E6704D0">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（2）保证评价结果的真实性、公正性，提高评价报告的公信力。</w:t>
      </w:r>
    </w:p>
    <w:p w14:paraId="25A25F8D">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14:paraId="194D35DB">
      <w:pPr>
        <w:pageBreakBefore w:val="0"/>
        <w:widowControl w:val="0"/>
        <w:kinsoku/>
        <w:wordWrap/>
        <w:topLinePunct w:val="0"/>
        <w:autoSpaceDE/>
        <w:autoSpaceDN/>
        <w:bidi w:val="0"/>
        <w:spacing w:line="520" w:lineRule="exact"/>
        <w:textAlignment w:val="auto"/>
        <w:rPr>
          <w:rFonts w:hint="eastAsia"/>
          <w:b/>
          <w:bCs/>
          <w:color w:val="auto"/>
          <w:sz w:val="32"/>
          <w:szCs w:val="32"/>
        </w:rPr>
      </w:pPr>
      <w:bookmarkStart w:id="9" w:name="_Toc26131"/>
      <w:bookmarkStart w:id="10" w:name="_Toc1913"/>
      <w:bookmarkStart w:id="11" w:name="_Toc419984722"/>
      <w:bookmarkStart w:id="12" w:name="_Toc428278230"/>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14:paraId="1C408244">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14:paraId="1D0F69A8">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14:paraId="7DBD7DFE">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w:t>
      </w:r>
      <w:r>
        <w:rPr>
          <w:rFonts w:hint="eastAsia" w:ascii="仿宋_GB2312"/>
          <w:color w:val="auto"/>
          <w:sz w:val="32"/>
          <w:szCs w:val="32"/>
          <w:highlight w:val="none"/>
        </w:rPr>
        <w:t>、项目效益。</w:t>
      </w:r>
    </w:p>
    <w:p w14:paraId="6B6AB047">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w:t>
      </w:r>
      <w:r>
        <w:rPr>
          <w:rFonts w:hint="eastAsia" w:ascii="仿宋_GB2312"/>
          <w:color w:val="auto"/>
          <w:sz w:val="32"/>
          <w:szCs w:val="32"/>
        </w:rPr>
        <w:t>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highlight w:val="none"/>
        </w:rPr>
        <w:t>成本节约率、社会效益、生态效益、可持续影响、服务对象满意度。</w:t>
      </w:r>
    </w:p>
    <w:p w14:paraId="04448128">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3.评价方法</w:t>
      </w:r>
    </w:p>
    <w:p w14:paraId="2A9FDCAF">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14:paraId="292F82C5">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79E2F86">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5FCD7190">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b/>
          <w:bCs/>
          <w:color w:val="auto"/>
          <w:sz w:val="32"/>
          <w:szCs w:val="32"/>
        </w:rPr>
        <w:t>4.评价标准</w:t>
      </w:r>
    </w:p>
    <w:p w14:paraId="0479B293">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27D8778">
      <w:pPr>
        <w:pStyle w:val="4"/>
        <w:pageBreakBefore w:val="0"/>
        <w:widowControl w:val="0"/>
        <w:kinsoku/>
        <w:wordWrap/>
        <w:topLinePunct w:val="0"/>
        <w:autoSpaceDE/>
        <w:autoSpaceDN/>
        <w:bidi w:val="0"/>
        <w:spacing w:line="520" w:lineRule="exact"/>
        <w:ind w:left="420" w:firstLine="0" w:firstLineChars="0"/>
        <w:textAlignment w:val="auto"/>
        <w:rPr>
          <w:rFonts w:hint="eastAsia" w:ascii="楷体_GB2312" w:hAnsi="楷体_GB2312" w:eastAsia="楷体_GB2312" w:cs="楷体_GB2312"/>
          <w:color w:val="auto"/>
          <w:szCs w:val="32"/>
        </w:rPr>
      </w:pPr>
      <w:r>
        <w:rPr>
          <w:rFonts w:hint="eastAsia" w:ascii="楷体_GB2312" w:hAnsi="楷体_GB2312" w:eastAsia="楷体_GB2312" w:cs="楷体_GB2312"/>
          <w:color w:val="auto"/>
          <w:szCs w:val="32"/>
        </w:rPr>
        <w:t>（三）绩效评价工作过程</w:t>
      </w:r>
    </w:p>
    <w:p w14:paraId="015FE751">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14:paraId="415E566C">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14:paraId="23258032">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校长陈丽</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14:paraId="7BC08CEB">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副校长李军</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6861B8C2">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报账员时利静</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14:paraId="4AA27CD0">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14:paraId="497BFB39">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14:paraId="32AD20D7">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14:paraId="4F5F92EB">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14:paraId="19C05630">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14:paraId="0582510C">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14:paraId="1B4AA66F">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14:paraId="7E0F43D6">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14:paraId="5C888F62">
      <w:pPr>
        <w:pStyle w:val="3"/>
        <w:pageBreakBefore w:val="0"/>
        <w:widowControl w:val="0"/>
        <w:numPr>
          <w:ilvl w:val="0"/>
          <w:numId w:val="5"/>
        </w:numPr>
        <w:kinsoku/>
        <w:wordWrap/>
        <w:topLinePunct w:val="0"/>
        <w:autoSpaceDE/>
        <w:autoSpaceDN/>
        <w:bidi w:val="0"/>
        <w:spacing w:line="520" w:lineRule="exact"/>
        <w:ind w:firstLine="640"/>
        <w:textAlignment w:val="auto"/>
        <w:rPr>
          <w:rFonts w:hint="eastAsia" w:ascii="黑体" w:hAnsi="黑体" w:eastAsia="黑体" w:cs="黑体"/>
          <w:b/>
          <w:bCs/>
          <w:color w:val="auto"/>
          <w:szCs w:val="32"/>
        </w:rPr>
      </w:pPr>
      <w:r>
        <w:rPr>
          <w:rFonts w:hint="eastAsia" w:ascii="黑体" w:hAnsi="黑体" w:eastAsia="黑体" w:cs="黑体"/>
          <w:b/>
          <w:bCs/>
          <w:color w:val="auto"/>
          <w:szCs w:val="32"/>
        </w:rPr>
        <w:t>综合评价情况及评价结论</w:t>
      </w:r>
    </w:p>
    <w:p w14:paraId="3FA83E00">
      <w:pPr>
        <w:pStyle w:val="23"/>
        <w:pageBreakBefore w:val="0"/>
        <w:widowControl w:val="0"/>
        <w:kinsoku/>
        <w:wordWrap/>
        <w:topLinePunct w:val="0"/>
        <w:autoSpaceDE/>
        <w:autoSpaceDN/>
        <w:bidi w:val="0"/>
        <w:spacing w:before="0" w:after="0" w:line="520" w:lineRule="exact"/>
        <w:ind w:left="560"/>
        <w:textAlignment w:val="auto"/>
        <w:rPr>
          <w:rFonts w:hint="eastAsia" w:ascii="楷体_GB2312" w:hAnsi="楷体_GB2312" w:eastAsia="楷体_GB2312" w:cs="楷体_GB2312"/>
          <w:color w:val="auto"/>
          <w:sz w:val="32"/>
        </w:rPr>
      </w:pPr>
      <w:bookmarkStart w:id="15" w:name="_Toc68364665"/>
      <w:r>
        <w:rPr>
          <w:rFonts w:hint="eastAsia" w:ascii="楷体_GB2312" w:hAnsi="楷体_GB2312" w:eastAsia="楷体_GB2312" w:cs="楷体_GB2312"/>
          <w:color w:val="auto"/>
          <w:sz w:val="32"/>
        </w:rPr>
        <w:t>（一）综合评价情况</w:t>
      </w:r>
      <w:bookmarkEnd w:id="15"/>
    </w:p>
    <w:p w14:paraId="5D106861">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通过2023年城乡义务教育补助经费教育项目资金（公用经费）项目的实施，解决了学校的基本运行，包括教学设备维护、水电费支出、信息化设备更新等。</w:t>
      </w:r>
      <w:r>
        <w:rPr>
          <w:rFonts w:hint="eastAsia" w:ascii="仿宋_GB2312"/>
          <w:color w:val="auto"/>
          <w:sz w:val="32"/>
          <w:szCs w:val="32"/>
          <w:lang w:val="en-US" w:eastAsia="zh-CN"/>
        </w:rPr>
        <w:t>保障了教师外出培训，提供了能力提升的机会，对校园进行维修</w:t>
      </w:r>
      <w:r>
        <w:rPr>
          <w:rFonts w:hint="eastAsia" w:ascii="仿宋_GB2312"/>
          <w:color w:val="auto"/>
          <w:sz w:val="32"/>
          <w:szCs w:val="32"/>
        </w:rPr>
        <w:t>改善学校的教学环境</w:t>
      </w:r>
      <w:r>
        <w:rPr>
          <w:rFonts w:hint="eastAsia" w:ascii="仿宋_GB2312"/>
          <w:color w:val="auto"/>
          <w:sz w:val="32"/>
          <w:szCs w:val="32"/>
          <w:lang w:eastAsia="zh-CN"/>
        </w:rPr>
        <w:t>，</w:t>
      </w:r>
      <w:r>
        <w:rPr>
          <w:rFonts w:hint="eastAsia" w:ascii="仿宋_GB2312"/>
          <w:color w:val="auto"/>
          <w:sz w:val="32"/>
          <w:szCs w:val="32"/>
        </w:rPr>
        <w:t>缩小</w:t>
      </w:r>
      <w:r>
        <w:rPr>
          <w:rFonts w:hint="eastAsia" w:ascii="仿宋_GB2312"/>
          <w:color w:val="auto"/>
          <w:sz w:val="32"/>
          <w:szCs w:val="32"/>
          <w:lang w:val="en-US" w:eastAsia="zh-CN"/>
        </w:rPr>
        <w:t>了</w:t>
      </w:r>
      <w:r>
        <w:rPr>
          <w:rFonts w:hint="eastAsia" w:ascii="仿宋_GB2312"/>
          <w:color w:val="auto"/>
          <w:sz w:val="32"/>
          <w:szCs w:val="32"/>
        </w:rPr>
        <w:t>城乡教育差距问题，实现了学校的教学环境</w:t>
      </w:r>
      <w:r>
        <w:rPr>
          <w:rFonts w:hint="eastAsia" w:ascii="仿宋_GB2312"/>
          <w:color w:val="auto"/>
          <w:sz w:val="32"/>
          <w:szCs w:val="32"/>
          <w:lang w:val="en-US" w:eastAsia="zh-CN"/>
        </w:rPr>
        <w:t>得到</w:t>
      </w:r>
      <w:r>
        <w:rPr>
          <w:rFonts w:hint="eastAsia" w:ascii="仿宋_GB2312"/>
          <w:color w:val="auto"/>
          <w:sz w:val="32"/>
          <w:szCs w:val="32"/>
        </w:rPr>
        <w:t>改善，提高</w:t>
      </w:r>
      <w:r>
        <w:rPr>
          <w:rFonts w:hint="eastAsia" w:ascii="仿宋_GB2312"/>
          <w:color w:val="auto"/>
          <w:sz w:val="32"/>
          <w:szCs w:val="32"/>
          <w:lang w:val="en-US" w:eastAsia="zh-CN"/>
        </w:rPr>
        <w:t>了</w:t>
      </w:r>
      <w:r>
        <w:rPr>
          <w:rFonts w:hint="eastAsia" w:ascii="仿宋_GB2312"/>
          <w:color w:val="auto"/>
          <w:sz w:val="32"/>
          <w:szCs w:val="32"/>
        </w:rPr>
        <w:t>教育教学质量，促进教育公平</w:t>
      </w:r>
      <w:r>
        <w:rPr>
          <w:rFonts w:hint="eastAsia" w:ascii="仿宋_GB2312"/>
          <w:color w:val="auto"/>
          <w:sz w:val="32"/>
          <w:szCs w:val="32"/>
          <w:lang w:eastAsia="zh-CN"/>
        </w:rPr>
        <w:t>，</w:t>
      </w:r>
      <w:r>
        <w:rPr>
          <w:rFonts w:hint="eastAsia" w:ascii="仿宋_GB2312"/>
          <w:color w:val="auto"/>
          <w:sz w:val="32"/>
          <w:szCs w:val="32"/>
        </w:rPr>
        <w:t>促进教育资源的均衡配置，推动教育事业的均衡发展</w:t>
      </w:r>
      <w:r>
        <w:rPr>
          <w:rFonts w:hint="eastAsia" w:ascii="仿宋_GB2312"/>
          <w:color w:val="auto"/>
          <w:sz w:val="32"/>
          <w:szCs w:val="32"/>
          <w:lang w:val="en-US" w:eastAsia="zh-CN"/>
        </w:rPr>
        <w:t>的</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14:paraId="3D7191F7">
      <w:pPr>
        <w:pStyle w:val="23"/>
        <w:pageBreakBefore w:val="0"/>
        <w:widowControl w:val="0"/>
        <w:kinsoku/>
        <w:wordWrap/>
        <w:topLinePunct w:val="0"/>
        <w:autoSpaceDE/>
        <w:autoSpaceDN/>
        <w:bidi w:val="0"/>
        <w:spacing w:before="0" w:after="0" w:line="520" w:lineRule="exact"/>
        <w:ind w:left="560"/>
        <w:textAlignment w:val="auto"/>
        <w:rPr>
          <w:rFonts w:hint="eastAsia" w:ascii="楷体_GB2312" w:hAnsi="楷体_GB2312" w:eastAsia="楷体_GB2312" w:cs="楷体_GB2312"/>
          <w:color w:val="auto"/>
          <w:sz w:val="32"/>
        </w:rPr>
      </w:pPr>
      <w:r>
        <w:rPr>
          <w:rFonts w:hint="eastAsia" w:ascii="楷体_GB2312" w:hAnsi="楷体_GB2312" w:eastAsia="楷体_GB2312" w:cs="楷体_GB2312"/>
          <w:color w:val="auto"/>
          <w:sz w:val="32"/>
        </w:rPr>
        <w:t>（二）综合评价结论</w:t>
      </w:r>
    </w:p>
    <w:p w14:paraId="25748508">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对2023年城乡义务教育补助经费教育项目资金（公用经费）项目的绩效目标和各项具体绩效指标实现情况进行了客观评价，最终评分为</w:t>
      </w:r>
      <w:r>
        <w:rPr>
          <w:rFonts w:hint="eastAsia" w:ascii="仿宋_GB2312"/>
          <w:color w:val="auto"/>
          <w:sz w:val="32"/>
          <w:szCs w:val="32"/>
          <w:lang w:val="en-US" w:eastAsia="zh-CN"/>
        </w:rPr>
        <w:t>100.00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14:paraId="371FC29F">
      <w:pPr>
        <w:pStyle w:val="3"/>
        <w:pageBreakBefore w:val="0"/>
        <w:widowControl w:val="0"/>
        <w:kinsoku/>
        <w:wordWrap/>
        <w:topLinePunct w:val="0"/>
        <w:autoSpaceDE/>
        <w:autoSpaceDN/>
        <w:bidi w:val="0"/>
        <w:spacing w:line="520" w:lineRule="exact"/>
        <w:ind w:firstLine="640"/>
        <w:textAlignment w:val="auto"/>
        <w:rPr>
          <w:rFonts w:hint="eastAsia" w:ascii="黑体" w:hAnsi="黑体" w:eastAsia="黑体" w:cs="黑体"/>
          <w:color w:val="auto"/>
          <w:szCs w:val="32"/>
        </w:rPr>
      </w:pPr>
      <w:r>
        <w:rPr>
          <w:rFonts w:hint="eastAsia" w:ascii="黑体" w:hAnsi="黑体" w:eastAsia="黑体" w:cs="黑体"/>
          <w:b/>
          <w:bCs/>
          <w:color w:val="auto"/>
          <w:szCs w:val="32"/>
        </w:rPr>
        <w:t>四、绩效评价指标分析</w:t>
      </w:r>
    </w:p>
    <w:p w14:paraId="5AA4CED3">
      <w:pPr>
        <w:pStyle w:val="4"/>
        <w:pageBreakBefore w:val="0"/>
        <w:widowControl w:val="0"/>
        <w:kinsoku/>
        <w:wordWrap/>
        <w:topLinePunct w:val="0"/>
        <w:autoSpaceDE/>
        <w:autoSpaceDN/>
        <w:bidi w:val="0"/>
        <w:spacing w:line="520" w:lineRule="exact"/>
        <w:ind w:firstLine="643"/>
        <w:textAlignment w:val="auto"/>
        <w:rPr>
          <w:rFonts w:hint="eastAsia" w:ascii="楷体_GB2312" w:hAnsi="楷体_GB2312" w:eastAsia="楷体_GB2312" w:cs="楷体_GB2312"/>
          <w:color w:val="auto"/>
          <w:szCs w:val="32"/>
        </w:rPr>
      </w:pPr>
      <w:r>
        <w:rPr>
          <w:rFonts w:hint="eastAsia" w:ascii="楷体_GB2312" w:hAnsi="楷体_GB2312" w:eastAsia="楷体_GB2312" w:cs="楷体_GB2312"/>
          <w:color w:val="auto"/>
          <w:szCs w:val="32"/>
        </w:rPr>
        <w:t>（一）项目决策情况</w:t>
      </w:r>
    </w:p>
    <w:p w14:paraId="0E08303F">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4374EDD5">
      <w:pPr>
        <w:pStyle w:val="24"/>
        <w:pageBreakBefore w:val="0"/>
        <w:widowControl w:val="0"/>
        <w:kinsoku/>
        <w:wordWrap/>
        <w:topLinePunct w:val="0"/>
        <w:autoSpaceDE/>
        <w:autoSpaceDN/>
        <w:bidi w:val="0"/>
        <w:spacing w:line="520" w:lineRule="exact"/>
        <w:ind w:firstLine="736"/>
        <w:textAlignment w:val="auto"/>
        <w:rPr>
          <w:rFonts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沙湾市教育和科学技术局</w:t>
      </w:r>
      <w:r>
        <w:rPr>
          <w:rFonts w:hint="eastAsia" w:cs="仿宋_GB2312"/>
          <w:color w:val="auto"/>
          <w:lang w:eastAsia="zh-Hans"/>
        </w:rPr>
        <w:t>单位提出申报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01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ascii="仿宋_GB2312" w:hAnsi="仿宋_GB2312" w:cs="仿宋_GB2312"/>
          <w:color w:val="auto"/>
          <w:sz w:val="32"/>
          <w:szCs w:val="32"/>
          <w:lang w:val="en-US" w:eastAsia="zh-CN"/>
        </w:rPr>
        <w:t>《关于提前下达2023年城乡义务教育补助经费预算（中央直达资金）的通知（沙财教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65F9EFBB">
      <w:pPr>
        <w:pStyle w:val="24"/>
        <w:pageBreakBefore w:val="0"/>
        <w:widowControl w:val="0"/>
        <w:kinsoku/>
        <w:wordWrap/>
        <w:topLinePunct w:val="0"/>
        <w:autoSpaceDE/>
        <w:autoSpaceDN/>
        <w:bidi w:val="0"/>
        <w:spacing w:line="520" w:lineRule="exact"/>
        <w:ind w:firstLine="736"/>
        <w:textAlignment w:val="auto"/>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09D48DC8">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14:paraId="6B4887A9">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14:paraId="21B8C9E7">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19F14ED3">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0993E27D">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color w:val="auto"/>
          <w:szCs w:val="32"/>
        </w:rPr>
      </w:pPr>
      <w:r>
        <w:rPr>
          <w:rFonts w:hint="eastAsia" w:ascii="楷体_GB2312" w:eastAsia="楷体_GB2312"/>
          <w:color w:val="auto"/>
          <w:szCs w:val="32"/>
        </w:rPr>
        <w:t>（二）项目过程情况</w:t>
      </w:r>
    </w:p>
    <w:p w14:paraId="7F2C8BE7">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445AD285">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14:paraId="6407EB85">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val="0"/>
          <w:bCs w:val="0"/>
          <w:color w:val="auto"/>
          <w:sz w:val="32"/>
          <w:szCs w:val="32"/>
          <w:lang w:eastAsia="zh-Hans"/>
        </w:rPr>
        <w:t>本项目</w:t>
      </w:r>
      <w:r>
        <w:rPr>
          <w:rFonts w:hint="eastAsia" w:ascii="仿宋_GB2312" w:cs="仿宋_GB2312"/>
          <w:b w:val="0"/>
          <w:bCs w:val="0"/>
          <w:color w:val="auto"/>
          <w:sz w:val="32"/>
          <w:szCs w:val="32"/>
        </w:rPr>
        <w:t>预</w:t>
      </w:r>
      <w:r>
        <w:rPr>
          <w:rFonts w:hint="eastAsia" w:ascii="仿宋_GB2312" w:cs="仿宋_GB2312"/>
          <w:color w:val="auto"/>
          <w:sz w:val="32"/>
          <w:szCs w:val="32"/>
        </w:rPr>
        <w:t>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175.03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175.03</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04D5854B">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财务管理制度</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4B1EC1D7">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22149795">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5F9A4481">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14:paraId="25EDCF0E">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7</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7CB0B6E0">
      <w:pPr>
        <w:pageBreakBefore w:val="0"/>
        <w:widowControl w:val="0"/>
        <w:kinsoku/>
        <w:wordWrap/>
        <w:topLinePunct w:val="0"/>
        <w:autoSpaceDE/>
        <w:autoSpaceDN/>
        <w:bidi w:val="0"/>
        <w:spacing w:line="520" w:lineRule="exact"/>
        <w:ind w:firstLineChars="0"/>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14:paraId="0210175B">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“补助学生人数”指标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1693人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在学籍学生花名册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完成补助学生人数</w:t>
      </w:r>
      <w:r>
        <w:rPr>
          <w:rFonts w:hint="eastAsia" w:ascii="仿宋_GB2312" w:hAnsi="仿宋_GB2312" w:cs="仿宋_GB2312"/>
          <w:color w:val="auto"/>
          <w:sz w:val="32"/>
          <w:szCs w:val="32"/>
          <w:lang w:val="en-US" w:eastAsia="zh-CN"/>
        </w:rPr>
        <w:t>1693人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10FA9DEE">
      <w:pPr>
        <w:pageBreakBefore w:val="0"/>
        <w:widowControl w:val="0"/>
        <w:kinsoku/>
        <w:wordWrap/>
        <w:topLinePunct w:val="0"/>
        <w:autoSpaceDE/>
        <w:autoSpaceDN/>
        <w:bidi w:val="0"/>
        <w:spacing w:line="520" w:lineRule="exact"/>
        <w:ind w:firstLine="640"/>
        <w:textAlignment w:val="auto"/>
        <w:rPr>
          <w:color w:val="auto"/>
        </w:rPr>
      </w:pPr>
      <w:r>
        <w:rPr>
          <w:rFonts w:hint="eastAsia" w:ascii="仿宋_GB2312" w:hAnsi="仿宋_GB2312" w:cs="仿宋_GB2312"/>
          <w:color w:val="auto"/>
          <w:sz w:val="32"/>
          <w:szCs w:val="32"/>
          <w:lang w:eastAsia="zh-Hans"/>
        </w:rPr>
        <w:t>“随班就读”</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eastAsia="zh-Hans"/>
        </w:rPr>
        <w:t>学生补助人数”指标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在学籍学生花名册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完成“随班就读”学生补助人数</w:t>
      </w:r>
      <w:r>
        <w:rPr>
          <w:rFonts w:hint="eastAsia" w:ascii="仿宋_GB2312" w:hAnsi="仿宋_GB2312" w:cs="仿宋_GB2312"/>
          <w:color w:val="auto"/>
          <w:sz w:val="32"/>
          <w:szCs w:val="32"/>
          <w:lang w:val="en-US" w:eastAsia="zh-CN"/>
        </w:rPr>
        <w:t>13人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5752A89A">
      <w:pPr>
        <w:pageBreakBefore w:val="0"/>
        <w:widowControl w:val="0"/>
        <w:kinsoku/>
        <w:wordWrap/>
        <w:topLinePunct w:val="0"/>
        <w:autoSpaceDE/>
        <w:autoSpaceDN/>
        <w:bidi w:val="0"/>
        <w:spacing w:line="520" w:lineRule="exact"/>
        <w:ind w:firstLine="643"/>
        <w:textAlignment w:val="auto"/>
        <w:rPr>
          <w:rFonts w:ascii="仿宋_GB2312"/>
          <w:b/>
          <w:bCs/>
          <w:color w:val="auto"/>
          <w:sz w:val="32"/>
        </w:rPr>
      </w:pPr>
      <w:r>
        <w:rPr>
          <w:rFonts w:hint="eastAsia" w:ascii="仿宋_GB2312"/>
          <w:b/>
          <w:bCs/>
          <w:color w:val="auto"/>
          <w:sz w:val="32"/>
        </w:rPr>
        <w:t>2.产出质量</w:t>
      </w:r>
    </w:p>
    <w:p w14:paraId="788BB9B5">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资金支付规范率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资金拨付情况及银行支付回单</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拨付资金全部用于保障学校正常教育教学工作</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资金支付规范率</w:t>
      </w:r>
      <w:r>
        <w:rPr>
          <w:rFonts w:hint="eastAsia" w:ascii="仿宋_GB2312" w:hAnsi="仿宋_GB2312" w:cs="仿宋_GB2312"/>
          <w:color w:val="auto"/>
          <w:sz w:val="32"/>
          <w:szCs w:val="32"/>
          <w:lang w:eastAsia="zh-Hans"/>
        </w:rPr>
        <w:t>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14:paraId="01F63EC8">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资金补助覆盖率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在学籍学生花名册</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资金补助覆盖率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14:paraId="7459D22F">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ascii="仿宋_GB2312" w:cs="仿宋_GB2312"/>
          <w:bCs/>
          <w:color w:val="auto"/>
          <w:sz w:val="32"/>
          <w:szCs w:val="32"/>
        </w:rPr>
      </w:pPr>
      <w:r>
        <w:rPr>
          <w:rFonts w:hint="eastAsia" w:ascii="仿宋_GB2312" w:cs="仿宋_GB2312"/>
          <w:bCs/>
          <w:color w:val="auto"/>
          <w:sz w:val="32"/>
          <w:szCs w:val="32"/>
        </w:rPr>
        <w:t>3.产出时效</w:t>
      </w:r>
    </w:p>
    <w:p w14:paraId="17E3C4BC">
      <w:pPr>
        <w:pStyle w:val="6"/>
        <w:pageBreakBefore w:val="0"/>
        <w:widowControl w:val="0"/>
        <w:kinsoku/>
        <w:wordWrap/>
        <w:topLinePunct w:val="0"/>
        <w:autoSpaceDE/>
        <w:autoSpaceDN/>
        <w:bidi w:val="0"/>
        <w:spacing w:before="0" w:after="0" w:line="520" w:lineRule="exact"/>
        <w:jc w:val="both"/>
        <w:textAlignment w:val="auto"/>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项目完成时限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2023年12月25日前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w:t>
      </w:r>
      <w:r>
        <w:rPr>
          <w:rFonts w:hint="eastAsia" w:ascii="仿宋_GB2312" w:cs="仿宋_GB2312"/>
          <w:b w:val="0"/>
          <w:color w:val="auto"/>
          <w:sz w:val="32"/>
          <w:szCs w:val="32"/>
          <w:lang w:val="en-US" w:eastAsia="zh-CN"/>
        </w:rPr>
        <w:t>23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w:t>
      </w:r>
      <w:r>
        <w:rPr>
          <w:rFonts w:hint="eastAsia" w:ascii="仿宋_GB2312" w:cs="仿宋_GB2312"/>
          <w:b w:val="0"/>
          <w:color w:val="auto"/>
          <w:sz w:val="32"/>
          <w:szCs w:val="32"/>
          <w:lang w:val="en-US" w:eastAsia="zh-CN"/>
        </w:rPr>
        <w:t>20日前</w:t>
      </w:r>
      <w:r>
        <w:rPr>
          <w:rFonts w:hint="eastAsia" w:ascii="仿宋_GB2312" w:cs="仿宋_GB2312"/>
          <w:b w:val="0"/>
          <w:color w:val="auto"/>
          <w:sz w:val="32"/>
          <w:szCs w:val="32"/>
        </w:rPr>
        <w:t>完成</w:t>
      </w:r>
      <w:r>
        <w:rPr>
          <w:rFonts w:hint="eastAsia" w:ascii="仿宋_GB2312" w:cs="仿宋_GB2312"/>
          <w:b w:val="0"/>
          <w:color w:val="auto"/>
          <w:sz w:val="32"/>
          <w:szCs w:val="32"/>
          <w:lang w:val="en-US" w:eastAsia="zh-CN"/>
        </w:rPr>
        <w:t>采购验收</w:t>
      </w:r>
      <w:r>
        <w:rPr>
          <w:rFonts w:hint="eastAsia" w:ascii="仿宋_GB2312" w:cs="仿宋_GB2312"/>
          <w:b w:val="0"/>
          <w:color w:val="auto"/>
          <w:sz w:val="32"/>
          <w:szCs w:val="32"/>
        </w:rPr>
        <w:t>，按合同约定，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b w:val="0"/>
          <w:bCs/>
          <w:color w:val="auto"/>
          <w:sz w:val="32"/>
          <w:szCs w:val="32"/>
          <w:lang w:val="en-US" w:eastAsia="zh-CN"/>
        </w:rPr>
        <w:t>10</w:t>
      </w:r>
      <w:r>
        <w:rPr>
          <w:rFonts w:hint="eastAsia" w:ascii="仿宋_GB2312" w:cs="仿宋_GB2312"/>
          <w:b w:val="0"/>
          <w:color w:val="auto"/>
          <w:sz w:val="32"/>
          <w:szCs w:val="32"/>
        </w:rPr>
        <w:t>分，得</w:t>
      </w:r>
      <w:r>
        <w:rPr>
          <w:rFonts w:hint="eastAsia" w:ascii="仿宋_GB2312"/>
          <w:b w:val="0"/>
          <w:bCs/>
          <w:color w:val="auto"/>
          <w:sz w:val="32"/>
          <w:szCs w:val="32"/>
          <w:lang w:val="en-US" w:eastAsia="zh-CN"/>
        </w:rPr>
        <w:t>10</w:t>
      </w:r>
      <w:r>
        <w:rPr>
          <w:rFonts w:hint="eastAsia" w:ascii="仿宋_GB2312" w:cs="仿宋_GB2312"/>
          <w:b w:val="0"/>
          <w:color w:val="auto"/>
          <w:sz w:val="32"/>
          <w:szCs w:val="32"/>
        </w:rPr>
        <w:t>分。</w:t>
      </w:r>
    </w:p>
    <w:p w14:paraId="4F68270C">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hint="eastAsia" w:ascii="仿宋_GB2312" w:cs="仿宋_GB2312"/>
          <w:color w:val="auto"/>
          <w:sz w:val="32"/>
          <w:szCs w:val="32"/>
          <w:lang w:val="en-US" w:eastAsia="zh-CN"/>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14:paraId="4F4F7D24">
      <w:pPr>
        <w:pageBreakBefore w:val="0"/>
        <w:widowControl w:val="0"/>
        <w:kinsoku/>
        <w:wordWrap/>
        <w:topLinePunct w:val="0"/>
        <w:autoSpaceDE/>
        <w:autoSpaceDN/>
        <w:bidi w:val="0"/>
        <w:spacing w:line="520" w:lineRule="exact"/>
        <w:ind w:firstLine="640"/>
        <w:textAlignment w:val="auto"/>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生均经费补助标准</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=940元/生/年</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上级拨付资金文件</w:t>
      </w:r>
      <w:r>
        <w:rPr>
          <w:rFonts w:hint="eastAsia" w:ascii="仿宋_GB2312" w:cs="仿宋_GB2312"/>
          <w:color w:val="auto"/>
          <w:sz w:val="32"/>
          <w:szCs w:val="32"/>
          <w:lang w:eastAsia="zh-Hans"/>
        </w:rPr>
        <w:t>显示，本项</w:t>
      </w:r>
      <w:r>
        <w:rPr>
          <w:rFonts w:hint="eastAsia" w:ascii="仿宋_GB2312" w:cs="仿宋_GB2312"/>
          <w:color w:val="auto"/>
          <w:sz w:val="32"/>
          <w:szCs w:val="32"/>
        </w:rPr>
        <w:t>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年共计支付2023年城乡义务教育补助经费教育项目资金（公用经费）</w:t>
      </w:r>
      <w:r>
        <w:rPr>
          <w:rFonts w:hint="eastAsia" w:ascii="仿宋_GB2312" w:cs="仿宋_GB2312"/>
          <w:color w:val="auto"/>
          <w:sz w:val="32"/>
          <w:szCs w:val="32"/>
          <w:lang w:val="en-US" w:eastAsia="zh-CN"/>
        </w:rPr>
        <w:t>175.03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rPr>
        <w:t>分，得</w:t>
      </w:r>
      <w:r>
        <w:rPr>
          <w:rFonts w:hint="eastAsia" w:ascii="仿宋_GB2312" w:cs="仿宋_GB2312"/>
          <w:color w:val="auto"/>
          <w:sz w:val="32"/>
          <w:szCs w:val="32"/>
          <w:lang w:val="en-US" w:eastAsia="zh-CN"/>
        </w:rPr>
        <w:t>5</w:t>
      </w:r>
      <w:r>
        <w:rPr>
          <w:rFonts w:hint="eastAsia" w:ascii="仿宋_GB2312" w:cs="仿宋_GB2312"/>
          <w:color w:val="auto"/>
          <w:sz w:val="32"/>
          <w:szCs w:val="32"/>
        </w:rPr>
        <w:t>分。</w:t>
      </w:r>
    </w:p>
    <w:p w14:paraId="4F82C2AE">
      <w:pPr>
        <w:pageBreakBefore w:val="0"/>
        <w:widowControl w:val="0"/>
        <w:kinsoku/>
        <w:wordWrap/>
        <w:topLinePunct w:val="0"/>
        <w:autoSpaceDE/>
        <w:autoSpaceDN/>
        <w:bidi w:val="0"/>
        <w:spacing w:line="520" w:lineRule="exact"/>
        <w:ind w:firstLine="640"/>
        <w:textAlignment w:val="auto"/>
        <w:rPr>
          <w:rFonts w:hint="eastAsia" w:ascii="仿宋_GB2312" w:cs="仿宋_GB2312"/>
          <w:color w:val="auto"/>
          <w:sz w:val="32"/>
          <w:szCs w:val="32"/>
          <w:lang w:val="en-US" w:eastAsia="zh-CN"/>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rPr>
        <w:t>“随班就读”</w:t>
      </w:r>
      <w:r>
        <w:rPr>
          <w:rFonts w:hint="eastAsia" w:ascii="仿宋_GB2312" w:cs="仿宋_GB2312"/>
          <w:color w:val="auto"/>
          <w:sz w:val="32"/>
          <w:szCs w:val="32"/>
          <w:lang w:eastAsia="zh-CN"/>
        </w:rPr>
        <w:t>“</w:t>
      </w:r>
      <w:r>
        <w:rPr>
          <w:rFonts w:hint="eastAsia" w:ascii="仿宋_GB2312" w:cs="仿宋_GB2312"/>
          <w:color w:val="auto"/>
          <w:sz w:val="32"/>
          <w:szCs w:val="32"/>
        </w:rPr>
        <w:t>学生补助标准</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=6000元/生/年</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上级拨付资金文件</w:t>
      </w:r>
      <w:r>
        <w:rPr>
          <w:rFonts w:hint="eastAsia" w:ascii="仿宋_GB2312" w:cs="仿宋_GB2312"/>
          <w:color w:val="auto"/>
          <w:sz w:val="32"/>
          <w:szCs w:val="32"/>
          <w:lang w:eastAsia="zh-Hans"/>
        </w:rPr>
        <w:t>显示，本项</w:t>
      </w:r>
      <w:r>
        <w:rPr>
          <w:rFonts w:hint="eastAsia" w:ascii="仿宋_GB2312" w:cs="仿宋_GB2312"/>
          <w:color w:val="auto"/>
          <w:sz w:val="32"/>
          <w:szCs w:val="32"/>
        </w:rPr>
        <w:t>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年共计支付2023年城乡义务教育补助经费教育项目资金（公用经费）</w:t>
      </w:r>
      <w:r>
        <w:rPr>
          <w:rFonts w:hint="eastAsia" w:ascii="仿宋_GB2312" w:cs="仿宋_GB2312"/>
          <w:color w:val="auto"/>
          <w:sz w:val="32"/>
          <w:szCs w:val="32"/>
          <w:lang w:val="en-US" w:eastAsia="zh-CN"/>
        </w:rPr>
        <w:t>175.03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rPr>
        <w:t>分，得</w:t>
      </w:r>
      <w:r>
        <w:rPr>
          <w:rFonts w:hint="eastAsia" w:ascii="仿宋_GB2312" w:cs="仿宋_GB2312"/>
          <w:color w:val="auto"/>
          <w:sz w:val="32"/>
          <w:szCs w:val="32"/>
          <w:lang w:val="en-US" w:eastAsia="zh-CN"/>
        </w:rPr>
        <w:t>5</w:t>
      </w:r>
      <w:r>
        <w:rPr>
          <w:rFonts w:hint="eastAsia" w:ascii="仿宋_GB2312" w:cs="仿宋_GB2312"/>
          <w:color w:val="auto"/>
          <w:sz w:val="32"/>
          <w:szCs w:val="32"/>
        </w:rPr>
        <w:t>分。</w:t>
      </w:r>
    </w:p>
    <w:p w14:paraId="44D9023B">
      <w:pPr>
        <w:pStyle w:val="4"/>
        <w:pageBreakBefore w:val="0"/>
        <w:widowControl w:val="0"/>
        <w:kinsoku/>
        <w:wordWrap/>
        <w:topLinePunct w:val="0"/>
        <w:autoSpaceDE/>
        <w:autoSpaceDN/>
        <w:bidi w:val="0"/>
        <w:spacing w:line="520" w:lineRule="exact"/>
        <w:ind w:left="560" w:leftChars="200" w:firstLine="0" w:firstLineChars="0"/>
        <w:textAlignment w:val="auto"/>
        <w:rPr>
          <w:rFonts w:hint="eastAsia" w:ascii="楷体_GB2312" w:hAnsi="楷体_GB2312" w:eastAsia="楷体_GB2312" w:cs="楷体_GB2312"/>
          <w:color w:val="auto"/>
          <w:szCs w:val="32"/>
        </w:rPr>
      </w:pPr>
      <w:r>
        <w:rPr>
          <w:rFonts w:hint="eastAsia" w:ascii="楷体_GB2312" w:hAnsi="楷体_GB2312" w:eastAsia="楷体_GB2312" w:cs="楷体_GB2312"/>
          <w:color w:val="auto"/>
          <w:szCs w:val="32"/>
        </w:rPr>
        <w:t>（</w:t>
      </w:r>
      <w:r>
        <w:rPr>
          <w:rFonts w:hint="eastAsia" w:ascii="楷体_GB2312" w:hAnsi="楷体_GB2312" w:eastAsia="楷体_GB2312" w:cs="楷体_GB2312"/>
          <w:color w:val="auto"/>
          <w:szCs w:val="32"/>
          <w:lang w:val="en-US" w:eastAsia="zh-CN"/>
        </w:rPr>
        <w:t>四</w:t>
      </w:r>
      <w:r>
        <w:rPr>
          <w:rFonts w:hint="eastAsia" w:ascii="楷体_GB2312" w:hAnsi="楷体_GB2312" w:eastAsia="楷体_GB2312" w:cs="楷体_GB2312"/>
          <w:color w:val="auto"/>
          <w:szCs w:val="32"/>
        </w:rPr>
        <w:t>）项目效益情况</w:t>
      </w:r>
    </w:p>
    <w:p w14:paraId="101014B9">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5C368853">
      <w:pPr>
        <w:pageBreakBefore w:val="0"/>
        <w:widowControl w:val="0"/>
        <w:kinsoku/>
        <w:wordWrap/>
        <w:topLinePunct w:val="0"/>
        <w:autoSpaceDE/>
        <w:autoSpaceDN/>
        <w:bidi w:val="0"/>
        <w:spacing w:line="520" w:lineRule="exact"/>
        <w:ind w:firstLine="643"/>
        <w:textAlignment w:val="auto"/>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14:paraId="149A40BA">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rPr>
        <w:t>保障学校正常运转</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保障</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val="en-US"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14:paraId="43618C37">
      <w:pPr>
        <w:pStyle w:val="2"/>
        <w:pageBreakBefore w:val="0"/>
        <w:widowControl w:val="0"/>
        <w:kinsoku/>
        <w:wordWrap/>
        <w:topLinePunct w:val="0"/>
        <w:autoSpaceDE/>
        <w:autoSpaceDN/>
        <w:bidi w:val="0"/>
        <w:spacing w:line="520" w:lineRule="exact"/>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提高学生生活水平</w:t>
      </w:r>
      <w:r>
        <w:rPr>
          <w:rFonts w:hint="eastAsia" w:ascii="仿宋_GB2312" w:hAnsi="Times New Roman" w:eastAsia="仿宋_GB2312" w:cs="Times New Roman"/>
          <w:b w:val="0"/>
          <w:bCs w:val="0"/>
          <w:color w:val="auto"/>
          <w:kern w:val="2"/>
          <w:sz w:val="32"/>
          <w:szCs w:val="32"/>
          <w:lang w:val="en-US" w:eastAsia="zh-Hans" w:bidi="ar-SA"/>
        </w:rPr>
        <w:t>”指标，预期指标值为“有效</w:t>
      </w:r>
      <w:r>
        <w:rPr>
          <w:rFonts w:hint="eastAsia" w:hAnsi="Times New Roman" w:cs="Times New Roman"/>
          <w:b w:val="0"/>
          <w:bCs w:val="0"/>
          <w:color w:val="auto"/>
          <w:kern w:val="2"/>
          <w:sz w:val="32"/>
          <w:szCs w:val="32"/>
          <w:lang w:val="en-US" w:eastAsia="zh-CN" w:bidi="ar-SA"/>
        </w:rPr>
        <w:t>提升</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根据</w:t>
      </w:r>
      <w:r>
        <w:rPr>
          <w:rFonts w:hint="eastAsia" w:hAnsi="Times New Roman" w:cs="Times New Roman"/>
          <w:b w:val="0"/>
          <w:bCs w:val="0"/>
          <w:color w:val="auto"/>
          <w:kern w:val="2"/>
          <w:sz w:val="32"/>
          <w:szCs w:val="32"/>
          <w:lang w:val="en-US" w:eastAsia="zh-CN" w:bidi="ar-SA"/>
        </w:rPr>
        <w:t>上级对我单位食堂</w:t>
      </w:r>
      <w:r>
        <w:rPr>
          <w:rFonts w:hint="eastAsia" w:ascii="仿宋_GB2312" w:hAnsi="Times New Roman" w:eastAsia="仿宋_GB2312" w:cs="Times New Roman"/>
          <w:b w:val="0"/>
          <w:bCs w:val="0"/>
          <w:color w:val="auto"/>
          <w:kern w:val="2"/>
          <w:sz w:val="32"/>
          <w:szCs w:val="32"/>
          <w:lang w:val="en-US" w:eastAsia="zh-Hans" w:bidi="ar-SA"/>
        </w:rPr>
        <w:t>考核情况</w:t>
      </w:r>
      <w:r>
        <w:rPr>
          <w:rFonts w:hint="eastAsia" w:ascii="仿宋_GB2312" w:hAnsi="Times New Roman" w:eastAsia="仿宋_GB2312" w:cs="Times New Roman"/>
          <w:b w:val="0"/>
          <w:bCs w:val="0"/>
          <w:color w:val="auto"/>
          <w:kern w:val="2"/>
          <w:sz w:val="32"/>
          <w:szCs w:val="32"/>
          <w:lang w:val="en-US" w:eastAsia="zh-CN" w:bidi="ar-SA"/>
        </w:rPr>
        <w:t>，实际完成值为</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达成年度指标</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，根据评分标准，该指标</w:t>
      </w:r>
      <w:r>
        <w:rPr>
          <w:rFonts w:hint="eastAsia" w:hAnsi="Times New Roman" w:cs="Times New Roman"/>
          <w:b w:val="0"/>
          <w:bCs w:val="0"/>
          <w:color w:val="auto"/>
          <w:kern w:val="2"/>
          <w:sz w:val="32"/>
          <w:szCs w:val="32"/>
          <w:lang w:val="en-US" w:eastAsia="zh-CN" w:bidi="ar-SA"/>
        </w:rPr>
        <w:t>10</w:t>
      </w:r>
      <w:r>
        <w:rPr>
          <w:rFonts w:hint="eastAsia" w:ascii="仿宋_GB2312" w:hAnsi="Times New Roman" w:eastAsia="仿宋_GB2312" w:cs="Times New Roman"/>
          <w:b w:val="0"/>
          <w:bCs w:val="0"/>
          <w:color w:val="auto"/>
          <w:kern w:val="2"/>
          <w:sz w:val="32"/>
          <w:szCs w:val="32"/>
          <w:lang w:val="en-US" w:eastAsia="zh-CN" w:bidi="ar-SA"/>
        </w:rPr>
        <w:t>分，得</w:t>
      </w:r>
      <w:r>
        <w:rPr>
          <w:rFonts w:hint="eastAsia" w:hAnsi="Times New Roman" w:cs="Times New Roman"/>
          <w:b w:val="0"/>
          <w:bCs w:val="0"/>
          <w:color w:val="auto"/>
          <w:kern w:val="2"/>
          <w:sz w:val="32"/>
          <w:szCs w:val="32"/>
          <w:lang w:val="en-US" w:eastAsia="zh-CN" w:bidi="ar-SA"/>
        </w:rPr>
        <w:t>10</w:t>
      </w:r>
      <w:r>
        <w:rPr>
          <w:rFonts w:hint="eastAsia" w:ascii="仿宋_GB2312" w:hAnsi="Times New Roman" w:eastAsia="仿宋_GB2312" w:cs="Times New Roman"/>
          <w:b w:val="0"/>
          <w:bCs w:val="0"/>
          <w:color w:val="auto"/>
          <w:kern w:val="2"/>
          <w:sz w:val="32"/>
          <w:szCs w:val="32"/>
          <w:lang w:val="en-US" w:eastAsia="zh-CN" w:bidi="ar-SA"/>
        </w:rPr>
        <w:t>分。</w:t>
      </w:r>
    </w:p>
    <w:p w14:paraId="4C23179C">
      <w:pPr>
        <w:pageBreakBefore w:val="0"/>
        <w:widowControl w:val="0"/>
        <w:kinsoku/>
        <w:wordWrap/>
        <w:topLinePunct w:val="0"/>
        <w:autoSpaceDE/>
        <w:autoSpaceDN/>
        <w:bidi w:val="0"/>
        <w:spacing w:line="520" w:lineRule="exact"/>
        <w:ind w:firstLine="640"/>
        <w:textAlignment w:val="auto"/>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14:paraId="0D19E42C">
      <w:pPr>
        <w:pageBreakBefore w:val="0"/>
        <w:widowControl w:val="0"/>
        <w:kinsoku/>
        <w:wordWrap/>
        <w:topLinePunct w:val="0"/>
        <w:autoSpaceDE/>
        <w:autoSpaceDN/>
        <w:bidi w:val="0"/>
        <w:spacing w:line="520" w:lineRule="exact"/>
        <w:ind w:firstLine="643"/>
        <w:textAlignment w:val="auto"/>
        <w:rPr>
          <w:rFonts w:hint="eastAsia" w:ascii="仿宋_GB2312"/>
          <w:color w:val="auto"/>
          <w:sz w:val="32"/>
          <w:szCs w:val="32"/>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14:paraId="0A48A846">
      <w:pPr>
        <w:pageBreakBefore w:val="0"/>
        <w:widowControl w:val="0"/>
        <w:kinsoku/>
        <w:wordWrap/>
        <w:topLinePunct w:val="0"/>
        <w:autoSpaceDE/>
        <w:autoSpaceDN/>
        <w:bidi w:val="0"/>
        <w:spacing w:line="520" w:lineRule="exact"/>
        <w:ind w:firstLine="643"/>
        <w:textAlignment w:val="auto"/>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14:paraId="6687DB66">
      <w:pPr>
        <w:pStyle w:val="4"/>
        <w:pageBreakBefore w:val="0"/>
        <w:widowControl w:val="0"/>
        <w:kinsoku/>
        <w:wordWrap/>
        <w:topLinePunct w:val="0"/>
        <w:autoSpaceDE/>
        <w:autoSpaceDN/>
        <w:bidi w:val="0"/>
        <w:spacing w:line="520" w:lineRule="exact"/>
        <w:ind w:left="560" w:leftChars="200" w:firstLine="0" w:firstLineChars="0"/>
        <w:textAlignment w:val="auto"/>
        <w:rPr>
          <w:rFonts w:hint="eastAsia" w:ascii="仿宋_GB2312" w:hAnsi="Times New Roman" w:eastAsia="仿宋_GB2312" w:cs="Times New Roman"/>
          <w:b w:val="0"/>
          <w:color w:val="auto"/>
          <w:kern w:val="2"/>
          <w:sz w:val="32"/>
          <w:szCs w:val="32"/>
          <w:lang w:val="en-US" w:eastAsia="zh-CN" w:bidi="ar-SA"/>
        </w:rPr>
      </w:pPr>
      <w:r>
        <w:rPr>
          <w:rFonts w:hint="eastAsia" w:ascii="仿宋_GB2312" w:hAnsi="Times New Roman" w:eastAsia="仿宋_GB2312" w:cs="Times New Roman"/>
          <w:b w:val="0"/>
          <w:color w:val="auto"/>
          <w:kern w:val="2"/>
          <w:sz w:val="32"/>
          <w:szCs w:val="32"/>
          <w:lang w:val="en-US" w:eastAsia="zh-CN" w:bidi="ar-SA"/>
        </w:rPr>
        <w:t>本项目无</w:t>
      </w:r>
      <w:r>
        <w:rPr>
          <w:rFonts w:hint="eastAsia" w:ascii="仿宋_GB2312" w:hAnsi="Times New Roman" w:eastAsia="仿宋_GB2312" w:cs="Times New Roman"/>
          <w:b w:val="0"/>
          <w:color w:val="auto"/>
          <w:kern w:val="2"/>
          <w:sz w:val="32"/>
          <w:szCs w:val="32"/>
          <w:lang w:val="en-US" w:eastAsia="zh-Hans" w:bidi="ar-SA"/>
        </w:rPr>
        <w:t>该项</w:t>
      </w:r>
      <w:r>
        <w:rPr>
          <w:rFonts w:hint="eastAsia" w:ascii="仿宋_GB2312" w:hAnsi="Times New Roman" w:eastAsia="仿宋_GB2312" w:cs="Times New Roman"/>
          <w:b w:val="0"/>
          <w:color w:val="auto"/>
          <w:kern w:val="2"/>
          <w:sz w:val="32"/>
          <w:szCs w:val="32"/>
          <w:lang w:val="en-US" w:eastAsia="zh-CN" w:bidi="ar-SA"/>
        </w:rPr>
        <w:t>指标</w:t>
      </w:r>
    </w:p>
    <w:p w14:paraId="1C91A920">
      <w:pPr>
        <w:pStyle w:val="4"/>
        <w:pageBreakBefore w:val="0"/>
        <w:widowControl w:val="0"/>
        <w:kinsoku/>
        <w:wordWrap/>
        <w:topLinePunct w:val="0"/>
        <w:autoSpaceDE/>
        <w:autoSpaceDN/>
        <w:bidi w:val="0"/>
        <w:spacing w:line="520" w:lineRule="exact"/>
        <w:ind w:left="560" w:leftChars="200" w:firstLine="0" w:firstLineChars="0"/>
        <w:textAlignment w:val="auto"/>
        <w:rPr>
          <w:rFonts w:hint="eastAsia" w:ascii="楷体_GB2312" w:hAnsi="楷体_GB2312" w:eastAsia="楷体_GB2312" w:cs="楷体_GB2312"/>
          <w:color w:val="auto"/>
          <w:szCs w:val="32"/>
          <w:lang w:val="en-US" w:eastAsia="zh-CN"/>
        </w:rPr>
      </w:pPr>
      <w:r>
        <w:rPr>
          <w:rFonts w:hint="eastAsia" w:ascii="楷体_GB2312" w:hAnsi="楷体_GB2312" w:eastAsia="楷体_GB2312" w:cs="楷体_GB2312"/>
          <w:color w:val="auto"/>
          <w:szCs w:val="32"/>
          <w:lang w:eastAsia="zh-CN"/>
        </w:rPr>
        <w:t>（</w:t>
      </w:r>
      <w:r>
        <w:rPr>
          <w:rFonts w:hint="eastAsia" w:ascii="楷体_GB2312" w:hAnsi="楷体_GB2312" w:eastAsia="楷体_GB2312" w:cs="楷体_GB2312"/>
          <w:color w:val="auto"/>
          <w:szCs w:val="32"/>
          <w:lang w:val="en-US" w:eastAsia="zh-CN"/>
        </w:rPr>
        <w:t>五</w:t>
      </w:r>
      <w:r>
        <w:rPr>
          <w:rFonts w:hint="eastAsia" w:ascii="楷体_GB2312" w:hAnsi="楷体_GB2312" w:eastAsia="楷体_GB2312" w:cs="楷体_GB2312"/>
          <w:color w:val="auto"/>
          <w:szCs w:val="32"/>
          <w:lang w:eastAsia="zh-CN"/>
        </w:rPr>
        <w:t>）</w:t>
      </w:r>
      <w:r>
        <w:rPr>
          <w:rFonts w:hint="eastAsia" w:ascii="楷体_GB2312" w:hAnsi="楷体_GB2312" w:eastAsia="楷体_GB2312" w:cs="楷体_GB2312"/>
          <w:color w:val="auto"/>
          <w:szCs w:val="32"/>
        </w:rPr>
        <w:t>满意度指标</w:t>
      </w:r>
      <w:r>
        <w:rPr>
          <w:rFonts w:hint="eastAsia" w:ascii="楷体_GB2312" w:hAnsi="楷体_GB2312" w:eastAsia="楷体_GB2312" w:cs="楷体_GB2312"/>
          <w:color w:val="auto"/>
          <w:szCs w:val="32"/>
          <w:lang w:val="en-US" w:eastAsia="zh-CN"/>
        </w:rPr>
        <w:t>完成情况分析</w:t>
      </w:r>
    </w:p>
    <w:p w14:paraId="24EE1EE1">
      <w:pPr>
        <w:pStyle w:val="21"/>
        <w:pageBreakBefore w:val="0"/>
        <w:widowControl w:val="0"/>
        <w:kinsoku/>
        <w:wordWrap/>
        <w:topLinePunct w:val="0"/>
        <w:autoSpaceDE/>
        <w:autoSpaceDN/>
        <w:bidi w:val="0"/>
        <w:spacing w:line="520" w:lineRule="exact"/>
        <w:ind w:firstLine="640"/>
        <w:textAlignment w:val="auto"/>
        <w:rPr>
          <w:rFonts w:hint="eastAsia" w:ascii="仿宋_GB2312" w:cs="仿宋_GB2312"/>
          <w:color w:val="auto"/>
          <w:kern w:val="2"/>
          <w:sz w:val="32"/>
          <w:szCs w:val="32"/>
        </w:rPr>
      </w:pPr>
      <w:bookmarkStart w:id="16" w:name="_Toc28290"/>
      <w:bookmarkStart w:id="17" w:name="_Toc1921"/>
      <w:r>
        <w:rPr>
          <w:rFonts w:hint="eastAsia" w:ascii="仿宋_GB2312" w:cs="仿宋_GB2312"/>
          <w:color w:val="auto"/>
          <w:kern w:val="2"/>
          <w:sz w:val="32"/>
          <w:szCs w:val="32"/>
        </w:rPr>
        <w:t>“</w:t>
      </w:r>
      <w:r>
        <w:rPr>
          <w:rFonts w:hint="eastAsia" w:ascii="仿宋_GB2312" w:cs="仿宋_GB2312"/>
          <w:color w:val="auto"/>
          <w:kern w:val="2"/>
          <w:sz w:val="32"/>
          <w:szCs w:val="32"/>
          <w:lang w:eastAsia="zh-Hans"/>
        </w:rPr>
        <w:t>学生的满意度”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在校的学生</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学生满意度达</w:t>
      </w:r>
      <w:r>
        <w:rPr>
          <w:rFonts w:hint="eastAsia" w:ascii="仿宋_GB2312" w:cs="仿宋_GB2312"/>
          <w:color w:val="auto"/>
          <w:kern w:val="2"/>
          <w:sz w:val="32"/>
          <w:szCs w:val="32"/>
          <w:lang w:val="en-US" w:eastAsia="zh-CN"/>
        </w:rPr>
        <w:t>96</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14:paraId="263F7DF7">
      <w:pPr>
        <w:pStyle w:val="3"/>
        <w:pageBreakBefore w:val="0"/>
        <w:widowControl w:val="0"/>
        <w:kinsoku/>
        <w:wordWrap/>
        <w:topLinePunct w:val="0"/>
        <w:autoSpaceDE/>
        <w:autoSpaceDN/>
        <w:bidi w:val="0"/>
        <w:spacing w:line="520" w:lineRule="exact"/>
        <w:ind w:firstLine="640"/>
        <w:textAlignment w:val="auto"/>
        <w:rPr>
          <w:rFonts w:hint="eastAsia" w:ascii="黑体" w:hAnsi="黑体" w:eastAsia="黑体" w:cs="黑体"/>
          <w:b/>
          <w:bCs/>
          <w:color w:val="auto"/>
          <w:szCs w:val="32"/>
        </w:rPr>
      </w:pPr>
      <w:r>
        <w:rPr>
          <w:rFonts w:hint="eastAsia" w:ascii="黑体" w:hAnsi="黑体" w:eastAsia="黑体" w:cs="黑体"/>
          <w:b/>
          <w:bCs/>
          <w:color w:val="auto"/>
          <w:szCs w:val="32"/>
        </w:rPr>
        <w:t>五、预算执行进度与绩效指标偏差情况</w:t>
      </w:r>
    </w:p>
    <w:p w14:paraId="43C5988E">
      <w:pPr>
        <w:pStyle w:val="4"/>
        <w:pageBreakBefore w:val="0"/>
        <w:widowControl w:val="0"/>
        <w:numPr>
          <w:ilvl w:val="0"/>
          <w:numId w:val="6"/>
        </w:numPr>
        <w:kinsoku/>
        <w:wordWrap/>
        <w:topLinePunct w:val="0"/>
        <w:autoSpaceDE/>
        <w:autoSpaceDN/>
        <w:bidi w:val="0"/>
        <w:spacing w:line="520" w:lineRule="exact"/>
        <w:ind w:firstLine="643"/>
        <w:textAlignment w:val="auto"/>
        <w:rPr>
          <w:rFonts w:hint="eastAsia" w:ascii="楷体_GB2312" w:hAnsi="楷体_GB2312" w:eastAsia="楷体_GB2312" w:cs="楷体_GB2312"/>
          <w:color w:val="auto"/>
          <w:szCs w:val="32"/>
          <w:lang w:eastAsia="zh-Hans"/>
        </w:rPr>
      </w:pPr>
      <w:r>
        <w:rPr>
          <w:rFonts w:hint="eastAsia" w:ascii="楷体_GB2312" w:hAnsi="楷体_GB2312" w:eastAsia="楷体_GB2312" w:cs="楷体_GB2312"/>
          <w:color w:val="auto"/>
          <w:szCs w:val="32"/>
          <w:lang w:eastAsia="zh-Hans"/>
        </w:rPr>
        <w:t>预算执行进度</w:t>
      </w:r>
    </w:p>
    <w:p w14:paraId="7BBD0984">
      <w:pPr>
        <w:pStyle w:val="21"/>
        <w:pageBreakBefore w:val="0"/>
        <w:widowControl w:val="0"/>
        <w:kinsoku/>
        <w:wordWrap/>
        <w:topLinePunct w:val="0"/>
        <w:autoSpaceDE/>
        <w:autoSpaceDN/>
        <w:bidi w:val="0"/>
        <w:spacing w:line="520" w:lineRule="exact"/>
        <w:ind w:firstLine="640"/>
        <w:textAlignment w:val="auto"/>
        <w:rPr>
          <w:rFonts w:ascii="仿宋_GB2312"/>
          <w:color w:val="auto"/>
          <w:sz w:val="32"/>
          <w:szCs w:val="32"/>
          <w:lang w:eastAsia="zh-Hans"/>
        </w:rPr>
      </w:pPr>
      <w:r>
        <w:rPr>
          <w:rFonts w:hint="eastAsia" w:ascii="仿宋_GB2312"/>
          <w:color w:val="auto"/>
          <w:sz w:val="32"/>
          <w:szCs w:val="32"/>
          <w:lang w:eastAsia="zh-Hans"/>
        </w:rPr>
        <w:t>2023年城乡义务教育补助经费教育项目资金（公用经费）项目预算金额</w:t>
      </w:r>
      <w:r>
        <w:rPr>
          <w:rFonts w:hint="eastAsia" w:ascii="仿宋_GB2312"/>
          <w:color w:val="auto"/>
          <w:sz w:val="32"/>
          <w:szCs w:val="32"/>
          <w:lang w:val="en-US" w:eastAsia="zh-CN"/>
        </w:rPr>
        <w:t>175.03</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175.03</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175.03</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14:paraId="36F389BA">
      <w:pPr>
        <w:pStyle w:val="4"/>
        <w:pageBreakBefore w:val="0"/>
        <w:widowControl w:val="0"/>
        <w:numPr>
          <w:ilvl w:val="0"/>
          <w:numId w:val="6"/>
        </w:numPr>
        <w:kinsoku/>
        <w:wordWrap/>
        <w:topLinePunct w:val="0"/>
        <w:autoSpaceDE/>
        <w:autoSpaceDN/>
        <w:bidi w:val="0"/>
        <w:spacing w:line="520" w:lineRule="exact"/>
        <w:ind w:firstLine="643"/>
        <w:textAlignment w:val="auto"/>
        <w:rPr>
          <w:rFonts w:hint="eastAsia" w:ascii="楷体_GB2312" w:hAnsi="楷体_GB2312" w:eastAsia="楷体_GB2312" w:cs="楷体_GB2312"/>
          <w:color w:val="auto"/>
          <w:szCs w:val="32"/>
          <w:lang w:eastAsia="zh-Hans"/>
        </w:rPr>
      </w:pPr>
      <w:r>
        <w:rPr>
          <w:rFonts w:hint="eastAsia" w:ascii="楷体_GB2312" w:hAnsi="楷体_GB2312" w:eastAsia="楷体_GB2312" w:cs="楷体_GB2312"/>
          <w:color w:val="auto"/>
          <w:szCs w:val="32"/>
          <w:lang w:eastAsia="zh-Hans"/>
        </w:rPr>
        <w:t>绩效指标偏差情况</w:t>
      </w:r>
    </w:p>
    <w:p w14:paraId="4F7028FF">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年本单位负责实施的2023年城乡义务教育补助经费教育项目资金（公用经费）项目的绩效目标及指标已经全部达成，不存在偏差情况。</w:t>
      </w:r>
    </w:p>
    <w:bookmarkEnd w:id="16"/>
    <w:bookmarkEnd w:id="17"/>
    <w:p w14:paraId="6FA0ABC1">
      <w:pPr>
        <w:pStyle w:val="3"/>
        <w:pageBreakBefore w:val="0"/>
        <w:widowControl w:val="0"/>
        <w:kinsoku/>
        <w:wordWrap/>
        <w:topLinePunct w:val="0"/>
        <w:autoSpaceDE/>
        <w:autoSpaceDN/>
        <w:bidi w:val="0"/>
        <w:spacing w:line="520" w:lineRule="exact"/>
        <w:ind w:firstLine="640"/>
        <w:textAlignment w:val="auto"/>
        <w:rPr>
          <w:rFonts w:hint="eastAsia" w:ascii="黑体" w:hAnsi="黑体" w:eastAsia="黑体" w:cs="黑体"/>
          <w:b/>
          <w:bCs/>
          <w:color w:val="auto"/>
          <w:szCs w:val="32"/>
        </w:rPr>
      </w:pPr>
      <w:r>
        <w:rPr>
          <w:rFonts w:hint="eastAsia" w:ascii="黑体" w:hAnsi="黑体" w:eastAsia="黑体" w:cs="黑体"/>
          <w:b/>
          <w:bCs/>
          <w:color w:val="auto"/>
          <w:szCs w:val="32"/>
        </w:rPr>
        <w:t>六、主要经验及做法、存在的问题及原因分析</w:t>
      </w:r>
    </w:p>
    <w:p w14:paraId="25866F22">
      <w:pPr>
        <w:pStyle w:val="23"/>
        <w:pageBreakBefore w:val="0"/>
        <w:widowControl w:val="0"/>
        <w:kinsoku/>
        <w:wordWrap/>
        <w:topLinePunct w:val="0"/>
        <w:autoSpaceDE/>
        <w:autoSpaceDN/>
        <w:bidi w:val="0"/>
        <w:spacing w:before="0" w:after="0" w:line="520" w:lineRule="exact"/>
        <w:ind w:left="560"/>
        <w:textAlignment w:val="auto"/>
        <w:rPr>
          <w:rFonts w:hint="eastAsia" w:ascii="楷体_GB2312" w:hAnsi="楷体_GB2312" w:eastAsia="楷体_GB2312" w:cs="楷体_GB2312"/>
          <w:color w:val="auto"/>
          <w:sz w:val="32"/>
        </w:rPr>
      </w:pPr>
      <w:r>
        <w:rPr>
          <w:rFonts w:hint="eastAsia" w:ascii="楷体_GB2312" w:hAnsi="楷体_GB2312" w:eastAsia="楷体_GB2312" w:cs="楷体_GB2312"/>
          <w:color w:val="auto"/>
          <w:sz w:val="32"/>
        </w:rPr>
        <w:t>（一）主要经验及做法</w:t>
      </w:r>
    </w:p>
    <w:p w14:paraId="2C51B6BB">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color w:val="auto"/>
          <w:sz w:val="32"/>
          <w:szCs w:val="32"/>
        </w:rPr>
      </w:pPr>
      <w:bookmarkStart w:id="18" w:name="_Toc68364674"/>
      <w:r>
        <w:rPr>
          <w:rFonts w:hint="eastAsia" w:ascii="仿宋_GB2312" w:hAnsi="仿宋_GB2312" w:cs="仿宋_GB2312"/>
          <w:b/>
          <w:bCs/>
          <w:color w:val="auto"/>
          <w:sz w:val="32"/>
          <w:szCs w:val="32"/>
          <w:lang w:val="en-US" w:eastAsia="zh-CN"/>
        </w:rPr>
        <w:t>1</w:t>
      </w:r>
      <w:r>
        <w:rPr>
          <w:rFonts w:hint="eastAsia" w:ascii="仿宋_GB2312" w:hAnsi="仿宋_GB2312" w:cs="仿宋_GB2312"/>
          <w:b/>
          <w:bCs/>
          <w:color w:val="auto"/>
          <w:sz w:val="32"/>
          <w:szCs w:val="32"/>
        </w:rPr>
        <w:t>.强化绩效目标刚性约束，及时对项目进行跟踪问效</w:t>
      </w:r>
    </w:p>
    <w:p w14:paraId="05346DCE">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29C992E6">
      <w:pPr>
        <w:pStyle w:val="23"/>
        <w:pageBreakBefore w:val="0"/>
        <w:widowControl w:val="0"/>
        <w:kinsoku/>
        <w:wordWrap/>
        <w:topLinePunct w:val="0"/>
        <w:autoSpaceDE/>
        <w:autoSpaceDN/>
        <w:bidi w:val="0"/>
        <w:spacing w:before="0" w:after="0" w:line="520" w:lineRule="exact"/>
        <w:ind w:left="560"/>
        <w:textAlignment w:val="auto"/>
        <w:rPr>
          <w:rFonts w:hint="eastAsia" w:ascii="楷体_GB2312" w:hAnsi="楷体_GB2312" w:eastAsia="楷体_GB2312" w:cs="楷体_GB2312"/>
          <w:color w:val="auto"/>
          <w:sz w:val="32"/>
        </w:rPr>
      </w:pPr>
      <w:r>
        <w:rPr>
          <w:rFonts w:hint="eastAsia" w:ascii="楷体_GB2312" w:hAnsi="楷体_GB2312" w:eastAsia="楷体_GB2312" w:cs="楷体_GB2312"/>
          <w:color w:val="auto"/>
          <w:sz w:val="32"/>
        </w:rPr>
        <w:t>（二）存在问题及原因分析</w:t>
      </w:r>
      <w:bookmarkEnd w:id="18"/>
    </w:p>
    <w:p w14:paraId="2D58DA62">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14:paraId="786849E2">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7C0F596C">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14:paraId="28947088">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14:paraId="69F0369D">
      <w:pPr>
        <w:pStyle w:val="3"/>
        <w:pageBreakBefore w:val="0"/>
        <w:widowControl w:val="0"/>
        <w:kinsoku/>
        <w:wordWrap/>
        <w:topLinePunct w:val="0"/>
        <w:autoSpaceDE/>
        <w:autoSpaceDN/>
        <w:bidi w:val="0"/>
        <w:spacing w:line="520" w:lineRule="exact"/>
        <w:ind w:firstLine="640"/>
        <w:textAlignment w:val="auto"/>
        <w:rPr>
          <w:rFonts w:hint="eastAsia" w:ascii="黑体" w:hAnsi="黑体" w:eastAsia="黑体" w:cs="黑体"/>
          <w:b/>
          <w:bCs/>
          <w:color w:val="auto"/>
          <w:szCs w:val="32"/>
        </w:rPr>
      </w:pPr>
      <w:r>
        <w:rPr>
          <w:rFonts w:hint="eastAsia" w:ascii="黑体" w:hAnsi="黑体" w:eastAsia="黑体" w:cs="黑体"/>
          <w:b/>
          <w:bCs/>
          <w:color w:val="auto"/>
          <w:szCs w:val="32"/>
        </w:rPr>
        <w:t>七、</w:t>
      </w:r>
      <w:r>
        <w:rPr>
          <w:rFonts w:hint="eastAsia" w:ascii="黑体" w:hAnsi="黑体" w:eastAsia="黑体" w:cs="黑体"/>
          <w:b/>
          <w:bCs/>
          <w:color w:val="auto"/>
          <w:szCs w:val="32"/>
          <w:lang w:eastAsia="zh-Hans"/>
        </w:rPr>
        <w:t>有关建议</w:t>
      </w:r>
    </w:p>
    <w:p w14:paraId="39425698">
      <w:pPr>
        <w:pStyle w:val="21"/>
        <w:pageBreakBefore w:val="0"/>
        <w:widowControl w:val="0"/>
        <w:kinsoku/>
        <w:wordWrap/>
        <w:topLinePunct w:val="0"/>
        <w:autoSpaceDE/>
        <w:autoSpaceDN/>
        <w:bidi w:val="0"/>
        <w:spacing w:line="520" w:lineRule="exact"/>
        <w:ind w:firstLine="643"/>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1.加强培训，提高相关人员工作水平</w:t>
      </w:r>
    </w:p>
    <w:p w14:paraId="322ECEBE">
      <w:pPr>
        <w:pStyle w:val="21"/>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7E32A949">
      <w:pPr>
        <w:pStyle w:val="21"/>
        <w:pageBreakBefore w:val="0"/>
        <w:widowControl w:val="0"/>
        <w:kinsoku/>
        <w:wordWrap/>
        <w:topLinePunct w:val="0"/>
        <w:autoSpaceDE/>
        <w:autoSpaceDN/>
        <w:bidi w:val="0"/>
        <w:spacing w:line="520" w:lineRule="exact"/>
        <w:ind w:firstLine="643"/>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2.扎实推进档案规范化建设，提升档案管理水平</w:t>
      </w:r>
    </w:p>
    <w:p w14:paraId="49BBE7A0">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485991FC">
      <w:pPr>
        <w:pStyle w:val="21"/>
        <w:pageBreakBefore w:val="0"/>
        <w:widowControl w:val="0"/>
        <w:kinsoku/>
        <w:wordWrap/>
        <w:topLinePunct w:val="0"/>
        <w:autoSpaceDE/>
        <w:autoSpaceDN/>
        <w:bidi w:val="0"/>
        <w:spacing w:line="520" w:lineRule="exact"/>
        <w:ind w:firstLine="643"/>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3. 高度重视，加强领导</w:t>
      </w:r>
    </w:p>
    <w:p w14:paraId="6898DE78">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w:t>
      </w:r>
      <w:r>
        <w:rPr>
          <w:rFonts w:hint="eastAsia" w:ascii="仿宋_GB2312"/>
          <w:color w:val="auto"/>
          <w:sz w:val="32"/>
          <w:szCs w:val="32"/>
          <w:lang w:val="en-US" w:eastAsia="zh-CN"/>
        </w:rPr>
        <w:t>评价</w:t>
      </w:r>
      <w:r>
        <w:rPr>
          <w:rFonts w:hint="eastAsia" w:ascii="仿宋_GB2312"/>
          <w:color w:val="auto"/>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14:paraId="4EAEED2F">
      <w:pPr>
        <w:pStyle w:val="3"/>
        <w:pageBreakBefore w:val="0"/>
        <w:widowControl w:val="0"/>
        <w:kinsoku/>
        <w:wordWrap/>
        <w:topLinePunct w:val="0"/>
        <w:autoSpaceDE/>
        <w:autoSpaceDN/>
        <w:bidi w:val="0"/>
        <w:spacing w:line="520" w:lineRule="exact"/>
        <w:ind w:firstLine="640"/>
        <w:textAlignment w:val="auto"/>
        <w:rPr>
          <w:rFonts w:hint="eastAsia" w:ascii="黑体" w:hAnsi="黑体" w:eastAsia="黑体" w:cs="黑体"/>
          <w:b/>
          <w:bCs/>
          <w:color w:val="auto"/>
          <w:szCs w:val="32"/>
        </w:rPr>
      </w:pPr>
      <w:r>
        <w:rPr>
          <w:rFonts w:hint="eastAsia" w:ascii="黑体" w:hAnsi="黑体" w:eastAsia="黑体" w:cs="黑体"/>
          <w:b/>
          <w:bCs/>
          <w:color w:val="auto"/>
          <w:szCs w:val="32"/>
        </w:rPr>
        <w:t>八、其他需要说明的问题</w:t>
      </w:r>
    </w:p>
    <w:p w14:paraId="334CDDC8">
      <w:pPr>
        <w:pStyle w:val="21"/>
        <w:pageBreakBefore w:val="0"/>
        <w:widowControl w:val="0"/>
        <w:kinsoku/>
        <w:wordWrap/>
        <w:topLinePunct w:val="0"/>
        <w:autoSpaceDE/>
        <w:autoSpaceDN/>
        <w:bidi w:val="0"/>
        <w:spacing w:line="520" w:lineRule="exact"/>
        <w:ind w:firstLine="624"/>
        <w:textAlignment w:val="auto"/>
        <w:rPr>
          <w:rFonts w:hint="eastAsia" w:ascii="仿宋_GB2312"/>
          <w:color w:val="auto"/>
          <w:sz w:val="32"/>
          <w:szCs w:val="32"/>
        </w:rPr>
      </w:pPr>
      <w:r>
        <w:rPr>
          <w:rFonts w:hint="eastAsia" w:ascii="仿宋_GB2312"/>
          <w:color w:val="auto"/>
          <w:sz w:val="32"/>
          <w:szCs w:val="32"/>
        </w:rPr>
        <w:t>本单位对上述项目支出绩效评价报告内反映内容的真实性、完整性负责，并接受上级部门及社会公众监督。</w:t>
      </w:r>
      <w:bookmarkStart w:id="19" w:name="_GoBack"/>
      <w:bookmarkEnd w:id="19"/>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535A3">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7994145">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7994145">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3CC09">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6F153">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E963D">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D2920">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5A7DE">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68291A1A"/>
    <w:rsid w:val="00004DD3"/>
    <w:rsid w:val="000235A3"/>
    <w:rsid w:val="000545A8"/>
    <w:rsid w:val="001472A5"/>
    <w:rsid w:val="0015505A"/>
    <w:rsid w:val="001623FF"/>
    <w:rsid w:val="001654B7"/>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7B616B"/>
    <w:rsid w:val="03C52BEB"/>
    <w:rsid w:val="0454240B"/>
    <w:rsid w:val="04891E6A"/>
    <w:rsid w:val="08F572E4"/>
    <w:rsid w:val="0E9E4DAB"/>
    <w:rsid w:val="12F1313F"/>
    <w:rsid w:val="162156FB"/>
    <w:rsid w:val="1A3909FA"/>
    <w:rsid w:val="1C392325"/>
    <w:rsid w:val="1C7A676D"/>
    <w:rsid w:val="21D85176"/>
    <w:rsid w:val="23D34A58"/>
    <w:rsid w:val="245E1E24"/>
    <w:rsid w:val="2821707B"/>
    <w:rsid w:val="29332BED"/>
    <w:rsid w:val="2AC477C1"/>
    <w:rsid w:val="2CB35216"/>
    <w:rsid w:val="2E483E7E"/>
    <w:rsid w:val="2E5D23FE"/>
    <w:rsid w:val="2FF22A22"/>
    <w:rsid w:val="310E378E"/>
    <w:rsid w:val="3290697D"/>
    <w:rsid w:val="33944516"/>
    <w:rsid w:val="34724346"/>
    <w:rsid w:val="36BB3B00"/>
    <w:rsid w:val="374648DA"/>
    <w:rsid w:val="38B30376"/>
    <w:rsid w:val="3A7C36C1"/>
    <w:rsid w:val="3E2D1506"/>
    <w:rsid w:val="404563D1"/>
    <w:rsid w:val="416B0F39"/>
    <w:rsid w:val="444414EB"/>
    <w:rsid w:val="452665B4"/>
    <w:rsid w:val="48376382"/>
    <w:rsid w:val="49A75425"/>
    <w:rsid w:val="49E80674"/>
    <w:rsid w:val="4A3815BF"/>
    <w:rsid w:val="4DE84AD8"/>
    <w:rsid w:val="4DF110C4"/>
    <w:rsid w:val="53B71AB8"/>
    <w:rsid w:val="55782BE6"/>
    <w:rsid w:val="5D7317A1"/>
    <w:rsid w:val="5EDF9208"/>
    <w:rsid w:val="5FAFB075"/>
    <w:rsid w:val="620B0399"/>
    <w:rsid w:val="628A3D29"/>
    <w:rsid w:val="631937BF"/>
    <w:rsid w:val="649A23D2"/>
    <w:rsid w:val="67B17A29"/>
    <w:rsid w:val="67CD2F9D"/>
    <w:rsid w:val="68291A1A"/>
    <w:rsid w:val="691B1594"/>
    <w:rsid w:val="6C7D3D32"/>
    <w:rsid w:val="6D8C0C35"/>
    <w:rsid w:val="6DE91399"/>
    <w:rsid w:val="6E056B89"/>
    <w:rsid w:val="6E376859"/>
    <w:rsid w:val="6ED24F43"/>
    <w:rsid w:val="6F0D6C22"/>
    <w:rsid w:val="6FD35114"/>
    <w:rsid w:val="6FE70C15"/>
    <w:rsid w:val="6FF38B9B"/>
    <w:rsid w:val="70885EA4"/>
    <w:rsid w:val="71033E6E"/>
    <w:rsid w:val="7295321E"/>
    <w:rsid w:val="73D9A77D"/>
    <w:rsid w:val="73F90A54"/>
    <w:rsid w:val="755177AC"/>
    <w:rsid w:val="75A24F01"/>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8207</Words>
  <Characters>8657</Characters>
  <Lines>62</Lines>
  <Paragraphs>17</Paragraphs>
  <TotalTime>29</TotalTime>
  <ScaleCrop>false</ScaleCrop>
  <LinksUpToDate>false</LinksUpToDate>
  <CharactersWithSpaces>8671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阿贝多</cp:lastModifiedBy>
  <cp:lastPrinted>2021-03-04T11:49:00Z</cp:lastPrinted>
  <dcterms:modified xsi:type="dcterms:W3CDTF">2024-11-08T11:50:11Z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