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沙湾市第三中学</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rPr>
      </w:pPr>
      <w:bookmarkStart w:id="4" w:name="_Toc31238"/>
      <w:bookmarkStart w:id="5" w:name="_Toc2151"/>
      <w:r>
        <w:rPr>
          <w:rFonts w:hint="eastAsia" w:ascii="仿宋_GB2312" w:hAnsi="仿宋_GB2312" w:eastAsia="仿宋_GB2312" w:cs="仿宋_GB2312"/>
          <w:bCs/>
          <w:color w:val="auto"/>
          <w:kern w:val="0"/>
          <w:sz w:val="32"/>
          <w:szCs w:val="32"/>
          <w:highlight w:val="none"/>
        </w:rPr>
        <w:t>认真贯彻执行党的教育方针，根据我校的特点，结合实际出发，以国家拨给的教育经费为主要资金来源，妥善科学的管理使用各项资金，更好地为我校教育教学工作服务。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沙湾市第三中学</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175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170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黑体" w:eastAsia="仿宋_GB2312" w:cs="宋体"/>
          <w:bCs/>
          <w:color w:val="auto"/>
          <w:kern w:val="0"/>
          <w:sz w:val="32"/>
          <w:szCs w:val="32"/>
          <w:highlight w:val="none"/>
          <w:lang w:val="en-US" w:eastAsia="zh-CN"/>
        </w:rPr>
        <w:t>该</w:t>
      </w:r>
      <w:r>
        <w:rPr>
          <w:rFonts w:hint="eastAsia" w:ascii="仿宋_GB2312" w:hAnsi="黑体" w:eastAsia="仿宋_GB2312" w:cs="宋体"/>
          <w:bCs/>
          <w:color w:val="auto"/>
          <w:kern w:val="0"/>
          <w:sz w:val="32"/>
          <w:szCs w:val="32"/>
          <w:highlight w:val="none"/>
        </w:rPr>
        <w:t>单位无下属预算单位，</w:t>
      </w:r>
      <w:r>
        <w:rPr>
          <w:rFonts w:hint="eastAsia" w:ascii="仿宋_GB2312" w:eastAsia="仿宋_GB2312"/>
          <w:color w:val="auto"/>
          <w:sz w:val="32"/>
          <w:szCs w:val="32"/>
          <w:highlight w:val="none"/>
          <w:lang w:eastAsia="zh-CN"/>
        </w:rPr>
        <w:t>下设5个处室，分别是：校办</w:t>
      </w:r>
      <w:r>
        <w:rPr>
          <w:rFonts w:hint="eastAsia" w:ascii="仿宋_GB2312" w:eastAsia="仿宋_GB2312"/>
          <w:color w:val="auto"/>
          <w:sz w:val="32"/>
          <w:szCs w:val="32"/>
          <w:highlight w:val="none"/>
          <w:lang w:val="en-US" w:eastAsia="zh-CN"/>
        </w:rPr>
        <w:t>公</w:t>
      </w:r>
      <w:r>
        <w:rPr>
          <w:rFonts w:hint="eastAsia" w:ascii="仿宋_GB2312" w:eastAsia="仿宋_GB2312"/>
          <w:color w:val="auto"/>
          <w:sz w:val="32"/>
          <w:szCs w:val="32"/>
          <w:highlight w:val="none"/>
          <w:lang w:eastAsia="zh-CN"/>
        </w:rPr>
        <w:t>室、德育处、教务处、总务处、财务室。</w:t>
      </w:r>
      <w:bookmarkStart w:id="6" w:name="_Toc29374"/>
      <w:bookmarkStart w:id="7" w:name="_Toc3092"/>
    </w:p>
    <w:p>
      <w:pPr>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3,292.94万元，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3,292.94万元，使用非财政拨款结余0.00万元，年初结转和结余0.00万元。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3,292.94万元，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3,292.94万元，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增加868.79万元</w:t>
      </w:r>
      <w:r>
        <w:rPr>
          <w:rFonts w:hint="eastAsia" w:ascii="仿宋_GB2312" w:eastAsia="仿宋_GB2312"/>
          <w:color w:val="auto"/>
          <w:spacing w:val="0"/>
          <w:sz w:val="32"/>
          <w:szCs w:val="32"/>
          <w:highlight w:val="none"/>
          <w:lang w:eastAsia="zh-CN"/>
        </w:rPr>
        <w:t>，增长35.84%，主要原因是：本年学生人数增加，公用经费增加。增加暑期校舍维修项目。发放以前年度绩效工资。增加高</w:t>
      </w:r>
      <w:r>
        <w:rPr>
          <w:rFonts w:hint="eastAsia" w:ascii="仿宋_GB2312" w:eastAsia="仿宋_GB2312"/>
          <w:color w:val="auto"/>
          <w:spacing w:val="0"/>
          <w:sz w:val="32"/>
          <w:szCs w:val="32"/>
          <w:highlight w:val="none"/>
          <w:lang w:val="en-US" w:eastAsia="zh-CN"/>
        </w:rPr>
        <w:t>校</w:t>
      </w:r>
      <w:r>
        <w:rPr>
          <w:rFonts w:hint="eastAsia" w:ascii="仿宋_GB2312" w:eastAsia="仿宋_GB2312"/>
          <w:color w:val="auto"/>
          <w:spacing w:val="0"/>
          <w:sz w:val="32"/>
          <w:szCs w:val="32"/>
          <w:highlight w:val="none"/>
          <w:lang w:eastAsia="zh-CN"/>
        </w:rPr>
        <w:t>人才工作室经费。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3,292.94</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3,292.94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本年支出3,292.94万元，其中：基本支出2,904.29万元，占88.20%；项目支出388.65万元，占11.80%；上缴上级支出0.00万元，占0.00%；经营支出0.00万元，占0.00%；对附属单位补助支出0.00万元，占0.00%。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3,292.94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3,292.94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3,292.94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3,292.94</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增加868.79万元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增长35.84%,</w:t>
      </w:r>
      <w:r>
        <w:rPr>
          <w:rFonts w:hint="eastAsia" w:ascii="仿宋_GB2312" w:eastAsia="仿宋_GB2312"/>
          <w:color w:val="auto"/>
          <w:spacing w:val="0"/>
          <w:sz w:val="32"/>
          <w:szCs w:val="32"/>
          <w:highlight w:val="none"/>
          <w:lang w:eastAsia="zh-CN"/>
        </w:rPr>
        <w:t>主要原因是：本年学生人数增加，公用经费增加；增加暑期校舍维修项目；发放以前年度绩效工资；增加高人才工作室经费。与年初预算相比，年初预算数</w:t>
      </w:r>
      <w:r>
        <w:rPr>
          <w:rFonts w:hint="eastAsia" w:ascii="仿宋_GB2312" w:eastAsia="仿宋_GB2312"/>
          <w:color w:val="auto"/>
          <w:spacing w:val="0"/>
          <w:sz w:val="32"/>
          <w:szCs w:val="32"/>
          <w:highlight w:val="none"/>
          <w:lang w:val="zh-CN" w:eastAsia="zh-CN"/>
        </w:rPr>
        <w:t>2,975.70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3,292.94</w:t>
      </w:r>
      <w:r>
        <w:rPr>
          <w:rFonts w:hint="eastAsia" w:ascii="仿宋_GB2312" w:eastAsia="仿宋_GB2312"/>
          <w:color w:val="auto"/>
          <w:spacing w:val="0"/>
          <w:sz w:val="32"/>
          <w:szCs w:val="32"/>
          <w:highlight w:val="none"/>
          <w:lang w:eastAsia="zh-CN"/>
        </w:rPr>
        <w:t>万元，预决算差异率10.66%，主要原因是：本年</w:t>
      </w:r>
      <w:r>
        <w:rPr>
          <w:rFonts w:hint="eastAsia" w:ascii="仿宋_GB2312" w:eastAsia="仿宋_GB2312"/>
          <w:color w:val="auto"/>
          <w:spacing w:val="0"/>
          <w:sz w:val="32"/>
          <w:szCs w:val="32"/>
          <w:highlight w:val="none"/>
          <w:lang w:val="en-US" w:eastAsia="zh-CN"/>
        </w:rPr>
        <w:t>年中追</w:t>
      </w:r>
      <w:r>
        <w:rPr>
          <w:rFonts w:hint="eastAsia" w:ascii="仿宋_GB2312" w:eastAsia="仿宋_GB2312"/>
          <w:color w:val="auto"/>
          <w:spacing w:val="0"/>
          <w:sz w:val="32"/>
          <w:szCs w:val="32"/>
          <w:highlight w:val="none"/>
          <w:lang w:eastAsia="zh-CN"/>
        </w:rPr>
        <w:t>加办公设备项目、艺体楼装修项目、校舍安全保障项目。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2023年度一般公共预算财政拨款支出3,292.94万元，占本年支出合计的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增加868.79万元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增长35.84%,</w:t>
      </w:r>
      <w:r>
        <w:rPr>
          <w:rFonts w:hint="eastAsia" w:ascii="仿宋_GB2312" w:eastAsia="仿宋_GB2312"/>
          <w:color w:val="auto"/>
          <w:spacing w:val="0"/>
          <w:sz w:val="32"/>
          <w:szCs w:val="32"/>
          <w:highlight w:val="none"/>
          <w:lang w:eastAsia="zh-CN"/>
        </w:rPr>
        <w:t>主要原因是：本年学生人数增加，公用经费增加；增加暑期校舍维修项目；发放以前年度绩效工资；增加高人才工作室经费。与年初预算相比，年初预算数</w:t>
      </w:r>
      <w:r>
        <w:rPr>
          <w:rFonts w:hint="eastAsia" w:ascii="仿宋_GB2312" w:eastAsia="仿宋_GB2312"/>
          <w:color w:val="auto"/>
          <w:spacing w:val="0"/>
          <w:sz w:val="32"/>
          <w:szCs w:val="32"/>
          <w:highlight w:val="none"/>
          <w:lang w:val="zh-CN" w:eastAsia="zh-CN"/>
        </w:rPr>
        <w:t>2,975.70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3,292.94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10.66%</w:t>
      </w:r>
      <w:r>
        <w:rPr>
          <w:rFonts w:hint="eastAsia" w:ascii="仿宋_GB2312" w:eastAsia="仿宋_GB2312"/>
          <w:color w:val="auto"/>
          <w:spacing w:val="0"/>
          <w:sz w:val="32"/>
          <w:szCs w:val="32"/>
          <w:highlight w:val="none"/>
          <w:lang w:eastAsia="zh-CN"/>
        </w:rPr>
        <w:t>，主要原因是：本年</w:t>
      </w:r>
      <w:r>
        <w:rPr>
          <w:rFonts w:hint="eastAsia" w:ascii="仿宋_GB2312" w:eastAsia="仿宋_GB2312"/>
          <w:color w:val="auto"/>
          <w:spacing w:val="0"/>
          <w:sz w:val="32"/>
          <w:szCs w:val="32"/>
          <w:highlight w:val="none"/>
          <w:lang w:val="en-US" w:eastAsia="zh-CN"/>
        </w:rPr>
        <w:t>年中追</w:t>
      </w:r>
      <w:r>
        <w:rPr>
          <w:rFonts w:hint="eastAsia" w:ascii="仿宋_GB2312" w:eastAsia="仿宋_GB2312"/>
          <w:color w:val="auto"/>
          <w:spacing w:val="0"/>
          <w:sz w:val="32"/>
          <w:szCs w:val="32"/>
          <w:highlight w:val="none"/>
          <w:lang w:eastAsia="zh-CN"/>
        </w:rPr>
        <w:t>加办公设备项目、艺体楼装修项目、校舍安全保障项目。</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1.教育支出（类）</w:t>
      </w:r>
      <w:r>
        <w:rPr>
          <w:rFonts w:hint="eastAsia" w:ascii="仿宋_GB2312" w:hAnsi="Times New Roman" w:eastAsia="仿宋_GB2312" w:cs="Times New Roman"/>
          <w:color w:val="auto"/>
          <w:spacing w:val="0"/>
          <w:kern w:val="2"/>
          <w:sz w:val="32"/>
          <w:szCs w:val="32"/>
          <w:highlight w:val="none"/>
          <w:lang w:val="zh-CN" w:eastAsia="zh-CN" w:bidi="ar-SA"/>
        </w:rPr>
        <w:t>3,242.94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98.48%。</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2.其他支出（类）</w:t>
      </w:r>
      <w:r>
        <w:rPr>
          <w:rFonts w:hint="eastAsia" w:ascii="仿宋_GB2312" w:hAnsi="Times New Roman" w:eastAsia="仿宋_GB2312" w:cs="Times New Roman"/>
          <w:color w:val="auto"/>
          <w:spacing w:val="0"/>
          <w:kern w:val="2"/>
          <w:sz w:val="32"/>
          <w:szCs w:val="32"/>
          <w:highlight w:val="none"/>
          <w:lang w:val="zh-CN" w:eastAsia="zh-CN" w:bidi="ar-SA"/>
        </w:rPr>
        <w:t>50.00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1.52%。</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1.教育支出（类）教育费附加安排的支出（款）其他教育费附加安排的支出（项）:支出决算数为6.00万元，比上年决算增加4.00万元，增长200.00%，主要原因是：</w:t>
      </w:r>
      <w:r>
        <w:rPr>
          <w:rFonts w:hint="eastAsia" w:ascii="仿宋_GB2312" w:eastAsia="仿宋_GB2312"/>
          <w:color w:val="auto"/>
          <w:spacing w:val="0"/>
          <w:sz w:val="32"/>
          <w:szCs w:val="32"/>
          <w:highlight w:val="none"/>
          <w:lang w:eastAsia="zh-CN"/>
        </w:rPr>
        <w:t>本年增加办公设备项目、艺体楼装修项目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2.教育支出（类）普通教育（款）初中教育（项）:支出决算数为3,236.94万元，比上年决算增加814.79万元，增长33.64%，主要原因是：</w:t>
      </w:r>
      <w:r>
        <w:rPr>
          <w:rFonts w:hint="eastAsia" w:ascii="仿宋_GB2312" w:eastAsia="仿宋_GB2312"/>
          <w:color w:val="auto"/>
          <w:spacing w:val="0"/>
          <w:sz w:val="32"/>
          <w:szCs w:val="32"/>
          <w:highlight w:val="none"/>
          <w:lang w:eastAsia="zh-CN"/>
        </w:rPr>
        <w:t>本年学生人数增加，公用经费增加。增加暑期校舍维修项目。发放以前年度绩效工资。增加高人才工作室经费</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3.其他支出（类）其他支出（款）其他支出（项）:支出决算数为50.00万元，比上年决算增加50.00万元，增长100%，主要原因是：</w:t>
      </w:r>
      <w:r>
        <w:rPr>
          <w:rFonts w:hint="eastAsia" w:ascii="仿宋_GB2312" w:eastAsia="仿宋_GB2312"/>
          <w:color w:val="auto"/>
          <w:spacing w:val="0"/>
          <w:sz w:val="32"/>
          <w:szCs w:val="32"/>
          <w:highlight w:val="none"/>
          <w:lang w:val="en-US" w:eastAsia="zh-CN"/>
        </w:rPr>
        <w:t>本年度新增</w:t>
      </w:r>
      <w:r>
        <w:rPr>
          <w:rFonts w:hint="eastAsia" w:ascii="仿宋_GB2312" w:eastAsia="仿宋_GB2312"/>
          <w:color w:val="auto"/>
          <w:spacing w:val="0"/>
          <w:sz w:val="32"/>
          <w:szCs w:val="32"/>
          <w:highlight w:val="none"/>
          <w:lang w:eastAsia="zh-CN"/>
        </w:rPr>
        <w:t>高人才工作室经费、工作专项经费</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2,904.29</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2,895.75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基本工资、津贴补贴、奖金、绩效工资、机关事业单位基本养老保险缴费、职业年金缴费、职工基本医疗保险缴费、其他社会保障缴费、住房公积金、其他工资福利支出、退休费、奖励金。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8.54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主要原因是：我单位无财政拨款“三公”经费支出。其中：因公出国（境）费支出0.00万元，占0.00%，比上年增加0.00万元，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主要原因是：我单位无因公出国（境）费支出；公务用车购置及运行维护费支出0.00万元，占0.00%，比上年增加0.00万元，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主要原因是：我单位无公务用车购置及运行维护费支出；公务接待费支出0.00万元，占0.00%，比上年增加0.00万元，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主要原因是：我单位无公务接待费支出。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运行维护费开支。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原因是：我单位无公务用车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预算数0.00万元，决算数0.00万元，预决算差异率0.00%，主要原因是：我单位未安排财政拨款“三公”经费支出。其中：因公出国（境）费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0.00万元，决算数0.00万元，预决算差异率0.00%，主要原因是：我单位未安排因公出国（境）费；公务用车购置费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预算数0.00万元，决算数0.00万元，预决算差异率0.00%，主要原因是：我单位未安排公务用车运行费；公务接待费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zh-CN"/>
        </w:rPr>
        <w:t>我单位</w:t>
      </w:r>
      <w:r>
        <w:rPr>
          <w:rFonts w:hint="eastAsia" w:ascii="仿宋_GB2312" w:hAnsi="仿宋_GB2312" w:eastAsia="仿宋_GB2312" w:cs="仿宋_GB2312"/>
          <w:color w:val="auto"/>
          <w:sz w:val="32"/>
          <w:szCs w:val="32"/>
          <w:highlight w:val="none"/>
          <w:lang w:val="zh-CN" w:eastAsia="zh-CN"/>
        </w:rPr>
        <w:t>今年未安排</w:t>
      </w:r>
      <w:r>
        <w:rPr>
          <w:rFonts w:hint="eastAsia" w:ascii="仿宋_GB2312" w:eastAsia="仿宋_GB2312"/>
          <w:color w:val="auto"/>
          <w:sz w:val="32"/>
          <w:szCs w:val="32"/>
          <w:highlight w:val="none"/>
          <w:lang w:eastAsia="zh-CN"/>
        </w:rPr>
        <w:t>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单位今年未安排</w:t>
      </w:r>
      <w:r>
        <w:rPr>
          <w:rFonts w:hint="eastAsia" w:ascii="仿宋_GB2312" w:eastAsia="仿宋_GB2312"/>
          <w:color w:val="auto"/>
          <w:sz w:val="32"/>
          <w:szCs w:val="32"/>
          <w:highlight w:val="none"/>
          <w:lang w:eastAsia="zh-CN"/>
        </w:rPr>
        <w:t>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沙湾市第三中学（事业单位）公用经费支出8.54万元，</w:t>
      </w:r>
      <w:r>
        <w:rPr>
          <w:rFonts w:hint="eastAsia" w:ascii="仿宋_GB2312" w:hAnsi="仿宋_GB2312" w:eastAsia="仿宋_GB2312" w:cs="仿宋_GB2312"/>
          <w:color w:val="auto"/>
          <w:sz w:val="32"/>
          <w:szCs w:val="32"/>
          <w:highlight w:val="none"/>
          <w:lang w:val="zh-CN" w:eastAsia="zh-CN"/>
        </w:rPr>
        <w:t>比上年增加8.54万元，增长100.00%，主要原因是：</w:t>
      </w:r>
      <w:r>
        <w:rPr>
          <w:rFonts w:hint="eastAsia" w:ascii="仿宋_GB2312" w:hAnsi="仿宋_GB2312" w:eastAsia="仿宋_GB2312" w:cs="仿宋_GB2312"/>
          <w:color w:val="auto"/>
          <w:sz w:val="32"/>
          <w:szCs w:val="32"/>
          <w:highlight w:val="none"/>
          <w:lang w:val="en-US" w:eastAsia="zh-CN"/>
        </w:rPr>
        <w:t>本年度支付</w:t>
      </w:r>
      <w:r>
        <w:rPr>
          <w:rFonts w:hint="eastAsia" w:ascii="仿宋_GB2312" w:hAnsi="仿宋_GB2312" w:eastAsia="仿宋_GB2312" w:cs="仿宋_GB2312"/>
          <w:color w:val="auto"/>
          <w:sz w:val="32"/>
          <w:szCs w:val="32"/>
          <w:highlight w:val="none"/>
          <w:lang w:val="zh-CN" w:eastAsia="zh-CN"/>
        </w:rPr>
        <w:t>工会经费，</w:t>
      </w:r>
      <w:r>
        <w:rPr>
          <w:rFonts w:hint="eastAsia" w:ascii="仿宋_GB2312" w:hAnsi="仿宋_GB2312" w:eastAsia="仿宋_GB2312" w:cs="仿宋_GB2312"/>
          <w:color w:val="auto"/>
          <w:sz w:val="32"/>
          <w:szCs w:val="32"/>
          <w:highlight w:val="none"/>
          <w:lang w:val="en-US" w:eastAsia="zh-CN"/>
        </w:rPr>
        <w:t>上年度无此项支出</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111.58万元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其中：政府采购货物支出58.01万元、政府采购工程支出37.40万元、政府采购服务支出16.17万元。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授予中小企业合同金额111.58万元，占政府采购支出总额的100.00%，其中：授予小微企业合同金额111.58万元，占政府采购支出总额的100.00%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9,992.34</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屋32,451.84平方米，价值6,907.47万元。车辆0辆，价值0.00万元，其中：副部（省）级及以上领导用车0辆、主要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用车0辆、其他用车0辆，其他用车主要是：我单位无其他用车；单价100万元（含）以上设备（不含车辆）0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预算总额3292.94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实际执行总额3292.94</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全年预算数388.65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全年执行数388.65</w:t>
      </w:r>
      <w:r>
        <w:rPr>
          <w:rFonts w:hint="eastAsia" w:ascii="仿宋_GB2312" w:eastAsia="仿宋_GB2312"/>
          <w:color w:val="auto"/>
          <w:sz w:val="32"/>
          <w:szCs w:val="32"/>
          <w:highlight w:val="none"/>
        </w:rPr>
        <w:t>万元</w:t>
      </w:r>
      <w:bookmarkStart w:id="48" w:name="_GoBack"/>
      <w:bookmarkEnd w:id="48"/>
      <w:r>
        <w:rPr>
          <w:rFonts w:hint="eastAsia" w:ascii="仿宋_GB2312" w:eastAsia="仿宋_GB2312"/>
          <w:color w:val="auto"/>
          <w:sz w:val="32"/>
          <w:szCs w:val="32"/>
          <w:highlight w:val="none"/>
        </w:rPr>
        <w:t>，其中本单位sm项目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个，全年预算数</w:t>
      </w:r>
      <w:r>
        <w:rPr>
          <w:rFonts w:hint="eastAsia" w:ascii="仿宋_GB2312" w:eastAsia="仿宋_GB2312"/>
          <w:color w:val="auto"/>
          <w:sz w:val="32"/>
          <w:szCs w:val="32"/>
          <w:highlight w:val="none"/>
          <w:lang w:val="en-US" w:eastAsia="zh-CN"/>
        </w:rPr>
        <w:t>26</w:t>
      </w:r>
      <w:r>
        <w:rPr>
          <w:rFonts w:hint="eastAsia" w:ascii="仿宋_GB2312" w:eastAsia="仿宋_GB2312"/>
          <w:color w:val="auto"/>
          <w:sz w:val="32"/>
          <w:szCs w:val="32"/>
          <w:highlight w:val="none"/>
        </w:rPr>
        <w:t>万元，全年执行数</w:t>
      </w:r>
      <w:r>
        <w:rPr>
          <w:rFonts w:hint="eastAsia" w:ascii="仿宋_GB2312" w:eastAsia="仿宋_GB2312"/>
          <w:color w:val="auto"/>
          <w:sz w:val="32"/>
          <w:szCs w:val="32"/>
          <w:highlight w:val="none"/>
          <w:lang w:val="en-US" w:eastAsia="zh-CN"/>
        </w:rPr>
        <w:t>26</w:t>
      </w:r>
      <w:r>
        <w:rPr>
          <w:rFonts w:hint="eastAsia" w:ascii="仿宋_GB2312" w:eastAsia="仿宋_GB2312"/>
          <w:color w:val="auto"/>
          <w:sz w:val="32"/>
          <w:szCs w:val="32"/>
          <w:highlight w:val="none"/>
        </w:rPr>
        <w:t>万元，不予以公开。</w:t>
      </w:r>
      <w:r>
        <w:rPr>
          <w:rFonts w:hint="eastAsia" w:ascii="仿宋_GB2312" w:eastAsia="仿宋_GB2312"/>
          <w:color w:val="auto"/>
          <w:sz w:val="32"/>
          <w:szCs w:val="32"/>
          <w:highlight w:val="none"/>
          <w:lang w:eastAsia="zh-CN"/>
        </w:rPr>
        <w:t>预算绩效管理取得的成效：一是通过项目的实施，专项资金能及时足额到位，保障了学校正常运转，改善了我校师生工作学习环境；二是通过项目的实施，改善了学校办学条件，为教育教学提供良好的硬件软件环境。发现的问题及原因：一是项目绩效目标设置需要更加科学、合理，完整；二是项目绩效跟着监控需要更加严格，规范。下一步改进措施：一是我校将继续完善预算目标的制定，使项目绩效目标设置合理、科学；二是项目绩效跟</w:t>
      </w:r>
      <w:r>
        <w:rPr>
          <w:rFonts w:hint="eastAsia" w:ascii="仿宋_GB2312" w:eastAsia="仿宋_GB2312"/>
          <w:color w:val="auto"/>
          <w:sz w:val="32"/>
          <w:szCs w:val="32"/>
          <w:highlight w:val="none"/>
          <w:lang w:val="en-US" w:eastAsia="zh-CN"/>
        </w:rPr>
        <w:t>踪</w:t>
      </w:r>
      <w:r>
        <w:rPr>
          <w:rFonts w:hint="eastAsia" w:ascii="仿宋_GB2312" w:eastAsia="仿宋_GB2312"/>
          <w:color w:val="auto"/>
          <w:sz w:val="32"/>
          <w:szCs w:val="32"/>
          <w:highlight w:val="none"/>
          <w:lang w:eastAsia="zh-CN"/>
        </w:rPr>
        <w:t>监控需要更加严格，规范，严格执行财务审批制度齐全，资金支出程序规范。保障项目顺利实施。具体项目自评情况附项目支出绩效自评表。具体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color w:val="FF0000"/>
          <w:highlight w:val="none"/>
          <w:lang w:val="en-US" w:eastAsia="zh-CN"/>
        </w:rPr>
      </w:pPr>
      <w:r>
        <w:rPr>
          <w:rFonts w:hint="eastAsia" w:ascii="仿宋_GB2312" w:eastAsia="仿宋_GB2312"/>
          <w:color w:val="auto"/>
          <w:sz w:val="32"/>
          <w:szCs w:val="32"/>
          <w:highlight w:val="none"/>
          <w:lang w:eastAsia="zh-CN"/>
        </w:rPr>
        <w:t>本单位sm项目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个，全年预算数</w:t>
      </w:r>
      <w:r>
        <w:rPr>
          <w:rFonts w:hint="eastAsia" w:ascii="仿宋_GB2312" w:eastAsia="仿宋_GB2312"/>
          <w:color w:val="auto"/>
          <w:sz w:val="32"/>
          <w:szCs w:val="32"/>
          <w:highlight w:val="none"/>
          <w:lang w:val="en-US" w:eastAsia="zh-CN"/>
        </w:rPr>
        <w:t>26</w:t>
      </w:r>
      <w:r>
        <w:rPr>
          <w:rFonts w:hint="eastAsia" w:ascii="仿宋_GB2312" w:eastAsia="仿宋_GB2312"/>
          <w:color w:val="auto"/>
          <w:sz w:val="32"/>
          <w:szCs w:val="32"/>
          <w:highlight w:val="none"/>
          <w:lang w:eastAsia="zh-CN"/>
        </w:rPr>
        <w:t>万元，全年执行数</w:t>
      </w:r>
      <w:r>
        <w:rPr>
          <w:rFonts w:hint="eastAsia" w:ascii="仿宋_GB2312" w:eastAsia="仿宋_GB2312"/>
          <w:color w:val="auto"/>
          <w:sz w:val="32"/>
          <w:szCs w:val="32"/>
          <w:highlight w:val="none"/>
          <w:lang w:val="en-US" w:eastAsia="zh-CN"/>
        </w:rPr>
        <w:t>26</w:t>
      </w:r>
      <w:r>
        <w:rPr>
          <w:rFonts w:hint="eastAsia" w:ascii="仿宋_GB2312" w:eastAsia="仿宋_GB2312"/>
          <w:color w:val="auto"/>
          <w:sz w:val="32"/>
          <w:szCs w:val="32"/>
          <w:highlight w:val="none"/>
          <w:lang w:eastAsia="zh-CN"/>
        </w:rPr>
        <w:t>万元，不予以公开绩效自评表。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5ZjZhYjUzNDAyMWFlYjRjMzRjNzEwYTJmMzdlNWQifQ=="/>
    <w:docVar w:name="KSO_WPS_MARK_KEY" w:val="41ee2a61-2d54-4f93-83be-afdb9a40d732"/>
  </w:docVars>
  <w:rsids>
    <w:rsidRoot w:val="00000000"/>
    <w:rsid w:val="00213C59"/>
    <w:rsid w:val="003210CE"/>
    <w:rsid w:val="003A1156"/>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D4151"/>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307020"/>
    <w:rsid w:val="0D4903E8"/>
    <w:rsid w:val="0D7A4A46"/>
    <w:rsid w:val="0E235EA8"/>
    <w:rsid w:val="0E640559"/>
    <w:rsid w:val="0F1113DA"/>
    <w:rsid w:val="0F78534A"/>
    <w:rsid w:val="0F89358A"/>
    <w:rsid w:val="0F8C6D51"/>
    <w:rsid w:val="105B0B5E"/>
    <w:rsid w:val="106B5570"/>
    <w:rsid w:val="112E58D0"/>
    <w:rsid w:val="11731CAC"/>
    <w:rsid w:val="119500A0"/>
    <w:rsid w:val="11C0733B"/>
    <w:rsid w:val="11D50D17"/>
    <w:rsid w:val="120E0809"/>
    <w:rsid w:val="127F665A"/>
    <w:rsid w:val="12F7068C"/>
    <w:rsid w:val="14207DC0"/>
    <w:rsid w:val="14682F09"/>
    <w:rsid w:val="14B36359"/>
    <w:rsid w:val="14B932DA"/>
    <w:rsid w:val="15057DAC"/>
    <w:rsid w:val="150A66AF"/>
    <w:rsid w:val="15292079"/>
    <w:rsid w:val="154C1139"/>
    <w:rsid w:val="158C5B77"/>
    <w:rsid w:val="160D1149"/>
    <w:rsid w:val="163563C0"/>
    <w:rsid w:val="164315EF"/>
    <w:rsid w:val="16557DFE"/>
    <w:rsid w:val="167268FB"/>
    <w:rsid w:val="16770D0A"/>
    <w:rsid w:val="169A0039"/>
    <w:rsid w:val="16BE3E82"/>
    <w:rsid w:val="16D50C50"/>
    <w:rsid w:val="16E120E1"/>
    <w:rsid w:val="17385A05"/>
    <w:rsid w:val="173B3901"/>
    <w:rsid w:val="176747F9"/>
    <w:rsid w:val="17954A6E"/>
    <w:rsid w:val="17BE2C86"/>
    <w:rsid w:val="180059E9"/>
    <w:rsid w:val="184510FD"/>
    <w:rsid w:val="185D3D74"/>
    <w:rsid w:val="190648B0"/>
    <w:rsid w:val="19071D6C"/>
    <w:rsid w:val="19D26CD4"/>
    <w:rsid w:val="19E60D19"/>
    <w:rsid w:val="1A3C38E1"/>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4E56A4"/>
    <w:rsid w:val="1FA15E62"/>
    <w:rsid w:val="1FED69B6"/>
    <w:rsid w:val="200A1991"/>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392152"/>
    <w:rsid w:val="264A7253"/>
    <w:rsid w:val="269B21E3"/>
    <w:rsid w:val="26F0170C"/>
    <w:rsid w:val="26FE3B9A"/>
    <w:rsid w:val="27201D62"/>
    <w:rsid w:val="27286E73"/>
    <w:rsid w:val="27A91C3E"/>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534E4B"/>
    <w:rsid w:val="2AF5378F"/>
    <w:rsid w:val="2BB94DBF"/>
    <w:rsid w:val="2BF37410"/>
    <w:rsid w:val="2C6F314E"/>
    <w:rsid w:val="2CC206BE"/>
    <w:rsid w:val="2D1136DF"/>
    <w:rsid w:val="2D20606D"/>
    <w:rsid w:val="2D6729FE"/>
    <w:rsid w:val="2DAC06A3"/>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75E5D"/>
    <w:rsid w:val="3389023A"/>
    <w:rsid w:val="33CB74FA"/>
    <w:rsid w:val="343642F2"/>
    <w:rsid w:val="343F3010"/>
    <w:rsid w:val="345D0A00"/>
    <w:rsid w:val="34713BFD"/>
    <w:rsid w:val="34C13589"/>
    <w:rsid w:val="351316A0"/>
    <w:rsid w:val="353369E3"/>
    <w:rsid w:val="35B21E0B"/>
    <w:rsid w:val="35E00D72"/>
    <w:rsid w:val="36965B9D"/>
    <w:rsid w:val="36C549FD"/>
    <w:rsid w:val="37A755DD"/>
    <w:rsid w:val="37AF1EEF"/>
    <w:rsid w:val="37F33BFE"/>
    <w:rsid w:val="37F94FA0"/>
    <w:rsid w:val="380D3381"/>
    <w:rsid w:val="38115B1F"/>
    <w:rsid w:val="385E3AC3"/>
    <w:rsid w:val="38633E46"/>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B3887"/>
    <w:rsid w:val="3B6C6B2D"/>
    <w:rsid w:val="3C242659"/>
    <w:rsid w:val="3C96719C"/>
    <w:rsid w:val="3CA72BE8"/>
    <w:rsid w:val="3CDC1E1E"/>
    <w:rsid w:val="3CF37F8C"/>
    <w:rsid w:val="3D137554"/>
    <w:rsid w:val="3D5275AC"/>
    <w:rsid w:val="3DCC2473"/>
    <w:rsid w:val="3DD70F68"/>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EB1C97"/>
    <w:rsid w:val="41431AD5"/>
    <w:rsid w:val="414B3C0F"/>
    <w:rsid w:val="417C1CE7"/>
    <w:rsid w:val="41900018"/>
    <w:rsid w:val="41944406"/>
    <w:rsid w:val="41CE128F"/>
    <w:rsid w:val="41DA6F12"/>
    <w:rsid w:val="42171FB1"/>
    <w:rsid w:val="42C10D7B"/>
    <w:rsid w:val="42DB0EA3"/>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7FE734A"/>
    <w:rsid w:val="48387FB0"/>
    <w:rsid w:val="483A6114"/>
    <w:rsid w:val="48616AD9"/>
    <w:rsid w:val="488727DB"/>
    <w:rsid w:val="48B82268"/>
    <w:rsid w:val="48C354B3"/>
    <w:rsid w:val="493D58B5"/>
    <w:rsid w:val="494A7A04"/>
    <w:rsid w:val="49605EF7"/>
    <w:rsid w:val="49B735E9"/>
    <w:rsid w:val="4A0A26D2"/>
    <w:rsid w:val="4A2019A5"/>
    <w:rsid w:val="4A241A0B"/>
    <w:rsid w:val="4A5C2BD7"/>
    <w:rsid w:val="4A7B2875"/>
    <w:rsid w:val="4A934476"/>
    <w:rsid w:val="4AAA220A"/>
    <w:rsid w:val="4AE12E67"/>
    <w:rsid w:val="4B4C0111"/>
    <w:rsid w:val="4B8553A9"/>
    <w:rsid w:val="4BDB3730"/>
    <w:rsid w:val="4C200F7A"/>
    <w:rsid w:val="4CEE3180"/>
    <w:rsid w:val="4D0F4AF6"/>
    <w:rsid w:val="4D8102A9"/>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CD6803"/>
    <w:rsid w:val="52F647F7"/>
    <w:rsid w:val="52F92565"/>
    <w:rsid w:val="53AE735E"/>
    <w:rsid w:val="53D03877"/>
    <w:rsid w:val="542F73CA"/>
    <w:rsid w:val="5430786D"/>
    <w:rsid w:val="545A1D2A"/>
    <w:rsid w:val="54C811C0"/>
    <w:rsid w:val="556A442D"/>
    <w:rsid w:val="556A5517"/>
    <w:rsid w:val="55DA564E"/>
    <w:rsid w:val="55E816A3"/>
    <w:rsid w:val="5604127D"/>
    <w:rsid w:val="56044E6C"/>
    <w:rsid w:val="56166703"/>
    <w:rsid w:val="56510474"/>
    <w:rsid w:val="56644B33"/>
    <w:rsid w:val="56861525"/>
    <w:rsid w:val="56A93273"/>
    <w:rsid w:val="56BD550C"/>
    <w:rsid w:val="56E07045"/>
    <w:rsid w:val="56FF28AF"/>
    <w:rsid w:val="5730542B"/>
    <w:rsid w:val="57540E7D"/>
    <w:rsid w:val="577B4878"/>
    <w:rsid w:val="57926973"/>
    <w:rsid w:val="57B020AB"/>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6447B4"/>
    <w:rsid w:val="5E7E6D93"/>
    <w:rsid w:val="5E82459B"/>
    <w:rsid w:val="5EB9259D"/>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CF7221"/>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7364DE"/>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610B5"/>
    <w:rsid w:val="6FDD069F"/>
    <w:rsid w:val="702B4D16"/>
    <w:rsid w:val="70A526C8"/>
    <w:rsid w:val="70AA6621"/>
    <w:rsid w:val="7111480F"/>
    <w:rsid w:val="71261F49"/>
    <w:rsid w:val="71291FAF"/>
    <w:rsid w:val="712E6956"/>
    <w:rsid w:val="71473612"/>
    <w:rsid w:val="71504F32"/>
    <w:rsid w:val="7152309F"/>
    <w:rsid w:val="718F7F65"/>
    <w:rsid w:val="71DA6992"/>
    <w:rsid w:val="727B234E"/>
    <w:rsid w:val="728A58B0"/>
    <w:rsid w:val="72B3286C"/>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137242"/>
    <w:rsid w:val="7A6242BF"/>
    <w:rsid w:val="7A794513"/>
    <w:rsid w:val="7A7F5F76"/>
    <w:rsid w:val="7A983868"/>
    <w:rsid w:val="7A9B3811"/>
    <w:rsid w:val="7AA11F28"/>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A10E07"/>
    <w:rsid w:val="7EE24272"/>
    <w:rsid w:val="7EEA6053"/>
    <w:rsid w:val="7F487C04"/>
    <w:rsid w:val="7F611CBA"/>
    <w:rsid w:val="7F633726"/>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4757</Words>
  <Characters>5375</Characters>
  <Lines>0</Lines>
  <Paragraphs>0</Paragraphs>
  <TotalTime>2</TotalTime>
  <ScaleCrop>false</ScaleCrop>
  <LinksUpToDate>false</LinksUpToDate>
  <CharactersWithSpaces>5386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2024-11-28T11:23:00Z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D624B15633CD43C8BF9435464A96BF70</vt:lpwstr>
  </property>
</Properties>
</file>