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沙湾市第七小学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 xml:space="preserve"> 2023年度部门决算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公开说明</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二、机构设置</w:t>
      </w:r>
      <w:r>
        <w:rPr>
          <w:rFonts w:hint="eastAsia" w:ascii="仿宋_GB2312" w:hAnsi="仿宋_GB2312" w:eastAsia="仿宋_GB2312" w:cs="仿宋_GB2312"/>
          <w:color w:val="auto"/>
          <w:sz w:val="32"/>
          <w:szCs w:val="32"/>
          <w:highlight w:val="none"/>
          <w:lang w:eastAsia="zh-CN"/>
        </w:rPr>
        <w:t>及人员</w:t>
      </w:r>
      <w:r>
        <w:rPr>
          <w:rFonts w:hint="eastAsia" w:ascii="仿宋_GB2312" w:hAnsi="仿宋_GB2312" w:eastAsia="仿宋_GB2312" w:cs="仿宋_GB2312"/>
          <w:color w:val="auto"/>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w:t>
      </w:r>
      <w:r>
        <w:rPr>
          <w:rFonts w:hint="eastAsia" w:ascii="仿宋_GB2312" w:hAnsi="仿宋_GB2312" w:eastAsia="仿宋_GB2312" w:cs="仿宋_GB2312"/>
          <w:color w:val="auto"/>
          <w:sz w:val="32"/>
          <w:szCs w:val="32"/>
          <w:highlight w:val="none"/>
        </w:rPr>
        <w:t>收入</w:t>
      </w:r>
      <w:r>
        <w:rPr>
          <w:rFonts w:hint="eastAsia" w:ascii="仿宋_GB2312" w:hAnsi="仿宋_GB2312" w:eastAsia="仿宋_GB2312" w:cs="仿宋_GB2312"/>
          <w:color w:val="auto"/>
          <w:sz w:val="32"/>
          <w:szCs w:val="32"/>
          <w:highlight w:val="none"/>
          <w:lang w:eastAsia="zh-CN"/>
        </w:rPr>
        <w:t>决算</w:t>
      </w:r>
      <w:r>
        <w:rPr>
          <w:rFonts w:hint="eastAsia" w:ascii="仿宋_GB2312" w:hAnsi="仿宋_GB2312" w:eastAsia="仿宋_GB2312" w:cs="仿宋_GB2312"/>
          <w:color w:val="auto"/>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七</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财政拨款</w:t>
      </w:r>
      <w:r>
        <w:rPr>
          <w:rFonts w:hint="eastAsia" w:ascii="仿宋_GB2312" w:hAnsi="仿宋_GB2312" w:eastAsia="仿宋_GB2312" w:cs="仿宋_GB2312"/>
          <w:color w:val="auto"/>
          <w:sz w:val="32"/>
          <w:szCs w:val="32"/>
          <w:highlight w:val="none"/>
        </w:rPr>
        <w:t>“三公”经费支出</w:t>
      </w:r>
      <w:r>
        <w:rPr>
          <w:rFonts w:hint="eastAsia" w:ascii="仿宋_GB2312" w:hAnsi="仿宋_GB2312" w:eastAsia="仿宋_GB2312" w:cs="仿宋_GB2312"/>
          <w:color w:val="auto"/>
          <w:sz w:val="32"/>
          <w:szCs w:val="32"/>
          <w:highlight w:val="none"/>
          <w:lang w:eastAsia="zh-CN"/>
        </w:rPr>
        <w:t>决算</w:t>
      </w:r>
      <w:r>
        <w:rPr>
          <w:rFonts w:hint="eastAsia" w:ascii="仿宋_GB2312" w:hAnsi="仿宋_GB2312" w:eastAsia="仿宋_GB2312" w:cs="仿宋_GB2312"/>
          <w:color w:val="auto"/>
          <w:sz w:val="32"/>
          <w:szCs w:val="32"/>
          <w:highlight w:val="none"/>
        </w:rPr>
        <w:t>情况</w:t>
      </w:r>
      <w:r>
        <w:rPr>
          <w:rFonts w:hint="eastAsia" w:ascii="仿宋_GB2312" w:hAnsi="仿宋_GB2312" w:eastAsia="仿宋_GB2312" w:cs="仿宋_GB2312"/>
          <w:color w:val="auto"/>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val="en-US" w:eastAsia="zh-CN"/>
        </w:rPr>
        <w:t>八、</w:t>
      </w:r>
      <w:r>
        <w:rPr>
          <w:rFonts w:hint="eastAsia" w:ascii="仿宋_GB2312" w:hAnsi="仿宋_GB2312" w:eastAsia="仿宋_GB2312" w:cs="仿宋_GB2312"/>
          <w:color w:val="auto"/>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val="en-US" w:eastAsia="zh-CN"/>
        </w:rPr>
        <w:t>九</w:t>
      </w:r>
      <w:r>
        <w:rPr>
          <w:rFonts w:hint="eastAsia" w:ascii="仿宋_GB2312" w:hAnsi="仿宋_GB2312" w:eastAsia="仿宋_GB2312" w:cs="仿宋_GB2312"/>
          <w:color w:val="auto"/>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color w:val="auto"/>
          <w:sz w:val="32"/>
          <w:szCs w:val="32"/>
          <w:highlight w:val="none"/>
        </w:rPr>
        <w:t>、其他重要事项的情况</w:t>
      </w:r>
      <w:r>
        <w:rPr>
          <w:rFonts w:hint="eastAsia" w:ascii="仿宋_GB2312" w:hAnsi="仿宋_GB2312" w:eastAsia="仿宋_GB2312" w:cs="仿宋_GB2312"/>
          <w:color w:val="auto"/>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_Toc7643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val="en-US" w:eastAsia="zh-CN"/>
        </w:rPr>
        <w:t>八、</w:t>
      </w:r>
      <w:r>
        <w:rPr>
          <w:rFonts w:hint="eastAsia" w:ascii="仿宋_GB2312" w:hAnsi="仿宋_GB2312" w:eastAsia="仿宋_GB2312" w:cs="仿宋_GB2312"/>
          <w:color w:val="auto"/>
          <w:sz w:val="32"/>
          <w:szCs w:val="32"/>
          <w:highlight w:val="none"/>
        </w:rPr>
        <w:t>《政府性基金预算财政拨款收入支出决算表》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九</w:t>
      </w:r>
      <w:r>
        <w:rPr>
          <w:rFonts w:hint="eastAsia" w:ascii="仿宋_GB2312" w:hAnsi="仿宋_GB2312" w:eastAsia="仿宋_GB2312" w:cs="仿宋_GB2312"/>
          <w:color w:val="auto"/>
          <w:sz w:val="32"/>
          <w:szCs w:val="32"/>
          <w:highlight w:val="none"/>
          <w:lang w:eastAsia="zh-CN"/>
        </w:rPr>
        <w:t>、《国有资本经营</w:t>
      </w:r>
      <w:r>
        <w:rPr>
          <w:rFonts w:hint="eastAsia" w:ascii="仿宋_GB2312" w:hAnsi="仿宋_GB2312" w:eastAsia="仿宋_GB2312" w:cs="仿宋_GB2312"/>
          <w:color w:val="auto"/>
          <w:sz w:val="32"/>
          <w:szCs w:val="32"/>
          <w:highlight w:val="none"/>
        </w:rPr>
        <w:t>预算财政拨</w:t>
      </w:r>
      <w:r>
        <w:rPr>
          <w:rFonts w:hint="eastAsia" w:ascii="仿宋_GB2312" w:hAnsi="仿宋_GB2312" w:eastAsia="仿宋_GB2312" w:cs="仿宋_GB2312"/>
          <w:bCs/>
          <w:color w:val="auto"/>
          <w:kern w:val="0"/>
          <w:sz w:val="32"/>
          <w:szCs w:val="32"/>
          <w:highlight w:val="none"/>
        </w:rPr>
        <w:t>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bookmarkStart w:id="2" w:name="_Toc30567"/>
      <w:bookmarkStart w:id="3" w:name="_Toc30738"/>
      <w:r>
        <w:rPr>
          <w:rFonts w:hint="eastAsia" w:ascii="黑体" w:hAnsi="黑体" w:eastAsia="黑体"/>
          <w:color w:val="auto"/>
          <w:sz w:val="32"/>
          <w:szCs w:val="32"/>
          <w:highlight w:val="none"/>
        </w:rPr>
        <w:t>一、主要职能</w:t>
      </w:r>
      <w:bookmarkEnd w:id="2"/>
      <w:bookmarkEnd w:id="3"/>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认真贯彻执行党的教育方针，根据我校的特点，结合实际出发，以国家拨付的教育经费为主要资金来源，妥善科学的管理使用各项资金，更好地为我校教育教学工作服务。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沙湾市第七小学2023年度，实有人数</w:t>
      </w:r>
      <w:r>
        <w:rPr>
          <w:rFonts w:hint="eastAsia" w:ascii="仿宋_GB2312" w:eastAsia="仿宋_GB2312"/>
          <w:color w:val="auto"/>
          <w:sz w:val="32"/>
          <w:szCs w:val="32"/>
          <w:highlight w:val="none"/>
          <w:lang w:val="zh-CN" w:eastAsia="zh-CN"/>
        </w:rPr>
        <w:t>92</w:t>
      </w:r>
      <w:r>
        <w:rPr>
          <w:rFonts w:hint="eastAsia" w:ascii="仿宋_GB2312" w:eastAsia="仿宋_GB2312"/>
          <w:color w:val="auto"/>
          <w:sz w:val="32"/>
          <w:szCs w:val="32"/>
          <w:highlight w:val="none"/>
          <w:lang w:val="en-US" w:eastAsia="zh-CN"/>
        </w:rPr>
        <w:t>人，其中：在职人员</w:t>
      </w:r>
      <w:r>
        <w:rPr>
          <w:rFonts w:hint="eastAsia" w:ascii="仿宋_GB2312" w:eastAsia="仿宋_GB2312"/>
          <w:color w:val="auto"/>
          <w:sz w:val="32"/>
          <w:szCs w:val="32"/>
          <w:highlight w:val="none"/>
          <w:lang w:val="zh-CN" w:eastAsia="zh-CN"/>
        </w:rPr>
        <w:t>92</w:t>
      </w:r>
      <w:r>
        <w:rPr>
          <w:rFonts w:hint="eastAsia" w:ascii="仿宋_GB2312" w:eastAsia="仿宋_GB2312"/>
          <w:color w:val="auto"/>
          <w:sz w:val="32"/>
          <w:szCs w:val="32"/>
          <w:highlight w:val="none"/>
          <w:lang w:val="en-US" w:eastAsia="zh-CN"/>
        </w:rPr>
        <w:t>人，离休人员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6" w:name="_Toc29374"/>
      <w:bookmarkStart w:id="7" w:name="_Toc3092"/>
      <w:r>
        <w:rPr>
          <w:rFonts w:hint="eastAsia" w:ascii="仿宋_GB2312" w:eastAsia="仿宋_GB2312"/>
          <w:color w:val="auto"/>
          <w:sz w:val="32"/>
          <w:szCs w:val="32"/>
          <w:highlight w:val="none"/>
          <w:lang w:val="en-US" w:eastAsia="zh-CN"/>
        </w:rPr>
        <w:t>单位无下属预算单位，下设9个处室，分别是：行政组、艺体组、英语组、一年级组、二年级组、七年级组、四年级组、五年级组、六年级组。</w:t>
      </w:r>
    </w:p>
    <w:p>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bookmarkStart w:id="8" w:name="_Toc12566"/>
      <w:bookmarkStart w:id="9" w:name="_Toc25314"/>
      <w:r>
        <w:rPr>
          <w:rFonts w:hint="eastAsia" w:ascii="黑体" w:hAnsi="黑体" w:eastAsia="黑体"/>
          <w:color w:val="auto"/>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1,932.18万元，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1,932.18万元，使用非财政拨款结余0.00万元，年初结转和结余0.00万元。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1,932.18万元，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1,932.18万元，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增加180.89万元</w:t>
      </w:r>
      <w:r>
        <w:rPr>
          <w:rFonts w:hint="eastAsia" w:ascii="仿宋_GB2312" w:eastAsia="仿宋_GB2312"/>
          <w:color w:val="auto"/>
          <w:spacing w:val="0"/>
          <w:sz w:val="32"/>
          <w:szCs w:val="32"/>
          <w:highlight w:val="none"/>
          <w:lang w:eastAsia="zh-CN"/>
        </w:rPr>
        <w:t>，增长10.33%，主要原因是：本年度有人员调入，人员工资增资、补发</w:t>
      </w:r>
      <w:r>
        <w:rPr>
          <w:rFonts w:hint="eastAsia" w:ascii="仿宋_GB2312" w:eastAsia="仿宋_GB2312"/>
          <w:color w:val="auto"/>
          <w:spacing w:val="0"/>
          <w:sz w:val="32"/>
          <w:szCs w:val="32"/>
          <w:highlight w:val="none"/>
          <w:lang w:val="en-US" w:eastAsia="zh-CN"/>
        </w:rPr>
        <w:t>2020年绩效工资；财政拨付新建教学楼和操场看台等工程款。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0" w:name="_Toc12142"/>
      <w:bookmarkStart w:id="11" w:name="_Toc1979"/>
      <w:r>
        <w:rPr>
          <w:rFonts w:hint="eastAsia" w:ascii="黑体" w:hAnsi="黑体" w:eastAsia="黑体" w:cs="宋体"/>
          <w:bCs/>
          <w:color w:val="auto"/>
          <w:kern w:val="0"/>
          <w:sz w:val="32"/>
          <w:szCs w:val="32"/>
          <w:highlight w:val="none"/>
          <w:lang w:eastAsia="zh-CN"/>
        </w:rPr>
        <w:t>二、收入决算情况说明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1,932.18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1,932.18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本年支出1,932.18万元，其中：基本支出1,472.97万元，占76.23%；项目支出459.21万元，占23.77%；上缴上级支出0.00万元，占0.00%；经营支出0.00万元，占0.00%；对附属单位补助支出0.00万元，占0.00%。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1,932.18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1,932.18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1,932.18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1,932.18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w:t>
      </w:r>
      <w:r>
        <w:rPr>
          <w:rFonts w:hint="eastAsia" w:ascii="仿宋_GB2312" w:eastAsia="仿宋_GB2312"/>
          <w:color w:val="auto"/>
          <w:spacing w:val="0"/>
          <w:sz w:val="32"/>
          <w:szCs w:val="32"/>
          <w:highlight w:val="none"/>
          <w:lang w:val="en-US" w:eastAsia="zh-CN"/>
        </w:rPr>
        <w:t>支出总体与上年相比,</w:t>
      </w:r>
      <w:r>
        <w:rPr>
          <w:rFonts w:hint="eastAsia" w:ascii="仿宋_GB2312" w:eastAsia="仿宋_GB2312"/>
          <w:color w:val="auto"/>
          <w:spacing w:val="0"/>
          <w:sz w:val="32"/>
          <w:szCs w:val="32"/>
          <w:highlight w:val="none"/>
          <w:lang w:val="zh-CN" w:eastAsia="zh-CN"/>
        </w:rPr>
        <w:t>增加180.89万元</w:t>
      </w:r>
      <w:r>
        <w:rPr>
          <w:rFonts w:hint="eastAsia" w:ascii="仿宋_GB2312" w:eastAsia="仿宋_GB2312"/>
          <w:color w:val="auto"/>
          <w:spacing w:val="0"/>
          <w:sz w:val="32"/>
          <w:szCs w:val="32"/>
          <w:highlight w:val="none"/>
          <w:lang w:val="en-US" w:eastAsia="zh-CN"/>
        </w:rPr>
        <w:t>，增长10.33%,主要原因是：</w:t>
      </w:r>
      <w:r>
        <w:rPr>
          <w:rFonts w:hint="eastAsia" w:ascii="仿宋_GB2312" w:eastAsia="仿宋_GB2312"/>
          <w:color w:val="auto"/>
          <w:spacing w:val="0"/>
          <w:sz w:val="32"/>
          <w:szCs w:val="32"/>
          <w:highlight w:val="none"/>
          <w:lang w:eastAsia="zh-CN"/>
        </w:rPr>
        <w:t>本年度有人员调入，人员工资增资、补发</w:t>
      </w:r>
      <w:r>
        <w:rPr>
          <w:rFonts w:hint="eastAsia" w:ascii="仿宋_GB2312" w:eastAsia="仿宋_GB2312"/>
          <w:color w:val="auto"/>
          <w:spacing w:val="0"/>
          <w:sz w:val="32"/>
          <w:szCs w:val="32"/>
          <w:highlight w:val="none"/>
          <w:lang w:val="en-US" w:eastAsia="zh-CN"/>
        </w:rPr>
        <w:t>2020年绩效工资；财政拨付新建教学楼和操场看台等工程款。与年初预算相比，年初预算数</w:t>
      </w:r>
      <w:r>
        <w:rPr>
          <w:rFonts w:hint="eastAsia" w:ascii="仿宋_GB2312" w:eastAsia="仿宋_GB2312"/>
          <w:color w:val="auto"/>
          <w:spacing w:val="0"/>
          <w:sz w:val="32"/>
          <w:szCs w:val="32"/>
          <w:highlight w:val="none"/>
          <w:lang w:val="zh-CN" w:eastAsia="zh-CN"/>
        </w:rPr>
        <w:t>1,649.83</w:t>
      </w:r>
      <w:r>
        <w:rPr>
          <w:rFonts w:hint="eastAsia" w:ascii="仿宋_GB2312" w:eastAsia="仿宋_GB2312"/>
          <w:color w:val="auto"/>
          <w:spacing w:val="0"/>
          <w:sz w:val="32"/>
          <w:szCs w:val="32"/>
          <w:highlight w:val="none"/>
          <w:lang w:val="en-US" w:eastAsia="zh-CN"/>
        </w:rPr>
        <w:t>万元，决算数</w:t>
      </w:r>
      <w:r>
        <w:rPr>
          <w:rFonts w:hint="eastAsia" w:ascii="仿宋_GB2312" w:eastAsia="仿宋_GB2312"/>
          <w:color w:val="auto"/>
          <w:spacing w:val="0"/>
          <w:sz w:val="32"/>
          <w:szCs w:val="32"/>
          <w:highlight w:val="none"/>
          <w:lang w:val="zh-CN" w:eastAsia="zh-CN"/>
        </w:rPr>
        <w:t>1,932.18</w:t>
      </w:r>
      <w:r>
        <w:rPr>
          <w:rFonts w:hint="eastAsia" w:ascii="仿宋_GB2312" w:eastAsia="仿宋_GB2312"/>
          <w:color w:val="auto"/>
          <w:spacing w:val="0"/>
          <w:sz w:val="32"/>
          <w:szCs w:val="32"/>
          <w:highlight w:val="none"/>
          <w:lang w:eastAsia="zh-CN"/>
        </w:rPr>
        <w:t>万元，预决算差异率17.11%，主要原因是：年</w:t>
      </w:r>
      <w:r>
        <w:rPr>
          <w:rFonts w:hint="eastAsia" w:ascii="仿宋_GB2312" w:eastAsia="仿宋_GB2312"/>
          <w:color w:val="auto"/>
          <w:spacing w:val="0"/>
          <w:sz w:val="32"/>
          <w:szCs w:val="32"/>
          <w:highlight w:val="none"/>
          <w:lang w:val="en-US" w:eastAsia="zh-CN"/>
        </w:rPr>
        <w:t>中追加新增</w:t>
      </w:r>
      <w:r>
        <w:rPr>
          <w:rFonts w:hint="eastAsia" w:ascii="仿宋_GB2312" w:eastAsia="仿宋_GB2312"/>
          <w:color w:val="auto"/>
          <w:spacing w:val="0"/>
          <w:sz w:val="32"/>
          <w:szCs w:val="32"/>
          <w:highlight w:val="none"/>
          <w:lang w:eastAsia="zh-CN"/>
        </w:rPr>
        <w:t>人员</w:t>
      </w:r>
      <w:r>
        <w:rPr>
          <w:rFonts w:hint="eastAsia" w:ascii="仿宋_GB2312" w:eastAsia="仿宋_GB2312"/>
          <w:color w:val="auto"/>
          <w:spacing w:val="0"/>
          <w:sz w:val="32"/>
          <w:szCs w:val="32"/>
          <w:highlight w:val="none"/>
          <w:lang w:val="en-US" w:eastAsia="zh-CN"/>
        </w:rPr>
        <w:t>工资</w:t>
      </w:r>
      <w:r>
        <w:rPr>
          <w:rFonts w:hint="eastAsia" w:ascii="仿宋_GB2312" w:eastAsia="仿宋_GB2312"/>
          <w:color w:val="auto"/>
          <w:spacing w:val="0"/>
          <w:sz w:val="32"/>
          <w:szCs w:val="32"/>
          <w:highlight w:val="none"/>
          <w:lang w:eastAsia="zh-CN"/>
        </w:rPr>
        <w:t>，人员工资增资、补发</w:t>
      </w:r>
      <w:r>
        <w:rPr>
          <w:rFonts w:hint="eastAsia" w:ascii="仿宋_GB2312" w:eastAsia="仿宋_GB2312"/>
          <w:color w:val="auto"/>
          <w:spacing w:val="0"/>
          <w:sz w:val="32"/>
          <w:szCs w:val="32"/>
          <w:highlight w:val="none"/>
          <w:lang w:val="en-US" w:eastAsia="zh-CN"/>
        </w:rPr>
        <w:t>2020年绩效工资；财政拨付新建教学楼和操场看台等工程款。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2023年度一般公共预算财政拨款支出1,932.18万元，占本年支出合计的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增加180.89万元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增长10.33%,</w:t>
      </w:r>
      <w:r>
        <w:rPr>
          <w:rFonts w:hint="eastAsia" w:ascii="仿宋_GB2312" w:eastAsia="仿宋_GB2312"/>
          <w:color w:val="auto"/>
          <w:spacing w:val="0"/>
          <w:sz w:val="32"/>
          <w:szCs w:val="32"/>
          <w:highlight w:val="none"/>
          <w:lang w:eastAsia="zh-CN"/>
        </w:rPr>
        <w:t>主要原因是：财政拨付新建教学楼和操场看台等工程款项及单位人员调入。与年初预算相比，年初预算数</w:t>
      </w:r>
      <w:r>
        <w:rPr>
          <w:rFonts w:hint="eastAsia" w:ascii="仿宋_GB2312" w:eastAsia="仿宋_GB2312"/>
          <w:color w:val="auto"/>
          <w:spacing w:val="0"/>
          <w:sz w:val="32"/>
          <w:szCs w:val="32"/>
          <w:highlight w:val="none"/>
          <w:lang w:val="zh-CN" w:eastAsia="zh-CN"/>
        </w:rPr>
        <w:t>1,649.83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1,932.18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17.11%</w:t>
      </w:r>
      <w:r>
        <w:rPr>
          <w:rFonts w:hint="eastAsia" w:ascii="仿宋_GB2312" w:eastAsia="仿宋_GB2312"/>
          <w:color w:val="auto"/>
          <w:spacing w:val="0"/>
          <w:sz w:val="32"/>
          <w:szCs w:val="32"/>
          <w:highlight w:val="none"/>
          <w:lang w:eastAsia="zh-CN"/>
        </w:rPr>
        <w:t>，主要原因是：年</w:t>
      </w:r>
      <w:r>
        <w:rPr>
          <w:rFonts w:hint="eastAsia" w:ascii="仿宋_GB2312" w:eastAsia="仿宋_GB2312"/>
          <w:color w:val="auto"/>
          <w:spacing w:val="0"/>
          <w:sz w:val="32"/>
          <w:szCs w:val="32"/>
          <w:highlight w:val="none"/>
          <w:lang w:val="en-US" w:eastAsia="zh-CN"/>
        </w:rPr>
        <w:t>中追加新增</w:t>
      </w:r>
      <w:r>
        <w:rPr>
          <w:rFonts w:hint="eastAsia" w:ascii="仿宋_GB2312" w:eastAsia="仿宋_GB2312"/>
          <w:color w:val="auto"/>
          <w:spacing w:val="0"/>
          <w:sz w:val="32"/>
          <w:szCs w:val="32"/>
          <w:highlight w:val="none"/>
          <w:lang w:eastAsia="zh-CN"/>
        </w:rPr>
        <w:t>人员</w:t>
      </w:r>
      <w:r>
        <w:rPr>
          <w:rFonts w:hint="eastAsia" w:ascii="仿宋_GB2312" w:eastAsia="仿宋_GB2312"/>
          <w:color w:val="auto"/>
          <w:spacing w:val="0"/>
          <w:sz w:val="32"/>
          <w:szCs w:val="32"/>
          <w:highlight w:val="none"/>
          <w:lang w:val="en-US" w:eastAsia="zh-CN"/>
        </w:rPr>
        <w:t>工资</w:t>
      </w:r>
      <w:r>
        <w:rPr>
          <w:rFonts w:hint="eastAsia" w:ascii="仿宋_GB2312" w:eastAsia="仿宋_GB2312"/>
          <w:color w:val="auto"/>
          <w:spacing w:val="0"/>
          <w:sz w:val="32"/>
          <w:szCs w:val="32"/>
          <w:highlight w:val="none"/>
          <w:lang w:eastAsia="zh-CN"/>
        </w:rPr>
        <w:t>，人员工资增资、补发</w:t>
      </w:r>
      <w:r>
        <w:rPr>
          <w:rFonts w:hint="eastAsia" w:ascii="仿宋_GB2312" w:eastAsia="仿宋_GB2312"/>
          <w:color w:val="auto"/>
          <w:spacing w:val="0"/>
          <w:sz w:val="32"/>
          <w:szCs w:val="32"/>
          <w:highlight w:val="none"/>
          <w:lang w:val="en-US" w:eastAsia="zh-CN"/>
        </w:rPr>
        <w:t>2020年绩效工资；财政拨付新建教学楼和操场看台等工程款。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10" w:leftChars="0" w:firstLine="640" w:firstLineChars="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1.教育支出（类）</w:t>
      </w:r>
      <w:r>
        <w:rPr>
          <w:rFonts w:hint="eastAsia" w:ascii="仿宋_GB2312" w:hAnsi="Times New Roman" w:eastAsia="仿宋_GB2312" w:cs="Times New Roman"/>
          <w:color w:val="auto"/>
          <w:spacing w:val="0"/>
          <w:kern w:val="2"/>
          <w:sz w:val="32"/>
          <w:szCs w:val="32"/>
          <w:highlight w:val="none"/>
          <w:lang w:val="zh-CN" w:eastAsia="zh-CN" w:bidi="ar-SA"/>
        </w:rPr>
        <w:t>1,932.18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72.00万元，比上年决算减少26.00万元，下降26.53%，主要原因是：上年度单位实施了薄改项目资金，2023年度未安排此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2.教育支出（类）普通教育（款）小学教育（项）:支出决算数为1,860.18万元，比上年决算增加381.89万元，增长25.83%，主要原因是：财政拨付新建教学楼和操场看台等工程款及人员调入。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教育费附加安排的支出（款）农村中小学校舍建设（项）:支出决算数为0.00万元，比上年决算减少175.00万元，下降100%，主要原因是：［2019］59号义务教育薄弱环节改善与能力提升项目资金-七小教学楼项目资金已于2022年支付完成</w:t>
      </w:r>
      <w:r>
        <w:rPr>
          <w:rFonts w:hint="eastAsia" w:ascii="仿宋_GB2312" w:hAnsi="仿宋_GB2312" w:eastAsia="仿宋_GB2312" w:cs="仿宋_GB2312"/>
          <w:color w:val="auto"/>
          <w:kern w:val="2"/>
          <w:sz w:val="32"/>
          <w:szCs w:val="32"/>
          <w:highlight w:val="none"/>
          <w:lang w:val="zh-CN" w:eastAsia="zh-CN" w:bidi="ar-SA"/>
        </w:rPr>
        <w:t>。本年度无此</w:t>
      </w:r>
      <w:r>
        <w:rPr>
          <w:rFonts w:hint="eastAsia" w:ascii="仿宋_GB2312" w:hAnsi="仿宋_GB2312" w:eastAsia="仿宋_GB2312" w:cs="仿宋_GB2312"/>
          <w:color w:val="auto"/>
          <w:kern w:val="2"/>
          <w:sz w:val="32"/>
          <w:szCs w:val="32"/>
          <w:highlight w:val="none"/>
          <w:lang w:val="en-US" w:eastAsia="zh-CN" w:bidi="ar-SA"/>
        </w:rPr>
        <w:t>项目资金。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2023年度一般公共预算财政拨款基本支出1,472.97万元，其中：人员经费1,468.63万元，包括：</w:t>
      </w:r>
      <w:r>
        <w:rPr>
          <w:rFonts w:hint="eastAsia" w:ascii="仿宋_GB2312" w:eastAsia="仿宋_GB2312"/>
          <w:color w:val="auto"/>
          <w:spacing w:val="0"/>
          <w:sz w:val="32"/>
          <w:szCs w:val="32"/>
          <w:highlight w:val="none"/>
          <w:lang w:val="en-US" w:eastAsia="zh-CN"/>
        </w:rPr>
        <w:t>基本工资、津贴补贴、奖金、绩效工资、机关事业单位基本养老保险缴费、职工基本医疗保险缴费、其他社会保障缴费、住房公积金、其他工资福利支出、奖励金。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公用经费4.33万元，包括：</w:t>
      </w:r>
      <w:r>
        <w:rPr>
          <w:rFonts w:hint="eastAsia" w:ascii="仿宋_GB2312" w:eastAsia="仿宋_GB2312"/>
          <w:color w:val="auto"/>
          <w:spacing w:val="0"/>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七、财政拨款“三公”经费支出决算情况说明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主要原因是：本单位无“三公”经费支出。其中：因公出国（境）费支出0.00万元，占0.00%，比上年增加0.00万元，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主要原因是：本单位无因公出国（境）费支出；公务用车购置及运行维护费支出0.00万元，占0.00%，比上年增加0.00万元，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主要原因是：本单位无公务用车购置及运行维护费支出；公务接待费支出0.00万元，占0.00%，比上年增加0.00万元，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w:t>
      </w:r>
      <w:r>
        <w:rPr>
          <w:rFonts w:hint="eastAsia" w:ascii="仿宋_GB2312" w:eastAsia="仿宋_GB2312"/>
          <w:color w:val="auto"/>
          <w:sz w:val="32"/>
          <w:szCs w:val="32"/>
          <w:highlight w:val="none"/>
          <w:lang w:val="en-US" w:eastAsia="zh-CN"/>
        </w:rPr>
        <w:t>包括本单位</w:t>
      </w:r>
      <w:r>
        <w:rPr>
          <w:rFonts w:hint="eastAsia" w:ascii="仿宋_GB2312" w:eastAsia="仿宋_GB2312"/>
          <w:color w:val="auto"/>
          <w:sz w:val="32"/>
          <w:szCs w:val="32"/>
          <w:highlight w:val="none"/>
          <w:lang w:val="zh-CN" w:eastAsia="zh-CN"/>
        </w:rPr>
        <w:t>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w:t>
      </w:r>
      <w:r>
        <w:rPr>
          <w:rFonts w:hint="eastAsia" w:ascii="仿宋_GB2312" w:eastAsia="仿宋_GB2312"/>
          <w:color w:val="auto"/>
          <w:sz w:val="32"/>
          <w:szCs w:val="32"/>
          <w:highlight w:val="none"/>
          <w:lang w:val="en-US" w:eastAsia="zh-CN"/>
        </w:rPr>
        <w:t>包括本单位</w:t>
      </w:r>
      <w:r>
        <w:rPr>
          <w:rFonts w:hint="eastAsia" w:ascii="仿宋_GB2312" w:eastAsia="仿宋_GB2312"/>
          <w:color w:val="auto"/>
          <w:sz w:val="32"/>
          <w:szCs w:val="32"/>
          <w:highlight w:val="none"/>
          <w:lang w:val="zh-CN" w:eastAsia="zh-CN"/>
        </w:rPr>
        <w:t>无公务用车购置及运行维护费。公务用车购置数0辆，公务用车保有量0辆。国有资产占用情况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w:t>
      </w:r>
      <w:r>
        <w:rPr>
          <w:rFonts w:hint="eastAsia" w:ascii="仿宋_GB2312" w:eastAsia="仿宋_GB2312"/>
          <w:color w:val="auto"/>
          <w:sz w:val="32"/>
          <w:szCs w:val="32"/>
          <w:highlight w:val="none"/>
          <w:lang w:val="en-US" w:eastAsia="zh-CN"/>
        </w:rPr>
        <w:t>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w:t>
      </w:r>
      <w:r>
        <w:rPr>
          <w:rFonts w:hint="eastAsia" w:ascii="仿宋_GB2312" w:eastAsia="仿宋_GB2312"/>
          <w:color w:val="auto"/>
          <w:sz w:val="32"/>
          <w:szCs w:val="32"/>
          <w:highlight w:val="none"/>
          <w:lang w:val="en-US" w:eastAsia="zh-CN"/>
        </w:rPr>
        <w:t>包括本单位</w:t>
      </w:r>
      <w:r>
        <w:rPr>
          <w:rFonts w:hint="eastAsia" w:ascii="仿宋_GB2312" w:eastAsia="仿宋_GB2312"/>
          <w:color w:val="auto"/>
          <w:sz w:val="32"/>
          <w:szCs w:val="32"/>
          <w:highlight w:val="none"/>
          <w:lang w:val="zh-CN" w:eastAsia="zh-CN"/>
        </w:rPr>
        <w:t>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预算数0.00万元，决算数0.00万元，预决算差异率0.00%，主要原因是：本单位未安排财政拨款“三公”经费支出，预决算无差异。其中：因公出国（境）费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0.00万元，决算数0.00万元，预决算差异率0.00%，主要原因是：本单位未安排因公出国（境）费用支出，预决算无差异；公务用车购置费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预算数0.00万元，决算数0.00万元，预决算差异率0.00%，主要原因是：本单位未安排公务用车购置费支出，预决算无差异；公务用车运行费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预算数0.00万元，决算数0.00万元，预决算差异率0.00%，主要原因是：本单位未安排公务用车运行费支出，预决算无差异；公务接待费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预算数0.00万元，决算数0.00万元，预决算差异率0.00%，主要原因是：本单位未安排公务接待费支出，预决算无差异。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十、其他重要事项的情况说明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2" w:name="_Toc13105"/>
      <w:bookmarkStart w:id="23" w:name="_Toc14519"/>
      <w:r>
        <w:rPr>
          <w:rFonts w:hint="eastAsia" w:ascii="黑体" w:hAnsi="黑体" w:eastAsia="黑体" w:cs="宋体"/>
          <w:bCs/>
          <w:color w:val="auto"/>
          <w:kern w:val="0"/>
          <w:sz w:val="32"/>
          <w:szCs w:val="32"/>
          <w:highlight w:val="none"/>
          <w:lang w:eastAsia="zh-CN"/>
        </w:rPr>
        <w:t>（一）机关运行经费支出情况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沙湾市第七小学（事业单位）公用经费支出4.33万元，</w:t>
      </w:r>
      <w:r>
        <w:rPr>
          <w:rFonts w:hint="eastAsia" w:ascii="仿宋_GB2312" w:hAnsi="仿宋_GB2312" w:eastAsia="仿宋_GB2312" w:cs="仿宋_GB2312"/>
          <w:color w:val="auto"/>
          <w:sz w:val="32"/>
          <w:szCs w:val="32"/>
          <w:highlight w:val="none"/>
          <w:lang w:val="zh-CN" w:eastAsia="zh-CN"/>
        </w:rPr>
        <w:t>比上年增加4.33万元，增长100.00%，主要原因是：本年度拨付了工会经费。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2023年度政府采购支出总额17.43万元，其中：政府采购货物支出12.08万元、政府采购工程支出2.80万元、政府采购服务支出2.56万元。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授予中小企业合同金额17.43万元，占政府采购支出总额的100.00%，其中：授予小微企业合同金额17.43万元，占政府采购支出总额的100.00%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2,552.67</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屋10,083.40平方米，价值1,719.00万元。车辆0辆，价值0.00万元，其中：副部（省）级及以上领导用车0辆、主要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w:t>
      </w:r>
      <w:r>
        <w:rPr>
          <w:rFonts w:hint="eastAsia" w:ascii="仿宋_GB2312" w:hAnsi="仿宋_GB2312" w:eastAsia="仿宋_GB2312" w:cs="仿宋_GB2312"/>
          <w:color w:val="auto"/>
          <w:sz w:val="32"/>
          <w:szCs w:val="32"/>
          <w:highlight w:val="none"/>
          <w:lang w:val="en-US" w:eastAsia="zh-CN"/>
        </w:rPr>
        <w:t>无</w:t>
      </w:r>
      <w:bookmarkStart w:id="48" w:name="_GoBack"/>
      <w:bookmarkEnd w:id="48"/>
      <w:r>
        <w:rPr>
          <w:rFonts w:hint="eastAsia" w:ascii="仿宋_GB2312" w:hAnsi="仿宋_GB2312" w:eastAsia="仿宋_GB2312" w:cs="仿宋_GB2312"/>
          <w:color w:val="auto"/>
          <w:sz w:val="32"/>
          <w:szCs w:val="32"/>
          <w:highlight w:val="none"/>
          <w:lang w:val="zh-CN" w:eastAsia="zh-CN"/>
        </w:rPr>
        <w:t>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绩效自评表</w:t>
      </w:r>
      <w:r>
        <w:rPr>
          <w:rFonts w:hint="eastAsia" w:ascii="仿宋_GB2312" w:eastAsia="仿宋_GB2312"/>
          <w:color w:val="auto"/>
          <w:sz w:val="32"/>
          <w:szCs w:val="32"/>
          <w:highlight w:val="none"/>
          <w:lang w:val="en-US" w:eastAsia="zh-CN"/>
        </w:rPr>
        <w:t>1个，全年预算总额1932.18</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实际执行总额1932.18</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val="zh-CN" w:eastAsia="zh-CN"/>
        </w:rPr>
        <w:t>个，</w:t>
      </w:r>
      <w:r>
        <w:rPr>
          <w:rFonts w:hint="eastAsia" w:ascii="仿宋_GB2312" w:eastAsia="仿宋_GB2312"/>
          <w:color w:val="auto"/>
          <w:sz w:val="32"/>
          <w:szCs w:val="32"/>
          <w:highlight w:val="none"/>
          <w:lang w:val="en-US" w:eastAsia="zh-CN"/>
        </w:rPr>
        <w:t>全年预算数459.21</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全年执行数459.21</w:t>
      </w:r>
      <w:r>
        <w:rPr>
          <w:rFonts w:hint="eastAsia" w:ascii="仿宋_GB2312" w:eastAsia="仿宋_GB2312"/>
          <w:color w:val="auto"/>
          <w:sz w:val="32"/>
          <w:szCs w:val="32"/>
          <w:highlight w:val="none"/>
          <w:lang w:val="zh-CN" w:eastAsia="zh-CN"/>
        </w:rPr>
        <w:t>万元，本单位sm项目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个，全年预算数</w:t>
      </w:r>
      <w:r>
        <w:rPr>
          <w:rFonts w:hint="eastAsia" w:ascii="仿宋_GB2312" w:eastAsia="仿宋_GB2312"/>
          <w:color w:val="auto"/>
          <w:sz w:val="32"/>
          <w:szCs w:val="32"/>
          <w:highlight w:val="none"/>
          <w:lang w:val="en-US" w:eastAsia="zh-CN"/>
        </w:rPr>
        <w:t>72</w:t>
      </w:r>
      <w:r>
        <w:rPr>
          <w:rFonts w:hint="eastAsia" w:ascii="仿宋_GB2312" w:eastAsia="仿宋_GB2312"/>
          <w:color w:val="auto"/>
          <w:sz w:val="32"/>
          <w:szCs w:val="32"/>
          <w:highlight w:val="none"/>
          <w:lang w:val="zh-CN" w:eastAsia="zh-CN"/>
        </w:rPr>
        <w:t>万元，全年执行数</w:t>
      </w:r>
      <w:r>
        <w:rPr>
          <w:rFonts w:hint="eastAsia" w:ascii="仿宋_GB2312" w:eastAsia="仿宋_GB2312"/>
          <w:color w:val="auto"/>
          <w:sz w:val="32"/>
          <w:szCs w:val="32"/>
          <w:highlight w:val="none"/>
          <w:lang w:val="en-US" w:eastAsia="zh-CN"/>
        </w:rPr>
        <w:t>72</w:t>
      </w:r>
      <w:r>
        <w:rPr>
          <w:rFonts w:hint="eastAsia" w:ascii="仿宋_GB2312" w:eastAsia="仿宋_GB2312"/>
          <w:color w:val="auto"/>
          <w:sz w:val="32"/>
          <w:szCs w:val="32"/>
          <w:highlight w:val="none"/>
          <w:lang w:val="zh-CN" w:eastAsia="zh-CN"/>
        </w:rPr>
        <w:t>万元，不予以公开。预算绩效管理取得的成效：一是本年度</w:t>
      </w:r>
      <w:r>
        <w:rPr>
          <w:rFonts w:hint="eastAsia" w:ascii="仿宋_GB2312" w:eastAsia="仿宋_GB2312"/>
          <w:color w:val="auto"/>
          <w:sz w:val="32"/>
          <w:szCs w:val="32"/>
          <w:highlight w:val="none"/>
          <w:lang w:val="en-US" w:eastAsia="zh-CN"/>
        </w:rPr>
        <w:t>各项支出均符合财政部门本年预算要求和相关管理制度要求</w:t>
      </w:r>
      <w:r>
        <w:rPr>
          <w:rFonts w:hint="eastAsia" w:ascii="仿宋_GB2312" w:eastAsia="仿宋_GB2312"/>
          <w:color w:val="auto"/>
          <w:sz w:val="32"/>
          <w:szCs w:val="32"/>
          <w:highlight w:val="none"/>
          <w:lang w:val="zh-CN" w:eastAsia="zh-CN"/>
        </w:rPr>
        <w:t>；二是绩效项目的实施，从多方面督促资金的规范使用。发现的问题及原因：一是</w:t>
      </w:r>
      <w:r>
        <w:rPr>
          <w:rFonts w:hint="eastAsia" w:ascii="仿宋_GB2312" w:eastAsia="仿宋_GB2312"/>
          <w:color w:val="auto"/>
          <w:sz w:val="32"/>
          <w:szCs w:val="32"/>
          <w:highlight w:val="none"/>
          <w:lang w:val="en-US" w:eastAsia="zh-CN"/>
        </w:rPr>
        <w:t>预算绩效管理工作时间紧、任务重、专业性强，我单位的预算绩效存在一些不足之处需要完善</w:t>
      </w:r>
      <w:r>
        <w:rPr>
          <w:rFonts w:hint="eastAsia" w:ascii="仿宋_GB2312" w:eastAsia="仿宋_GB2312"/>
          <w:color w:val="auto"/>
          <w:sz w:val="32"/>
          <w:szCs w:val="32"/>
          <w:highlight w:val="none"/>
          <w:lang w:val="zh-CN" w:eastAsia="zh-CN"/>
        </w:rPr>
        <w:t>；二是</w:t>
      </w:r>
      <w:r>
        <w:rPr>
          <w:rFonts w:hint="eastAsia" w:ascii="仿宋_GB2312" w:eastAsia="仿宋_GB2312"/>
          <w:color w:val="auto"/>
          <w:sz w:val="32"/>
          <w:szCs w:val="32"/>
          <w:highlight w:val="none"/>
          <w:lang w:val="en-US" w:eastAsia="zh-CN"/>
        </w:rPr>
        <w:t>预算绩效管理缺乏系统的培训，造成预算绩效管理指导不到位、认识不到位，理解不充分，对预算绩效管理工作重点把握不到位。三是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w:t>
      </w:r>
      <w:r>
        <w:rPr>
          <w:rFonts w:hint="eastAsia" w:ascii="仿宋_GB2312" w:eastAsia="仿宋_GB2312"/>
          <w:color w:val="auto"/>
          <w:sz w:val="32"/>
          <w:szCs w:val="32"/>
          <w:highlight w:val="none"/>
          <w:lang w:val="zh-CN" w:eastAsia="zh-CN"/>
        </w:rPr>
        <w:t>下一步改进措施：一是</w:t>
      </w:r>
      <w:r>
        <w:rPr>
          <w:rFonts w:hint="eastAsia" w:ascii="仿宋_GB2312" w:eastAsia="仿宋_GB2312"/>
          <w:color w:val="auto"/>
          <w:sz w:val="32"/>
          <w:szCs w:val="32"/>
          <w:highlight w:val="none"/>
          <w:lang w:val="en-US" w:eastAsia="zh-CN"/>
        </w:rPr>
        <w:t>强化自我约束和责任意识。通过绩效评价，考核各处室绩效目标实际完成情况和取得的成效，并与下年度预算安排挂钩，用财要问效，无效要问责，在一定程度上强化了单位整体和各部门的自我约束意识和责任意识</w:t>
      </w:r>
      <w:r>
        <w:rPr>
          <w:rFonts w:hint="eastAsia" w:ascii="仿宋_GB2312" w:eastAsia="仿宋_GB2312"/>
          <w:color w:val="auto"/>
          <w:sz w:val="32"/>
          <w:szCs w:val="32"/>
          <w:highlight w:val="none"/>
          <w:lang w:val="zh-CN" w:eastAsia="zh-CN"/>
        </w:rPr>
        <w:t>；二是</w:t>
      </w:r>
      <w:r>
        <w:rPr>
          <w:rFonts w:hint="eastAsia" w:ascii="仿宋_GB2312" w:eastAsia="仿宋_GB2312"/>
          <w:color w:val="auto"/>
          <w:sz w:val="32"/>
          <w:szCs w:val="32"/>
          <w:highlight w:val="none"/>
          <w:lang w:val="en-US" w:eastAsia="zh-CN"/>
        </w:rPr>
        <w:t>加强绩效目标意识，提高绩效目标申报的规范性。</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30" w:name="_Toc24143"/>
      <w:bookmarkStart w:id="31" w:name="_Toc3250"/>
      <w:r>
        <w:rPr>
          <w:rFonts w:hint="eastAsia" w:ascii="仿宋_GB2312" w:eastAsia="仿宋_GB2312"/>
          <w:color w:val="auto"/>
          <w:sz w:val="32"/>
          <w:szCs w:val="32"/>
          <w:highlight w:val="none"/>
          <w:lang w:val="en-US" w:eastAsia="zh-CN"/>
        </w:rPr>
        <w:t>本单位sm项目1个，全年预算数72万元，全年执行数</w:t>
      </w: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黑体" w:hAnsi="黑体" w:eastAsia="黑体"/>
          <w:color w:val="auto"/>
          <w:sz w:val="32"/>
          <w:szCs w:val="32"/>
          <w:highlight w:val="none"/>
        </w:rPr>
      </w:pPr>
      <w:r>
        <w:rPr>
          <w:rFonts w:hint="eastAsia" w:ascii="仿宋_GB2312" w:eastAsia="仿宋_GB2312"/>
          <w:color w:val="auto"/>
          <w:sz w:val="32"/>
          <w:szCs w:val="32"/>
          <w:highlight w:val="none"/>
          <w:lang w:val="en-US" w:eastAsia="zh-CN"/>
        </w:rPr>
        <w:t>72万元，不予以公开绩效自评表。</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7A377F"/>
    <w:rsid w:val="00B70D59"/>
    <w:rsid w:val="00F52A8D"/>
    <w:rsid w:val="019404F8"/>
    <w:rsid w:val="01C30B6B"/>
    <w:rsid w:val="01ED22F2"/>
    <w:rsid w:val="021E1E18"/>
    <w:rsid w:val="02BD3108"/>
    <w:rsid w:val="02F73D26"/>
    <w:rsid w:val="034D4FEF"/>
    <w:rsid w:val="035D1785"/>
    <w:rsid w:val="039F47CE"/>
    <w:rsid w:val="03BD5310"/>
    <w:rsid w:val="03DD128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D27F43"/>
    <w:rsid w:val="0B61769D"/>
    <w:rsid w:val="0B8C3ECC"/>
    <w:rsid w:val="0B9C639D"/>
    <w:rsid w:val="0BB052B2"/>
    <w:rsid w:val="0BD33FFC"/>
    <w:rsid w:val="0BE97AC1"/>
    <w:rsid w:val="0C042AC5"/>
    <w:rsid w:val="0C1C4780"/>
    <w:rsid w:val="0C3613A3"/>
    <w:rsid w:val="0C3C3AD9"/>
    <w:rsid w:val="0C5E519C"/>
    <w:rsid w:val="0C7227A7"/>
    <w:rsid w:val="0CA52EE8"/>
    <w:rsid w:val="0CBD6988"/>
    <w:rsid w:val="0CD208AC"/>
    <w:rsid w:val="0D172DAA"/>
    <w:rsid w:val="0D223442"/>
    <w:rsid w:val="0D4903E8"/>
    <w:rsid w:val="0D7A4A46"/>
    <w:rsid w:val="0D987403"/>
    <w:rsid w:val="0E640559"/>
    <w:rsid w:val="0F007871"/>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594990"/>
    <w:rsid w:val="167268FB"/>
    <w:rsid w:val="16770D0A"/>
    <w:rsid w:val="169A0039"/>
    <w:rsid w:val="16D50C50"/>
    <w:rsid w:val="16E120E1"/>
    <w:rsid w:val="17385A05"/>
    <w:rsid w:val="173B3901"/>
    <w:rsid w:val="176747F9"/>
    <w:rsid w:val="17954A6E"/>
    <w:rsid w:val="17BE2C86"/>
    <w:rsid w:val="180059E9"/>
    <w:rsid w:val="184510FD"/>
    <w:rsid w:val="18E83469"/>
    <w:rsid w:val="190648B0"/>
    <w:rsid w:val="19071D6C"/>
    <w:rsid w:val="19D26CD4"/>
    <w:rsid w:val="19E60D19"/>
    <w:rsid w:val="1A3E3450"/>
    <w:rsid w:val="1AD807E5"/>
    <w:rsid w:val="1B39345B"/>
    <w:rsid w:val="1B935B52"/>
    <w:rsid w:val="1BFB2A1F"/>
    <w:rsid w:val="1C015D4A"/>
    <w:rsid w:val="1C290ED5"/>
    <w:rsid w:val="1C317E4F"/>
    <w:rsid w:val="1C472464"/>
    <w:rsid w:val="1D22799A"/>
    <w:rsid w:val="1D5C1A72"/>
    <w:rsid w:val="1DAF458D"/>
    <w:rsid w:val="1E086ACE"/>
    <w:rsid w:val="1E62130A"/>
    <w:rsid w:val="1E97358B"/>
    <w:rsid w:val="1EAA4A5F"/>
    <w:rsid w:val="1ECF6404"/>
    <w:rsid w:val="1EE869A7"/>
    <w:rsid w:val="1F3F37CF"/>
    <w:rsid w:val="1FA15E62"/>
    <w:rsid w:val="1FED69B6"/>
    <w:rsid w:val="20393FB3"/>
    <w:rsid w:val="205C5CCD"/>
    <w:rsid w:val="2064678E"/>
    <w:rsid w:val="20DC1AB9"/>
    <w:rsid w:val="20DD6197"/>
    <w:rsid w:val="212631E0"/>
    <w:rsid w:val="2138666F"/>
    <w:rsid w:val="21742080"/>
    <w:rsid w:val="21A53757"/>
    <w:rsid w:val="21F879E1"/>
    <w:rsid w:val="221236C6"/>
    <w:rsid w:val="22D7662C"/>
    <w:rsid w:val="23326B7F"/>
    <w:rsid w:val="2380045B"/>
    <w:rsid w:val="23AD3718"/>
    <w:rsid w:val="23BC04D2"/>
    <w:rsid w:val="23EF1892"/>
    <w:rsid w:val="2483647E"/>
    <w:rsid w:val="24A32D55"/>
    <w:rsid w:val="24CB38CA"/>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1A1A68"/>
    <w:rsid w:val="29A72FD9"/>
    <w:rsid w:val="29CB58F0"/>
    <w:rsid w:val="2A053397"/>
    <w:rsid w:val="2A145E96"/>
    <w:rsid w:val="2A2131BB"/>
    <w:rsid w:val="2ACF7549"/>
    <w:rsid w:val="2AF5378F"/>
    <w:rsid w:val="2BB94DBF"/>
    <w:rsid w:val="2BF37410"/>
    <w:rsid w:val="2C6F314E"/>
    <w:rsid w:val="2CC206BE"/>
    <w:rsid w:val="2D1136DF"/>
    <w:rsid w:val="2D20606D"/>
    <w:rsid w:val="2D660F0B"/>
    <w:rsid w:val="2D6729FE"/>
    <w:rsid w:val="2DB87198"/>
    <w:rsid w:val="2DB93C54"/>
    <w:rsid w:val="2E3D144C"/>
    <w:rsid w:val="2E891204"/>
    <w:rsid w:val="2F3F0A28"/>
    <w:rsid w:val="2F7552A4"/>
    <w:rsid w:val="2FBF7029"/>
    <w:rsid w:val="2FD0187F"/>
    <w:rsid w:val="2FD27414"/>
    <w:rsid w:val="2FE930E0"/>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4F934F5"/>
    <w:rsid w:val="353369E3"/>
    <w:rsid w:val="35B21E0B"/>
    <w:rsid w:val="35E00D72"/>
    <w:rsid w:val="36965B9D"/>
    <w:rsid w:val="36C549FD"/>
    <w:rsid w:val="37A755DD"/>
    <w:rsid w:val="37F33BFE"/>
    <w:rsid w:val="37F94FA0"/>
    <w:rsid w:val="380D3381"/>
    <w:rsid w:val="38115B1F"/>
    <w:rsid w:val="385E3AC3"/>
    <w:rsid w:val="38697999"/>
    <w:rsid w:val="387D6B9E"/>
    <w:rsid w:val="38B75FF0"/>
    <w:rsid w:val="38D45016"/>
    <w:rsid w:val="38D90432"/>
    <w:rsid w:val="3914510A"/>
    <w:rsid w:val="3926770B"/>
    <w:rsid w:val="39387D15"/>
    <w:rsid w:val="3982065B"/>
    <w:rsid w:val="398D3668"/>
    <w:rsid w:val="39930D64"/>
    <w:rsid w:val="39DA0497"/>
    <w:rsid w:val="3A893816"/>
    <w:rsid w:val="3A893B6D"/>
    <w:rsid w:val="3AD1763A"/>
    <w:rsid w:val="3B196883"/>
    <w:rsid w:val="3B6716E3"/>
    <w:rsid w:val="3B6C6B2D"/>
    <w:rsid w:val="3C242659"/>
    <w:rsid w:val="3C96719C"/>
    <w:rsid w:val="3CA72BE8"/>
    <w:rsid w:val="3CDC1E1E"/>
    <w:rsid w:val="3CF37F8C"/>
    <w:rsid w:val="3D104635"/>
    <w:rsid w:val="3D137554"/>
    <w:rsid w:val="3D5275AC"/>
    <w:rsid w:val="3DCC2473"/>
    <w:rsid w:val="3DEB0883"/>
    <w:rsid w:val="3E2527BF"/>
    <w:rsid w:val="3E70484C"/>
    <w:rsid w:val="3E731662"/>
    <w:rsid w:val="3E733781"/>
    <w:rsid w:val="3E8168DD"/>
    <w:rsid w:val="3EA7725F"/>
    <w:rsid w:val="3EB03713"/>
    <w:rsid w:val="3EBF1A11"/>
    <w:rsid w:val="3EC52607"/>
    <w:rsid w:val="3EEC6CEF"/>
    <w:rsid w:val="3F183429"/>
    <w:rsid w:val="3FB77A1D"/>
    <w:rsid w:val="3FDC3674"/>
    <w:rsid w:val="3FED7F8A"/>
    <w:rsid w:val="40094AEF"/>
    <w:rsid w:val="405470BD"/>
    <w:rsid w:val="40794A29"/>
    <w:rsid w:val="40834692"/>
    <w:rsid w:val="40D67DE8"/>
    <w:rsid w:val="41431AD5"/>
    <w:rsid w:val="414B3C0F"/>
    <w:rsid w:val="417C1CE7"/>
    <w:rsid w:val="41900018"/>
    <w:rsid w:val="41944406"/>
    <w:rsid w:val="41CE128F"/>
    <w:rsid w:val="41DA6F12"/>
    <w:rsid w:val="42171FB1"/>
    <w:rsid w:val="422B4276"/>
    <w:rsid w:val="42C10D7B"/>
    <w:rsid w:val="434E6957"/>
    <w:rsid w:val="43BA0E31"/>
    <w:rsid w:val="43C15147"/>
    <w:rsid w:val="43E14DD2"/>
    <w:rsid w:val="43F800E9"/>
    <w:rsid w:val="443A7E4B"/>
    <w:rsid w:val="444A7D08"/>
    <w:rsid w:val="44A25B69"/>
    <w:rsid w:val="44C27658"/>
    <w:rsid w:val="44D4565B"/>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3D5E24"/>
    <w:rsid w:val="494A7A04"/>
    <w:rsid w:val="49605EF7"/>
    <w:rsid w:val="49CA23E0"/>
    <w:rsid w:val="4A0A26D2"/>
    <w:rsid w:val="4A2019A5"/>
    <w:rsid w:val="4A241A0B"/>
    <w:rsid w:val="4A5C2BD7"/>
    <w:rsid w:val="4A7A331A"/>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8649EB"/>
    <w:rsid w:val="4F9E1FFC"/>
    <w:rsid w:val="50447CC2"/>
    <w:rsid w:val="50840EF2"/>
    <w:rsid w:val="50874A7C"/>
    <w:rsid w:val="50895EE7"/>
    <w:rsid w:val="50921B9D"/>
    <w:rsid w:val="50D16158"/>
    <w:rsid w:val="50DB5F45"/>
    <w:rsid w:val="51025EB1"/>
    <w:rsid w:val="51141503"/>
    <w:rsid w:val="513C450E"/>
    <w:rsid w:val="518D0ED5"/>
    <w:rsid w:val="525C687F"/>
    <w:rsid w:val="52A3740A"/>
    <w:rsid w:val="52F647F7"/>
    <w:rsid w:val="52F92565"/>
    <w:rsid w:val="53A25729"/>
    <w:rsid w:val="53AE735E"/>
    <w:rsid w:val="53D03877"/>
    <w:rsid w:val="53D144A4"/>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0E3261"/>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35393C"/>
    <w:rsid w:val="5CBB0CE2"/>
    <w:rsid w:val="5CC17177"/>
    <w:rsid w:val="5CF306BC"/>
    <w:rsid w:val="5D207028"/>
    <w:rsid w:val="5D3F3D64"/>
    <w:rsid w:val="5D833043"/>
    <w:rsid w:val="5DD92690"/>
    <w:rsid w:val="5DDB1CFD"/>
    <w:rsid w:val="5E7E6D93"/>
    <w:rsid w:val="5E82459B"/>
    <w:rsid w:val="5ED44800"/>
    <w:rsid w:val="5F350BDE"/>
    <w:rsid w:val="5F61632C"/>
    <w:rsid w:val="5FA17648"/>
    <w:rsid w:val="5FE2330F"/>
    <w:rsid w:val="5FE705CB"/>
    <w:rsid w:val="6007714E"/>
    <w:rsid w:val="603D5080"/>
    <w:rsid w:val="606842D0"/>
    <w:rsid w:val="60D0261B"/>
    <w:rsid w:val="618E3791"/>
    <w:rsid w:val="61947DCA"/>
    <w:rsid w:val="6197592B"/>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68228A"/>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9720E6"/>
    <w:rsid w:val="69AA1366"/>
    <w:rsid w:val="69AD798C"/>
    <w:rsid w:val="69D005C0"/>
    <w:rsid w:val="69D80B96"/>
    <w:rsid w:val="69F47AD7"/>
    <w:rsid w:val="69FC6584"/>
    <w:rsid w:val="6A2C39D4"/>
    <w:rsid w:val="6B68175F"/>
    <w:rsid w:val="6BFD799F"/>
    <w:rsid w:val="6C487DF9"/>
    <w:rsid w:val="6C4A2E5A"/>
    <w:rsid w:val="6C8138D0"/>
    <w:rsid w:val="6CEF0725"/>
    <w:rsid w:val="6D4B2604"/>
    <w:rsid w:val="6D77358F"/>
    <w:rsid w:val="6D8030E4"/>
    <w:rsid w:val="6DFF6DF1"/>
    <w:rsid w:val="6E0E35C4"/>
    <w:rsid w:val="6E0F7A08"/>
    <w:rsid w:val="6E3947F5"/>
    <w:rsid w:val="6E6733A0"/>
    <w:rsid w:val="6E6E3938"/>
    <w:rsid w:val="6E9C74ED"/>
    <w:rsid w:val="6EF72976"/>
    <w:rsid w:val="6F795A80"/>
    <w:rsid w:val="6F7C1D2E"/>
    <w:rsid w:val="6F8E0407"/>
    <w:rsid w:val="6FDD069F"/>
    <w:rsid w:val="702B4D16"/>
    <w:rsid w:val="704F339C"/>
    <w:rsid w:val="70AA6621"/>
    <w:rsid w:val="7111480F"/>
    <w:rsid w:val="71261F49"/>
    <w:rsid w:val="712E6956"/>
    <w:rsid w:val="71473612"/>
    <w:rsid w:val="71504F32"/>
    <w:rsid w:val="7152309F"/>
    <w:rsid w:val="718F7F65"/>
    <w:rsid w:val="71DA6992"/>
    <w:rsid w:val="727B234E"/>
    <w:rsid w:val="7284346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165C05"/>
    <w:rsid w:val="784275F3"/>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C37E61"/>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0</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2025-04-09T04:19:07Z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9A697826A4D54AD78509D27423FCBE0E</vt:lpwstr>
  </property>
</Properties>
</file>