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both"/>
        <w:textAlignment w:val="auto"/>
        <w:outlineLvl w:val="9"/>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outlineLvl w:val="9"/>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沙湾市第一幼儿园</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outlineLvl w:val="9"/>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outlineLvl w:val="9"/>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ind w:firstLine="880" w:firstLineChars="200"/>
        <w:jc w:val="both"/>
        <w:textAlignment w:val="auto"/>
        <w:outlineLvl w:val="9"/>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center"/>
        <w:textAlignment w:val="auto"/>
        <w:outlineLvl w:val="9"/>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outlineLvl w:val="9"/>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outlineLvl w:val="9"/>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outlineLvl w:val="9"/>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outlineLvl w:val="9"/>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outlineLvl w:val="9"/>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9"/>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rPr>
        <w:t>认真贯彻执行党的教育方针，根据我园的特点，结合实际出发，以国家拨给的教育经费为主要资金来源，妥善科学的管理使用各项资金，更好地为我园教育教学工作服务。</w:t>
      </w:r>
      <w:r>
        <w:rPr>
          <w:rFonts w:hint="eastAsia" w:ascii="仿宋_GB2312" w:eastAsia="仿宋_GB2312"/>
          <w:sz w:val="32"/>
          <w:szCs w:val="32"/>
          <w:highlight w:val="none"/>
        </w:rPr>
        <w:br w:type="textWrapping"/>
      </w:r>
      <w:r>
        <w:rPr>
          <w:rFonts w:hint="eastAsia" w:ascii="仿宋_GB2312" w:eastAsia="仿宋_GB2312"/>
          <w:sz w:val="32"/>
          <w:szCs w:val="32"/>
          <w:highlight w:val="none"/>
        </w:rPr>
        <w:t>　　（1）宣传贯彻执行党和国家的教育方针、教育政策、教育法律和法规，贯彻执行上级教育行政部门的各项规章制度。</w:t>
      </w:r>
      <w:r>
        <w:rPr>
          <w:rFonts w:hint="eastAsia" w:ascii="仿宋_GB2312" w:eastAsia="仿宋_GB2312"/>
          <w:sz w:val="32"/>
          <w:szCs w:val="32"/>
          <w:highlight w:val="none"/>
        </w:rPr>
        <w:br w:type="textWrapping"/>
      </w:r>
      <w:r>
        <w:rPr>
          <w:rFonts w:hint="eastAsia" w:ascii="仿宋_GB2312" w:eastAsia="仿宋_GB2312"/>
          <w:sz w:val="32"/>
          <w:szCs w:val="32"/>
          <w:highlight w:val="none"/>
        </w:rPr>
        <w:t>　　（2）在政府和上级教育主管部门的领导下，争取资金改善办学条件，为师生的学习和工作提供优美和谐的环境。</w:t>
      </w:r>
      <w:r>
        <w:rPr>
          <w:rFonts w:hint="eastAsia" w:ascii="仿宋_GB2312" w:eastAsia="仿宋_GB2312"/>
          <w:sz w:val="32"/>
          <w:szCs w:val="32"/>
          <w:highlight w:val="none"/>
        </w:rPr>
        <w:br w:type="textWrapping"/>
      </w:r>
      <w:r>
        <w:rPr>
          <w:rFonts w:hint="eastAsia" w:ascii="仿宋_GB2312" w:eastAsia="仿宋_GB2312"/>
          <w:sz w:val="32"/>
          <w:szCs w:val="32"/>
          <w:highlight w:val="none"/>
        </w:rPr>
        <w:t>　　（3）根据</w:t>
      </w:r>
      <w:r>
        <w:rPr>
          <w:rFonts w:hint="eastAsia" w:ascii="仿宋_GB2312" w:eastAsia="仿宋_GB2312"/>
          <w:sz w:val="32"/>
          <w:szCs w:val="32"/>
          <w:highlight w:val="none"/>
          <w:lang w:eastAsia="zh-CN"/>
        </w:rPr>
        <w:t>各</w:t>
      </w:r>
      <w:r>
        <w:rPr>
          <w:rFonts w:hint="eastAsia" w:ascii="仿宋_GB2312" w:eastAsia="仿宋_GB2312"/>
          <w:sz w:val="32"/>
          <w:szCs w:val="32"/>
          <w:highlight w:val="none"/>
        </w:rPr>
        <w:t>级人民政府制定的教育事业发展规划，结合实际制定并组织实施本校的教育事业发展规划。在政府和教育行政部门的领导下，全面开展普及九年义务教育，组织儿童就近入学，完成义务教育工作，完成好辖区教育任务。</w:t>
      </w:r>
      <w:r>
        <w:rPr>
          <w:rFonts w:hint="eastAsia" w:ascii="仿宋_GB2312" w:eastAsia="仿宋_GB2312"/>
          <w:sz w:val="32"/>
          <w:szCs w:val="32"/>
          <w:highlight w:val="none"/>
        </w:rPr>
        <w:br w:type="textWrapping"/>
      </w:r>
      <w:r>
        <w:rPr>
          <w:rFonts w:hint="eastAsia" w:ascii="仿宋_GB2312" w:eastAsia="仿宋_GB2312"/>
          <w:sz w:val="32"/>
          <w:szCs w:val="32"/>
          <w:highlight w:val="none"/>
        </w:rPr>
        <w:t>　　（4）按照干部和教师的职数、编制和管理权限，负责对本学校的干部和教师进行管理，制定切实可行的学校工作规章制度，教育评价方案，考核办法等，以提高教育教学质量为目的，对干部职工的工作开展客观、公正的评价和考核。</w:t>
      </w:r>
      <w:r>
        <w:rPr>
          <w:rFonts w:hint="eastAsia" w:ascii="仿宋_GB2312" w:eastAsia="仿宋_GB2312"/>
          <w:sz w:val="32"/>
          <w:szCs w:val="32"/>
          <w:highlight w:val="none"/>
        </w:rPr>
        <w:br w:type="textWrapping"/>
      </w:r>
      <w:r>
        <w:rPr>
          <w:rFonts w:hint="eastAsia" w:ascii="仿宋_GB2312" w:eastAsia="仿宋_GB2312"/>
          <w:sz w:val="32"/>
          <w:szCs w:val="32"/>
          <w:highlight w:val="none"/>
        </w:rPr>
        <w:t>　　（5）按照上级有关部门的规定，负责对本学校的财务和项目建设进行管理，负责核算和发放教职工工资，加强学校基础设施建设和学校教育教学保障工作。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（6）按照九年义务教育课程标准，开齐课程，开足课时，认真实施小学教育教学管理，全面推进素质教育，全面提高教育教学质量，以科学发展观和以人为本的管理理念注重学生的全面发展。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沙湾市第一幼儿园</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sz w:val="32"/>
          <w:szCs w:val="32"/>
          <w:highlight w:val="none"/>
          <w:lang w:eastAsia="zh-CN"/>
        </w:rPr>
      </w:pPr>
      <w:bookmarkStart w:id="6" w:name="_Toc3092"/>
      <w:bookmarkStart w:id="7" w:name="_Toc29374"/>
      <w:r>
        <w:rPr>
          <w:rFonts w:hint="eastAsia" w:ascii="仿宋_GB2312" w:eastAsia="仿宋_GB2312"/>
          <w:sz w:val="32"/>
          <w:szCs w:val="32"/>
          <w:highlight w:val="none"/>
          <w:lang w:eastAsia="zh-CN"/>
        </w:rPr>
        <w:t>单位无下属预算单位，下设6个处室，分别是：园办、后勤组、保育组、大班组、中班组、小班组。</w:t>
      </w:r>
    </w:p>
    <w:p>
      <w:pPr>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br w:type="page"/>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9"/>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293.58万元，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293.58万元，使用非财政拨款结余0.00万元，年初结转和结余0.00万元。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293.58万元，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293.58万元，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增加90.56万元</w:t>
      </w:r>
      <w:r>
        <w:rPr>
          <w:rFonts w:hint="eastAsia" w:ascii="仿宋_GB2312" w:eastAsia="仿宋_GB2312"/>
          <w:color w:val="auto"/>
          <w:spacing w:val="0"/>
          <w:sz w:val="32"/>
          <w:szCs w:val="32"/>
          <w:highlight w:val="none"/>
          <w:lang w:eastAsia="zh-CN"/>
        </w:rPr>
        <w:t>，增长44.61%，主要原因是：</w:t>
      </w:r>
      <w:r>
        <w:rPr>
          <w:rFonts w:hint="eastAsia" w:ascii="仿宋_GB2312" w:eastAsia="仿宋_GB2312"/>
          <w:sz w:val="32"/>
          <w:szCs w:val="32"/>
          <w:highlight w:val="none"/>
        </w:rPr>
        <w:t>2023年拨付2018年下半年及2020年1-3月绩效考核奖励金，并且教师工资调增，补发公办园财聘教师工资，拨付了2023年的工会会费，拨付教科系统设备采购项目</w:t>
      </w:r>
      <w:r>
        <w:rPr>
          <w:rFonts w:hint="eastAsia" w:ascii="仿宋_GB2312" w:eastAsia="仿宋_GB2312"/>
          <w:sz w:val="32"/>
          <w:szCs w:val="32"/>
          <w:highlight w:val="none"/>
          <w:lang w:eastAsia="zh-CN"/>
        </w:rPr>
        <w:t>资金，</w:t>
      </w:r>
      <w:r>
        <w:rPr>
          <w:rFonts w:hint="eastAsia" w:ascii="仿宋_GB2312" w:eastAsia="仿宋_GB2312"/>
          <w:sz w:val="32"/>
          <w:szCs w:val="32"/>
          <w:highlight w:val="none"/>
        </w:rPr>
        <w:t>拨付了</w:t>
      </w:r>
      <w:r>
        <w:rPr>
          <w:rFonts w:hint="eastAsia" w:ascii="仿宋_GB2312" w:eastAsia="仿宋_GB2312"/>
          <w:sz w:val="32"/>
          <w:szCs w:val="32"/>
          <w:highlight w:val="none"/>
          <w:lang w:val="en-US" w:eastAsia="zh-CN"/>
        </w:rPr>
        <w:t>历年幼儿园保教费</w:t>
      </w:r>
      <w:r>
        <w:rPr>
          <w:rFonts w:hint="eastAsia" w:ascii="仿宋_GB2312" w:eastAsia="仿宋_GB2312"/>
          <w:sz w:val="32"/>
          <w:szCs w:val="32"/>
          <w:highlight w:val="none"/>
        </w:rPr>
        <w:t>。加大了项目建设的投入</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293.58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293.58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本年支出293.58万元，其中：基本支出127.87万元，占43.56%；项目支出165.70万元，占56.44%；上缴上级支出0.00万元，占0.00%；经营支出0.00万元，占0.00%；对附属单位补助支出0.00万元，占0.00%。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293.58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293.58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293.58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293.58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增加90.56万元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增长44.61%,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年拨付以前年度的大绩效，并且教师工资调增，2023年的工会会费，拨付教科系统设备采购项目</w:t>
      </w:r>
      <w:r>
        <w:rPr>
          <w:rFonts w:hint="eastAsia" w:ascii="仿宋_GB2312" w:eastAsia="仿宋_GB2312"/>
          <w:sz w:val="32"/>
          <w:szCs w:val="32"/>
          <w:highlight w:val="none"/>
          <w:lang w:eastAsia="zh-CN"/>
        </w:rPr>
        <w:t>资金</w:t>
      </w:r>
      <w:r>
        <w:rPr>
          <w:rFonts w:hint="eastAsia" w:ascii="仿宋_GB2312" w:eastAsia="仿宋_GB2312"/>
          <w:sz w:val="32"/>
          <w:szCs w:val="32"/>
          <w:highlight w:val="none"/>
          <w:lang w:val="en-US" w:eastAsia="zh-CN"/>
        </w:rPr>
        <w:t>等新增项目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246.30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293.58</w:t>
      </w:r>
      <w:r>
        <w:rPr>
          <w:rFonts w:hint="eastAsia" w:ascii="仿宋_GB2312" w:eastAsia="仿宋_GB2312"/>
          <w:color w:val="auto"/>
          <w:spacing w:val="0"/>
          <w:sz w:val="32"/>
          <w:szCs w:val="32"/>
          <w:highlight w:val="none"/>
          <w:lang w:eastAsia="zh-CN"/>
        </w:rPr>
        <w:t>万元，预决算差异率19.20%，主要原因是：</w:t>
      </w:r>
      <w:r>
        <w:rPr>
          <w:rFonts w:hint="eastAsia" w:ascii="仿宋_GB2312" w:eastAsia="仿宋_GB2312"/>
          <w:sz w:val="32"/>
          <w:szCs w:val="32"/>
          <w:highlight w:val="none"/>
        </w:rPr>
        <w:t>2023年</w:t>
      </w:r>
      <w:r>
        <w:rPr>
          <w:rFonts w:hint="eastAsia" w:ascii="仿宋_GB2312" w:eastAsia="仿宋_GB2312"/>
          <w:sz w:val="32"/>
          <w:szCs w:val="32"/>
          <w:highlight w:val="none"/>
          <w:lang w:eastAsia="zh-CN"/>
        </w:rPr>
        <w:t>追加</w:t>
      </w:r>
      <w:r>
        <w:rPr>
          <w:rFonts w:hint="eastAsia" w:ascii="仿宋_GB2312" w:eastAsia="仿宋_GB2312"/>
          <w:sz w:val="32"/>
          <w:szCs w:val="32"/>
          <w:highlight w:val="none"/>
        </w:rPr>
        <w:t>2018年下半年及2020年1-3月绩效考核奖励金，并且教师工资调增，</w:t>
      </w:r>
      <w:r>
        <w:rPr>
          <w:rFonts w:hint="eastAsia" w:ascii="仿宋_GB2312" w:eastAsia="仿宋_GB2312"/>
          <w:sz w:val="32"/>
          <w:szCs w:val="32"/>
          <w:highlight w:val="none"/>
          <w:lang w:eastAsia="zh-CN"/>
        </w:rPr>
        <w:t>追加并</w:t>
      </w:r>
      <w:r>
        <w:rPr>
          <w:rFonts w:hint="eastAsia" w:ascii="仿宋_GB2312" w:eastAsia="仿宋_GB2312"/>
          <w:sz w:val="32"/>
          <w:szCs w:val="32"/>
          <w:highlight w:val="none"/>
        </w:rPr>
        <w:t>补发公办园财聘教师工资，拨付了2023年的工会会费，拨付教科系统设备采购项目资金的投入，拨付了</w:t>
      </w:r>
      <w:r>
        <w:rPr>
          <w:rFonts w:hint="eastAsia" w:ascii="仿宋_GB2312" w:eastAsia="仿宋_GB2312"/>
          <w:sz w:val="32"/>
          <w:szCs w:val="32"/>
          <w:highlight w:val="none"/>
          <w:lang w:val="en-US" w:eastAsia="zh-CN"/>
        </w:rPr>
        <w:t>幼儿园历年保教费。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default" w:ascii="仿宋_GB2312" w:eastAsia="仿宋_GB2312"/>
          <w:color w:val="FF0000"/>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2023年度一般公共预算财政拨款支出293.58万元，占本年支出合计的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增加90.56万元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增长44.61%,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年拨付以前年度的大绩效，并且教师工资调增，2023年的工会会费，拨付教科系统设备采购项目</w:t>
      </w:r>
      <w:r>
        <w:rPr>
          <w:rFonts w:hint="eastAsia" w:ascii="仿宋_GB2312" w:eastAsia="仿宋_GB2312"/>
          <w:sz w:val="32"/>
          <w:szCs w:val="32"/>
          <w:highlight w:val="none"/>
          <w:lang w:eastAsia="zh-CN"/>
        </w:rPr>
        <w:t>资金</w:t>
      </w:r>
      <w:r>
        <w:rPr>
          <w:rFonts w:hint="eastAsia" w:ascii="仿宋_GB2312" w:eastAsia="仿宋_GB2312"/>
          <w:sz w:val="32"/>
          <w:szCs w:val="32"/>
          <w:highlight w:val="none"/>
          <w:lang w:val="en-US" w:eastAsia="zh-CN"/>
        </w:rPr>
        <w:t>等新增项目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246.30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293.58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19.20%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2023年</w:t>
      </w:r>
      <w:r>
        <w:rPr>
          <w:rFonts w:hint="eastAsia" w:ascii="仿宋_GB2312" w:eastAsia="仿宋_GB2312"/>
          <w:sz w:val="32"/>
          <w:szCs w:val="32"/>
          <w:highlight w:val="none"/>
          <w:lang w:eastAsia="zh-CN"/>
        </w:rPr>
        <w:t>追加</w:t>
      </w:r>
      <w:r>
        <w:rPr>
          <w:rFonts w:hint="eastAsia" w:ascii="仿宋_GB2312" w:eastAsia="仿宋_GB2312"/>
          <w:sz w:val="32"/>
          <w:szCs w:val="32"/>
          <w:highlight w:val="none"/>
        </w:rPr>
        <w:t>2018年下半年及2020年1-3月绩效考核奖励金，并且教师工资调增，</w:t>
      </w:r>
      <w:r>
        <w:rPr>
          <w:rFonts w:hint="eastAsia" w:ascii="仿宋_GB2312" w:eastAsia="仿宋_GB2312"/>
          <w:sz w:val="32"/>
          <w:szCs w:val="32"/>
          <w:highlight w:val="none"/>
          <w:lang w:eastAsia="zh-CN"/>
        </w:rPr>
        <w:t>追加并补发</w:t>
      </w:r>
      <w:r>
        <w:rPr>
          <w:rFonts w:hint="eastAsia" w:ascii="仿宋_GB2312" w:eastAsia="仿宋_GB2312"/>
          <w:sz w:val="32"/>
          <w:szCs w:val="32"/>
          <w:highlight w:val="none"/>
        </w:rPr>
        <w:t>公办园财聘教师工资，拨付了2023年的工会会费，拨付教科系统设备采购项目资金的投入，拨付了</w:t>
      </w:r>
      <w:r>
        <w:rPr>
          <w:rFonts w:hint="eastAsia" w:ascii="仿宋_GB2312" w:eastAsia="仿宋_GB2312"/>
          <w:sz w:val="32"/>
          <w:szCs w:val="32"/>
          <w:highlight w:val="none"/>
          <w:lang w:val="en-US" w:eastAsia="zh-CN"/>
        </w:rPr>
        <w:t>幼儿园历年保教费。</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eastAsia="zh-CN"/>
        </w:rPr>
        <w:t>一般公共预算</w:t>
      </w:r>
      <w:r>
        <w:rPr>
          <w:rFonts w:hint="eastAsia" w:ascii="黑体" w:hAnsi="黑体" w:eastAsia="黑体" w:cs="黑体"/>
          <w:b w:val="0"/>
          <w:bCs w:val="0"/>
          <w:color w:val="auto"/>
          <w:sz w:val="32"/>
          <w:szCs w:val="32"/>
          <w:highlight w:val="none"/>
          <w:lang w:val="en-US" w:eastAsia="zh-CN"/>
        </w:rPr>
        <w:t>财政拨款支出决算</w:t>
      </w:r>
      <w:r>
        <w:rPr>
          <w:rFonts w:hint="eastAsia" w:ascii="黑体" w:hAnsi="黑体" w:eastAsia="黑体" w:cs="黑体"/>
          <w:b w:val="0"/>
          <w:bCs w:val="0"/>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outlineLvl w:val="9"/>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293.58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1.教育支出（类）教育费附加安排的支出（款）其他教育费附加安排的支出（项）:支出决算数为14.00万元，比上年决算增加6.00万元，增长75.00%，主要原因是：</w:t>
      </w:r>
      <w:r>
        <w:rPr>
          <w:rFonts w:hint="eastAsia" w:ascii="仿宋_GB2312" w:hAnsi="仿宋_GB2312" w:eastAsia="仿宋_GB2312" w:cs="仿宋_GB2312"/>
          <w:color w:val="auto"/>
          <w:sz w:val="32"/>
          <w:szCs w:val="32"/>
          <w:highlight w:val="none"/>
          <w:lang w:val="en-US" w:eastAsia="zh-CN"/>
        </w:rPr>
        <w:t>本年度支付</w:t>
      </w:r>
      <w:r>
        <w:rPr>
          <w:rFonts w:hint="eastAsia" w:ascii="仿宋_GB2312" w:hAnsi="仿宋_GB2312" w:eastAsia="仿宋_GB2312" w:cs="仿宋_GB2312"/>
          <w:color w:val="auto"/>
          <w:sz w:val="32"/>
          <w:szCs w:val="32"/>
          <w:highlight w:val="none"/>
        </w:rPr>
        <w:t>教科系统视</w:t>
      </w:r>
      <w:r>
        <w:rPr>
          <w:rFonts w:hint="eastAsia" w:ascii="仿宋_GB2312" w:hAnsi="仿宋_GB2312" w:eastAsia="仿宋_GB2312" w:cs="仿宋_GB2312"/>
          <w:color w:val="auto"/>
          <w:sz w:val="32"/>
          <w:szCs w:val="32"/>
          <w:highlight w:val="none"/>
          <w:lang w:val="en-US" w:eastAsia="zh-CN"/>
        </w:rPr>
        <w:t>频</w:t>
      </w:r>
      <w:r>
        <w:rPr>
          <w:rFonts w:hint="eastAsia" w:ascii="仿宋_GB2312" w:hAnsi="仿宋_GB2312" w:eastAsia="仿宋_GB2312" w:cs="仿宋_GB2312"/>
          <w:color w:val="auto"/>
          <w:sz w:val="32"/>
          <w:szCs w:val="32"/>
          <w:highlight w:val="none"/>
        </w:rPr>
        <w:t>设备采购项目资金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上年度无此项目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kinsoku/>
        <w:wordWrap/>
        <w:overflowPunct/>
        <w:topLinePunct w:val="0"/>
        <w:bidi w:val="0"/>
        <w:adjustRightInd/>
        <w:spacing w:line="240" w:lineRule="auto"/>
        <w:ind w:firstLine="640" w:firstLineChars="200"/>
        <w:jc w:val="both"/>
        <w:textAlignment w:val="auto"/>
        <w:rPr>
          <w:rFonts w:hint="eastAsia" w:ascii="仿宋_GB2312" w:hAnsi="仿宋_GB2312" w:eastAsia="仿宋_GB2312" w:cs="仿宋_GB2312"/>
          <w:color w:val="FF0000"/>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2.教育支出（类）普通教育（款）学前教育（项）:支出决算数为279.58万元，比上年决算增加84.56万元，增长43.36%，主要原因是：</w:t>
      </w:r>
      <w:r>
        <w:rPr>
          <w:rFonts w:hint="eastAsia" w:ascii="仿宋_GB2312" w:hAnsi="仿宋_GB2312" w:eastAsia="仿宋_GB2312" w:cs="仿宋_GB2312"/>
          <w:color w:val="auto"/>
          <w:kern w:val="10"/>
          <w:sz w:val="32"/>
          <w:szCs w:val="32"/>
          <w:highlight w:val="none"/>
          <w:lang w:val="en-US" w:eastAsia="zh-CN"/>
        </w:rPr>
        <w:t>我单位</w:t>
      </w:r>
      <w:r>
        <w:rPr>
          <w:rFonts w:hint="eastAsia" w:ascii="仿宋_GB2312" w:hAnsi="仿宋_GB2312" w:eastAsia="仿宋_GB2312" w:cs="仿宋_GB2312"/>
          <w:color w:val="auto"/>
          <w:sz w:val="32"/>
          <w:szCs w:val="32"/>
          <w:highlight w:val="none"/>
        </w:rPr>
        <w:t>2023年拨付2018年下半年及2020年1-3月绩效考核奖励金，并且教师工资调增，补发公办园财聘教师工资，拨付了2023年的工会会费，拨付了2020-2022年学前三年免费教育市级配套资金。加大了项目建设的投入，所以</w:t>
      </w:r>
      <w:r>
        <w:rPr>
          <w:rFonts w:hint="eastAsia" w:ascii="仿宋_GB2312" w:hAnsi="仿宋_GB2312" w:eastAsia="仿宋_GB2312" w:cs="仿宋_GB2312"/>
          <w:color w:val="auto"/>
          <w:sz w:val="32"/>
          <w:szCs w:val="32"/>
          <w:highlight w:val="none"/>
          <w:lang w:val="en-US" w:eastAsia="zh-CN"/>
        </w:rPr>
        <w:t>决算数相对</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127.87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127.61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基本工资、津贴补贴、奖金、绩效工资、机关事业单位基本养老保险缴费、职工基本医疗保险缴费、其他社会保障缴费、住房公积金、其他工资福利支出。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0.26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sz w:val="32"/>
          <w:szCs w:val="32"/>
          <w:highlight w:val="none"/>
        </w:rPr>
      </w:pPr>
      <w:bookmarkStart w:id="18" w:name="_Toc5810"/>
      <w:bookmarkStart w:id="19" w:name="_Toc7927"/>
      <w:r>
        <w:rPr>
          <w:rFonts w:hint="eastAsia" w:ascii="仿宋_GB2312" w:eastAsia="仿宋_GB2312"/>
          <w:spacing w:val="0"/>
          <w:sz w:val="32"/>
          <w:szCs w:val="32"/>
          <w:highlight w:val="none"/>
        </w:rPr>
        <w:t>202</w:t>
      </w:r>
      <w:r>
        <w:rPr>
          <w:rFonts w:hint="eastAsia" w:ascii="仿宋_GB2312" w:eastAsia="仿宋_GB2312"/>
          <w:spacing w:val="0"/>
          <w:sz w:val="32"/>
          <w:szCs w:val="32"/>
          <w:highlight w:val="none"/>
          <w:lang w:val="en-US" w:eastAsia="zh-CN"/>
        </w:rPr>
        <w:t>3</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财政拨款“三公”经费支出0.00万元，比上年增加0.00万元，增长0.00%，主要原因是：202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年沙湾市第一幼儿园无“三公”经费支出。其中：因公出国（境）费支出0.00万元，占0.00%，比上年增加0.00万元，增长0.00%，主要原因是：202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年我单位无因公出国（境）费支出；公务用车购置及运行维护费支出0.00万元，占0.00%，比上年增加0.00万元，增长0.00%，主要原因是：202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年我单位无公务用车购置及运行维护费支出；公务接待费支出0.00万元，占0.00%，比上年增加0.00万元，增长0.00%，主要原因是：202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年我单位无公务接待费支出。具体情况如下：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支出。公务用车购置数0辆，公务用车保有量0辆。国有资产占用情况中固定资产车辆0辆，与公务用车保有量差异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全年预算相比,财政拨款“三公”经费支出全年预算数0.00万元，决算数0.00万元，预决算差异率0.00%，主要原因是：本单位未安排财政拨款“三公”经费支出，预决算无差异。其中：因公出国（境）费全年预算数0.00万元，决算数0.00万元，预决算差异率0.00%，主要原因是：本单位未安排因公出国（境）费，预决算无差异；公务用车购置费全年预算数0.00万元，决算数0.00万元，预决算差异率0.00%，主要原因是：本单位未安排公务用车购置费，预决算无差异；公务用车运行费全年预算数0.00万元，决算数0.00万元，预决算差异率0.00%，主要原因是：本单位未安排公务用车运行费，预决算无差异；公务接待费全年预算数0.00万元，决算数0.00万元，预决算差异率0.00%，主要原因是：本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我单位本年度无政府性基金预算财政拨款收入、支出及结转和结余，</w:t>
      </w:r>
      <w:r>
        <w:rPr>
          <w:rFonts w:hint="eastAsia" w:ascii="仿宋_GB2312" w:eastAsia="仿宋_GB2312"/>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sz w:val="32"/>
          <w:szCs w:val="32"/>
          <w:highlight w:val="none"/>
          <w:lang w:eastAsia="zh-CN"/>
        </w:rPr>
      </w:pPr>
      <w:bookmarkStart w:id="20" w:name="_Toc1235"/>
      <w:bookmarkStart w:id="21" w:name="_Toc7314"/>
      <w:r>
        <w:rPr>
          <w:rFonts w:hint="eastAsia" w:ascii="仿宋_GB2312" w:eastAsia="仿宋_GB2312"/>
          <w:sz w:val="32"/>
          <w:szCs w:val="32"/>
          <w:highlight w:val="none"/>
          <w:lang w:eastAsia="zh-CN"/>
        </w:rPr>
        <w:t>我单位本年度无国有资本经营预算财政拨款收入、支出及结转和结余，</w:t>
      </w:r>
      <w:r>
        <w:rPr>
          <w:rFonts w:hint="eastAsia" w:ascii="仿宋_GB2312" w:eastAsia="仿宋_GB2312"/>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zh-CN" w:eastAsia="zh-CN"/>
        </w:rPr>
      </w:pPr>
      <w:bookmarkStart w:id="22" w:name="_Toc13105"/>
      <w:bookmarkStart w:id="23" w:name="_Toc14519"/>
      <w:r>
        <w:rPr>
          <w:rFonts w:hint="eastAsia" w:ascii="黑体" w:hAnsi="黑体" w:eastAsia="黑体" w:cs="宋体"/>
          <w:bCs/>
          <w:color w:val="auto"/>
          <w:kern w:val="0"/>
          <w:sz w:val="32"/>
          <w:szCs w:val="32"/>
          <w:highlight w:val="none"/>
          <w:lang w:val="zh-CN" w:eastAsia="zh-CN"/>
        </w:rPr>
        <w:t>（一）机关运行经费支出情况</w:t>
      </w:r>
      <w:bookmarkEnd w:id="22"/>
      <w:bookmarkEnd w:id="23"/>
    </w:p>
    <w:p>
      <w:pPr>
        <w:ind w:firstLine="640" w:firstLineChars="200"/>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沙湾市第一幼儿园（事业单位）公用经费支出0.26万元，</w:t>
      </w:r>
      <w:r>
        <w:rPr>
          <w:rFonts w:hint="eastAsia" w:ascii="仿宋_GB2312" w:hAnsi="仿宋_GB2312" w:eastAsia="仿宋_GB2312" w:cs="仿宋_GB2312"/>
          <w:color w:val="auto"/>
          <w:sz w:val="32"/>
          <w:szCs w:val="32"/>
          <w:highlight w:val="none"/>
          <w:lang w:val="zh-CN" w:eastAsia="zh-CN"/>
        </w:rPr>
        <w:t>比上年增加0.26万元，增长100.00%，主要原因是：</w:t>
      </w:r>
      <w:r>
        <w:rPr>
          <w:rFonts w:hint="eastAsia" w:ascii="仿宋_GB2312" w:hAnsi="仿宋_GB2312" w:eastAsia="仿宋_GB2312" w:cs="仿宋_GB2312"/>
          <w:color w:val="auto"/>
          <w:sz w:val="32"/>
          <w:szCs w:val="32"/>
          <w:highlight w:val="none"/>
          <w:lang w:val="en-US" w:eastAsia="zh-CN"/>
        </w:rPr>
        <w:t>2022年未支付</w:t>
      </w:r>
      <w:r>
        <w:rPr>
          <w:rFonts w:hint="eastAsia" w:ascii="仿宋_GB2312" w:eastAsia="仿宋_GB2312"/>
          <w:sz w:val="32"/>
          <w:szCs w:val="32"/>
          <w:highlight w:val="none"/>
        </w:rPr>
        <w:t>工会会费</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2023年支付了工会会费，所以比上年增长。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12.82万元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其中：政府采购货物支出8.55万元、政府采购工程支出0.00万元、政府采购服务支出4.27万元。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授予中小企业合同金额12.82万元，占政府采购支出总额的100.00%，其中：授予小微企业合同金额12.82万元，占政府采购支出总额的100.00%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939.59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屋2,505.00平方米，价值675.65万元。车辆0辆，价值0.00万元，其中：副部（省）级及以上领导用车0辆、主要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sz w:val="32"/>
          <w:szCs w:val="32"/>
          <w:highlight w:val="none"/>
          <w:lang w:eastAsia="zh-CN"/>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lang w:eastAsia="zh-CN"/>
        </w:rPr>
        <w:t>年本单位无其他用车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359.57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293.58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全年预算数165.70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全年执行数165.70</w:t>
      </w:r>
      <w:r>
        <w:rPr>
          <w:rFonts w:hint="eastAsia" w:ascii="仿宋_GB2312" w:eastAsia="仿宋_GB2312"/>
          <w:color w:val="auto"/>
          <w:sz w:val="32"/>
          <w:szCs w:val="32"/>
          <w:highlight w:val="none"/>
        </w:rPr>
        <w:t>万元，</w:t>
      </w:r>
      <w:r>
        <w:rPr>
          <w:rFonts w:hint="eastAsia" w:ascii="仿宋_GB2312" w:eastAsia="仿宋_GB2312"/>
          <w:color w:val="000000" w:themeColor="text1"/>
          <w:sz w:val="32"/>
          <w:szCs w:val="32"/>
          <w:highlight w:val="none"/>
          <w14:textFill>
            <w14:solidFill>
              <w14:schemeClr w14:val="tx1"/>
            </w14:solidFill>
          </w14:textFill>
        </w:rPr>
        <w:t>本单位sm项目</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sz w:val="32"/>
          <w:szCs w:val="32"/>
          <w:highlight w:val="none"/>
          <w14:textFill>
            <w14:solidFill>
              <w14:schemeClr w14:val="tx1"/>
            </w14:solidFill>
          </w14:textFill>
        </w:rPr>
        <w:t>个，全年预算数</w:t>
      </w:r>
      <w:r>
        <w:rPr>
          <w:rFonts w:hint="eastAsia" w:ascii="仿宋_GB2312" w:eastAsia="仿宋_GB2312"/>
          <w:color w:val="000000" w:themeColor="text1"/>
          <w:sz w:val="32"/>
          <w:szCs w:val="32"/>
          <w:highlight w:val="none"/>
          <w:lang w:val="en-US" w:eastAsia="zh-CN"/>
          <w14:textFill>
            <w14:solidFill>
              <w14:schemeClr w14:val="tx1"/>
            </w14:solidFill>
          </w14:textFill>
        </w:rPr>
        <w:t>14</w:t>
      </w:r>
      <w:r>
        <w:rPr>
          <w:rFonts w:hint="eastAsia" w:ascii="仿宋_GB2312" w:eastAsia="仿宋_GB2312"/>
          <w:color w:val="000000" w:themeColor="text1"/>
          <w:sz w:val="32"/>
          <w:szCs w:val="32"/>
          <w:highlight w:val="none"/>
          <w14:textFill>
            <w14:solidFill>
              <w14:schemeClr w14:val="tx1"/>
            </w14:solidFill>
          </w14:textFill>
        </w:rPr>
        <w:t>万元，全年执行数</w:t>
      </w:r>
      <w:r>
        <w:rPr>
          <w:rFonts w:hint="eastAsia" w:ascii="仿宋_GB2312" w:eastAsia="仿宋_GB2312"/>
          <w:color w:val="000000" w:themeColor="text1"/>
          <w:sz w:val="32"/>
          <w:szCs w:val="32"/>
          <w:highlight w:val="none"/>
          <w:lang w:val="en-US" w:eastAsia="zh-CN"/>
          <w14:textFill>
            <w14:solidFill>
              <w14:schemeClr w14:val="tx1"/>
            </w14:solidFill>
          </w14:textFill>
        </w:rPr>
        <w:t>14</w:t>
      </w:r>
      <w:r>
        <w:rPr>
          <w:rFonts w:hint="eastAsia" w:ascii="仿宋_GB2312" w:eastAsia="仿宋_GB2312"/>
          <w:color w:val="000000" w:themeColor="text1"/>
          <w:sz w:val="32"/>
          <w:szCs w:val="32"/>
          <w:highlight w:val="none"/>
          <w14:textFill>
            <w14:solidFill>
              <w14:schemeClr w14:val="tx1"/>
            </w14:solidFill>
          </w14:textFill>
        </w:rPr>
        <w:t>万元，不予以公开。</w:t>
      </w:r>
      <w:r>
        <w:rPr>
          <w:rFonts w:hint="eastAsia" w:ascii="仿宋_GB2312" w:eastAsia="仿宋_GB2312"/>
          <w:color w:val="000000" w:themeColor="text1"/>
          <w:sz w:val="32"/>
          <w:szCs w:val="32"/>
          <w:highlight w:val="none"/>
          <w:lang w:eastAsia="zh-CN"/>
          <w14:textFill>
            <w14:solidFill>
              <w14:schemeClr w14:val="tx1"/>
            </w14:solidFill>
          </w14:textFill>
        </w:rPr>
        <w:t>预算绩效管理取得的成效：一是提高特岗教</w:t>
      </w:r>
      <w:r>
        <w:rPr>
          <w:rFonts w:hint="eastAsia" w:ascii="仿宋_GB2312" w:eastAsia="仿宋_GB2312"/>
          <w:sz w:val="32"/>
          <w:szCs w:val="32"/>
          <w:highlight w:val="none"/>
          <w:lang w:eastAsia="zh-CN"/>
        </w:rPr>
        <w:t>师收入水平，确保特岗</w:t>
      </w:r>
      <w:bookmarkStart w:id="48" w:name="_GoBack"/>
      <w:bookmarkEnd w:id="48"/>
      <w:r>
        <w:rPr>
          <w:rFonts w:hint="eastAsia" w:ascii="仿宋_GB2312" w:eastAsia="仿宋_GB2312"/>
          <w:sz w:val="32"/>
          <w:szCs w:val="32"/>
          <w:highlight w:val="none"/>
          <w:lang w:eastAsia="zh-CN"/>
        </w:rPr>
        <w:t>教师同工同酬；改善办学条件；二是为提高教育教学水平提供保障。为我校服务的特岗教师提供生活保障，安心为教育事业贡献自己的力量；为教育教学开展提供保障。发现的问题及原因：一是项目目标设置需要更加完善；资金支付不及时；二是项目实施跟踪监控还需加强。下一步改进措施：一是继续完善预算目标制定；提高支付力度，确保资金及时足额支付；二是及时跟踪监控执行过程，保障项目顺利实施；及时跟踪监控执行过程，保障资金发放到位。</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numPr>
          <w:ilvl w:val="0"/>
          <w:numId w:val="2"/>
        </w:numPr>
        <w:kinsoku/>
        <w:wordWrap/>
        <w:overflowPunct/>
        <w:topLinePunct w:val="0"/>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其他需说明的事项</w:t>
      </w:r>
      <w:bookmarkStart w:id="30" w:name="_Toc3250"/>
      <w:bookmarkStart w:id="31" w:name="_Toc24143"/>
    </w:p>
    <w:p>
      <w:pPr>
        <w:keepNext w:val="0"/>
        <w:keepLines w:val="0"/>
        <w:pageBreakBefore w:val="0"/>
        <w:widowControl w:val="0"/>
        <w:numPr>
          <w:ilvl w:val="0"/>
          <w:numId w:val="0"/>
        </w:numPr>
        <w:kinsoku/>
        <w:wordWrap/>
        <w:overflowPunct/>
        <w:topLinePunct w:val="0"/>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本单位sm项目1个，全年预算数14万元，全年执行数14万元，不予以公开绩效自评表。</w:t>
      </w:r>
    </w:p>
    <w:p>
      <w:pP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br w:type="page"/>
      </w:r>
    </w:p>
    <w:p>
      <w:pPr>
        <w:keepNext w:val="0"/>
        <w:keepLines w:val="0"/>
        <w:pageBreakBefore w:val="0"/>
        <w:widowControl w:val="0"/>
        <w:numPr>
          <w:ilvl w:val="0"/>
          <w:numId w:val="0"/>
        </w:numPr>
        <w:kinsoku/>
        <w:wordWrap/>
        <w:overflowPunct/>
        <w:topLinePunct w:val="0"/>
        <w:bidi w:val="0"/>
        <w:adjustRightInd/>
        <w:snapToGrid/>
        <w:spacing w:line="240" w:lineRule="auto"/>
        <w:ind w:firstLine="640" w:firstLineChars="200"/>
        <w:jc w:val="center"/>
        <w:textAlignment w:val="auto"/>
        <w:outlineLvl w:val="9"/>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9"/>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D715DA"/>
    <w:multiLevelType w:val="singleLevel"/>
    <w:tmpl w:val="8AD715DA"/>
    <w:lvl w:ilvl="0" w:tentative="0">
      <w:start w:val="12"/>
      <w:numFmt w:val="chineseCounting"/>
      <w:suff w:val="nothing"/>
      <w:lvlText w:val="%1、"/>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MTA0ZjdhNTE2MGYwMzg2YjkyNzkwNmNhMGZmNzQifQ=="/>
    <w:docVar w:name="KSO_WPS_MARK_KEY" w:val="41ee2a61-2d54-4f93-83be-afdb9a40d732"/>
  </w:docVars>
  <w:rsids>
    <w:rsidRoot w:val="00000000"/>
    <w:rsid w:val="00213C59"/>
    <w:rsid w:val="003210CE"/>
    <w:rsid w:val="003618AF"/>
    <w:rsid w:val="007F4E68"/>
    <w:rsid w:val="00B70D59"/>
    <w:rsid w:val="00F52A8D"/>
    <w:rsid w:val="010C3691"/>
    <w:rsid w:val="019404F8"/>
    <w:rsid w:val="01C30B6B"/>
    <w:rsid w:val="01ED22F2"/>
    <w:rsid w:val="02AE51BB"/>
    <w:rsid w:val="02BD3108"/>
    <w:rsid w:val="02F73D26"/>
    <w:rsid w:val="034D4FEF"/>
    <w:rsid w:val="035D1785"/>
    <w:rsid w:val="039E7C3C"/>
    <w:rsid w:val="039F47CE"/>
    <w:rsid w:val="03BD5310"/>
    <w:rsid w:val="03E05CE8"/>
    <w:rsid w:val="03F973EE"/>
    <w:rsid w:val="04006857"/>
    <w:rsid w:val="043E5B56"/>
    <w:rsid w:val="04C04386"/>
    <w:rsid w:val="04D1736D"/>
    <w:rsid w:val="04D96608"/>
    <w:rsid w:val="04F210E4"/>
    <w:rsid w:val="04FA68C4"/>
    <w:rsid w:val="050017C8"/>
    <w:rsid w:val="053F5AE6"/>
    <w:rsid w:val="057C0B0F"/>
    <w:rsid w:val="05EF4B48"/>
    <w:rsid w:val="05F76ECA"/>
    <w:rsid w:val="06183A24"/>
    <w:rsid w:val="06780613"/>
    <w:rsid w:val="06792773"/>
    <w:rsid w:val="06FD75CA"/>
    <w:rsid w:val="07093795"/>
    <w:rsid w:val="07804730"/>
    <w:rsid w:val="079052BE"/>
    <w:rsid w:val="08145C21"/>
    <w:rsid w:val="08422688"/>
    <w:rsid w:val="085854ED"/>
    <w:rsid w:val="0879188F"/>
    <w:rsid w:val="08A0354D"/>
    <w:rsid w:val="08CD4C49"/>
    <w:rsid w:val="09114954"/>
    <w:rsid w:val="091677DA"/>
    <w:rsid w:val="095A5B83"/>
    <w:rsid w:val="096466E3"/>
    <w:rsid w:val="0968304D"/>
    <w:rsid w:val="09AF3D17"/>
    <w:rsid w:val="0A68514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105CBB"/>
    <w:rsid w:val="112E58D0"/>
    <w:rsid w:val="11731CAC"/>
    <w:rsid w:val="119500A0"/>
    <w:rsid w:val="11C0733B"/>
    <w:rsid w:val="11D50D17"/>
    <w:rsid w:val="120E0809"/>
    <w:rsid w:val="127F665A"/>
    <w:rsid w:val="12F7068C"/>
    <w:rsid w:val="14207DC0"/>
    <w:rsid w:val="14B932DA"/>
    <w:rsid w:val="150A66AF"/>
    <w:rsid w:val="154C1139"/>
    <w:rsid w:val="15781C3C"/>
    <w:rsid w:val="158C5B77"/>
    <w:rsid w:val="160D1149"/>
    <w:rsid w:val="163563C0"/>
    <w:rsid w:val="164315EF"/>
    <w:rsid w:val="16557DFE"/>
    <w:rsid w:val="167268FB"/>
    <w:rsid w:val="16770D0A"/>
    <w:rsid w:val="169A0039"/>
    <w:rsid w:val="16D50C50"/>
    <w:rsid w:val="16E120E1"/>
    <w:rsid w:val="17385A05"/>
    <w:rsid w:val="173B3901"/>
    <w:rsid w:val="176747F9"/>
    <w:rsid w:val="17920D22"/>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7D07CE"/>
    <w:rsid w:val="1FA15E62"/>
    <w:rsid w:val="1FED69B6"/>
    <w:rsid w:val="2064678E"/>
    <w:rsid w:val="20DC1AB9"/>
    <w:rsid w:val="20DD6197"/>
    <w:rsid w:val="212631E0"/>
    <w:rsid w:val="2138666F"/>
    <w:rsid w:val="21742080"/>
    <w:rsid w:val="21A53757"/>
    <w:rsid w:val="21F879E1"/>
    <w:rsid w:val="221236C6"/>
    <w:rsid w:val="22CA78CF"/>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21D4E"/>
    <w:rsid w:val="264A7253"/>
    <w:rsid w:val="26F0170C"/>
    <w:rsid w:val="26FE3B9A"/>
    <w:rsid w:val="27201D62"/>
    <w:rsid w:val="27286E73"/>
    <w:rsid w:val="27CF2642"/>
    <w:rsid w:val="27E777F5"/>
    <w:rsid w:val="27EA1D4C"/>
    <w:rsid w:val="27EA2E41"/>
    <w:rsid w:val="282459E2"/>
    <w:rsid w:val="283345C8"/>
    <w:rsid w:val="283A7FE5"/>
    <w:rsid w:val="285F51FF"/>
    <w:rsid w:val="28DA4193"/>
    <w:rsid w:val="28DF2665"/>
    <w:rsid w:val="29072599"/>
    <w:rsid w:val="291029F3"/>
    <w:rsid w:val="29CB58F0"/>
    <w:rsid w:val="2A053397"/>
    <w:rsid w:val="2A145E96"/>
    <w:rsid w:val="2A2131BB"/>
    <w:rsid w:val="2A3252D6"/>
    <w:rsid w:val="2AF5378F"/>
    <w:rsid w:val="2BB94DBF"/>
    <w:rsid w:val="2BF37410"/>
    <w:rsid w:val="2C016606"/>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230903"/>
    <w:rsid w:val="32601BAD"/>
    <w:rsid w:val="329F6389"/>
    <w:rsid w:val="330803BA"/>
    <w:rsid w:val="3389023A"/>
    <w:rsid w:val="33CB74FA"/>
    <w:rsid w:val="343642F2"/>
    <w:rsid w:val="343F3010"/>
    <w:rsid w:val="345D0A00"/>
    <w:rsid w:val="34713BFD"/>
    <w:rsid w:val="34C13589"/>
    <w:rsid w:val="353369E3"/>
    <w:rsid w:val="35AA610C"/>
    <w:rsid w:val="35B21E0B"/>
    <w:rsid w:val="35D35E37"/>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1634A6"/>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4C4759D"/>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D63152"/>
    <w:rsid w:val="4CEE3180"/>
    <w:rsid w:val="4D0F4AF6"/>
    <w:rsid w:val="4DF94F37"/>
    <w:rsid w:val="4E0A1DD5"/>
    <w:rsid w:val="4E3160E5"/>
    <w:rsid w:val="4E4D37AF"/>
    <w:rsid w:val="4E8C6496"/>
    <w:rsid w:val="4EFD18DE"/>
    <w:rsid w:val="4F144236"/>
    <w:rsid w:val="4F3D4630"/>
    <w:rsid w:val="4F663C87"/>
    <w:rsid w:val="4F7E29A8"/>
    <w:rsid w:val="4F8024D9"/>
    <w:rsid w:val="4F9E1FFC"/>
    <w:rsid w:val="50447CC2"/>
    <w:rsid w:val="50874A7C"/>
    <w:rsid w:val="50895EE7"/>
    <w:rsid w:val="50921B9D"/>
    <w:rsid w:val="50D16158"/>
    <w:rsid w:val="50DB5F45"/>
    <w:rsid w:val="50DE6EC6"/>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4444ED"/>
    <w:rsid w:val="57540E7D"/>
    <w:rsid w:val="577B4878"/>
    <w:rsid w:val="57926973"/>
    <w:rsid w:val="57D1482F"/>
    <w:rsid w:val="58175352"/>
    <w:rsid w:val="581F2200"/>
    <w:rsid w:val="583059FA"/>
    <w:rsid w:val="584A0929"/>
    <w:rsid w:val="58CD2491"/>
    <w:rsid w:val="58E05CAE"/>
    <w:rsid w:val="591B41B2"/>
    <w:rsid w:val="59254A26"/>
    <w:rsid w:val="59326325"/>
    <w:rsid w:val="595C505B"/>
    <w:rsid w:val="595E55C3"/>
    <w:rsid w:val="596E7E20"/>
    <w:rsid w:val="597B2CC1"/>
    <w:rsid w:val="59B21E00"/>
    <w:rsid w:val="5A5D23AA"/>
    <w:rsid w:val="5A60780B"/>
    <w:rsid w:val="5AA74C52"/>
    <w:rsid w:val="5AB34579"/>
    <w:rsid w:val="5AB40E78"/>
    <w:rsid w:val="5AF80B40"/>
    <w:rsid w:val="5AFC6609"/>
    <w:rsid w:val="5B113480"/>
    <w:rsid w:val="5BAD0D21"/>
    <w:rsid w:val="5BD456CE"/>
    <w:rsid w:val="5C067C58"/>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993A52"/>
    <w:rsid w:val="62DD7D21"/>
    <w:rsid w:val="637D586B"/>
    <w:rsid w:val="63A5560B"/>
    <w:rsid w:val="63E9091F"/>
    <w:rsid w:val="64322AF9"/>
    <w:rsid w:val="64D6010D"/>
    <w:rsid w:val="64D82665"/>
    <w:rsid w:val="64E47C96"/>
    <w:rsid w:val="651E5741"/>
    <w:rsid w:val="655C0382"/>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0D478E"/>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401E04"/>
    <w:rsid w:val="748658E6"/>
    <w:rsid w:val="748D790E"/>
    <w:rsid w:val="749820CC"/>
    <w:rsid w:val="74CE04EC"/>
    <w:rsid w:val="74E76DCD"/>
    <w:rsid w:val="751D7C0A"/>
    <w:rsid w:val="75722D56"/>
    <w:rsid w:val="75B75C38"/>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8B87834"/>
    <w:rsid w:val="790A6425"/>
    <w:rsid w:val="790E2D96"/>
    <w:rsid w:val="791B54B2"/>
    <w:rsid w:val="793C0F89"/>
    <w:rsid w:val="795A0A34"/>
    <w:rsid w:val="797339C3"/>
    <w:rsid w:val="79D57D57"/>
    <w:rsid w:val="79F00650"/>
    <w:rsid w:val="7A6242BF"/>
    <w:rsid w:val="7A794513"/>
    <w:rsid w:val="7A9B3811"/>
    <w:rsid w:val="7A9D4BCE"/>
    <w:rsid w:val="7AB467DA"/>
    <w:rsid w:val="7AB9318D"/>
    <w:rsid w:val="7AE952D2"/>
    <w:rsid w:val="7B756D34"/>
    <w:rsid w:val="7B9F26AF"/>
    <w:rsid w:val="7BB607FE"/>
    <w:rsid w:val="7C7248A0"/>
    <w:rsid w:val="7C976D69"/>
    <w:rsid w:val="7CD752DA"/>
    <w:rsid w:val="7CDE40AB"/>
    <w:rsid w:val="7CF057E2"/>
    <w:rsid w:val="7D1548B5"/>
    <w:rsid w:val="7D3B609A"/>
    <w:rsid w:val="7DF84014"/>
    <w:rsid w:val="7E207949"/>
    <w:rsid w:val="7E5C0A47"/>
    <w:rsid w:val="7E670C75"/>
    <w:rsid w:val="7EB427A0"/>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5409</Words>
  <Characters>6034</Characters>
  <Lines>0</Lines>
  <Paragraphs>0</Paragraphs>
  <TotalTime>1</TotalTime>
  <ScaleCrop>false</ScaleCrop>
  <LinksUpToDate>false</LinksUpToDate>
  <CharactersWithSpaces>6056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2025-04-08T11:32:03Z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653B0ED701D249F081B5EE952ED1F805_13</vt:lpwstr>
  </property>
</Properties>
</file>