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1038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ascii="华文中宋" w:hAnsi="华文中宋" w:eastAsia="华文中宋" w:cs="宋体"/>
          <w:b/>
          <w:kern w:val="0"/>
          <w:sz w:val="52"/>
          <w:szCs w:val="52"/>
        </w:rPr>
      </w:pPr>
    </w:p>
    <w:p w14:paraId="45CB7B3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ascii="华文中宋" w:hAnsi="华文中宋" w:eastAsia="华文中宋" w:cs="宋体"/>
          <w:b/>
          <w:kern w:val="0"/>
          <w:sz w:val="52"/>
          <w:szCs w:val="52"/>
        </w:rPr>
      </w:pPr>
    </w:p>
    <w:p w14:paraId="128292A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ascii="华文中宋" w:hAnsi="华文中宋" w:eastAsia="华文中宋" w:cs="宋体"/>
          <w:b/>
          <w:kern w:val="0"/>
          <w:sz w:val="52"/>
          <w:szCs w:val="52"/>
        </w:rPr>
      </w:pPr>
    </w:p>
    <w:p w14:paraId="3948C69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ascii="华文中宋" w:hAnsi="华文中宋" w:eastAsia="华文中宋" w:cs="宋体"/>
          <w:b/>
          <w:kern w:val="0"/>
          <w:sz w:val="52"/>
          <w:szCs w:val="52"/>
        </w:rPr>
      </w:pPr>
    </w:p>
    <w:p w14:paraId="29F941F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ascii="华文中宋" w:hAnsi="华文中宋" w:eastAsia="华文中宋" w:cs="宋体"/>
          <w:b/>
          <w:kern w:val="0"/>
          <w:sz w:val="52"/>
          <w:szCs w:val="52"/>
        </w:rPr>
      </w:pPr>
    </w:p>
    <w:p w14:paraId="279AEC3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方正小标宋简体" w:hAnsi="方正小标宋简体" w:eastAsia="方正小标宋简体" w:cs="方正小标宋简体"/>
          <w:b/>
          <w:kern w:val="0"/>
          <w:sz w:val="44"/>
          <w:szCs w:val="44"/>
        </w:rPr>
      </w:pPr>
    </w:p>
    <w:p w14:paraId="12FE4A7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自治区财政项目支出绩效自评报告</w:t>
      </w:r>
    </w:p>
    <w:p w14:paraId="218338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ascii="华文中宋" w:hAnsi="华文中宋" w:eastAsia="华文中宋" w:cs="宋体"/>
          <w:b/>
          <w:kern w:val="0"/>
          <w:sz w:val="52"/>
          <w:szCs w:val="52"/>
        </w:rPr>
      </w:pPr>
    </w:p>
    <w:p w14:paraId="4E12CBC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3683A4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eastAsia="仿宋_GB2312" w:cs="宋体"/>
          <w:kern w:val="0"/>
          <w:sz w:val="30"/>
          <w:szCs w:val="30"/>
        </w:rPr>
      </w:pPr>
    </w:p>
    <w:p w14:paraId="19DA46E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eastAsia="仿宋_GB2312" w:cs="宋体"/>
          <w:kern w:val="0"/>
          <w:sz w:val="30"/>
          <w:szCs w:val="30"/>
        </w:rPr>
      </w:pPr>
    </w:p>
    <w:p w14:paraId="471FCB7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eastAsia="仿宋_GB2312" w:cs="宋体"/>
          <w:kern w:val="0"/>
          <w:sz w:val="30"/>
          <w:szCs w:val="30"/>
        </w:rPr>
      </w:pPr>
    </w:p>
    <w:p w14:paraId="55F07D5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eastAsia="仿宋_GB2312" w:cs="宋体"/>
          <w:kern w:val="0"/>
          <w:sz w:val="30"/>
          <w:szCs w:val="30"/>
        </w:rPr>
      </w:pPr>
    </w:p>
    <w:p w14:paraId="1DC7C33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eastAsia="仿宋_GB2312" w:cs="宋体"/>
          <w:kern w:val="0"/>
          <w:sz w:val="30"/>
          <w:szCs w:val="30"/>
        </w:rPr>
      </w:pPr>
    </w:p>
    <w:p w14:paraId="21A52CF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eastAsia="仿宋_GB2312" w:cs="宋体"/>
          <w:kern w:val="0"/>
          <w:sz w:val="36"/>
          <w:szCs w:val="36"/>
        </w:rPr>
      </w:pPr>
    </w:p>
    <w:p w14:paraId="1DF69E5A">
      <w:pPr>
        <w:keepNext w:val="0"/>
        <w:keepLines w:val="0"/>
        <w:pageBreakBefore w:val="0"/>
        <w:widowControl w:val="0"/>
        <w:kinsoku/>
        <w:wordWrap/>
        <w:overflowPunct/>
        <w:topLinePunct w:val="0"/>
        <w:autoSpaceDE/>
        <w:autoSpaceDN/>
        <w:bidi w:val="0"/>
        <w:adjustRightInd/>
        <w:snapToGrid/>
        <w:spacing w:line="520" w:lineRule="exact"/>
        <w:ind w:firstLine="800" w:firstLineChars="250"/>
        <w:jc w:val="left"/>
        <w:textAlignment w:val="auto"/>
        <w:rPr>
          <w:rFonts w:hint="eastAsia" w:ascii="Times New Roman" w:hAnsi="宋体" w:eastAsia="仿宋_GB2312" w:cs="宋体"/>
          <w:kern w:val="0"/>
          <w:sz w:val="32"/>
          <w:szCs w:val="32"/>
        </w:rPr>
      </w:pPr>
      <w:r>
        <w:rPr>
          <w:rFonts w:hint="eastAsia" w:hAnsi="宋体" w:eastAsia="仿宋_GB2312" w:cs="宋体"/>
          <w:kern w:val="0"/>
          <w:sz w:val="32"/>
          <w:szCs w:val="32"/>
        </w:rPr>
        <w:t>项目名称：</w:t>
      </w:r>
      <w:r>
        <w:rPr>
          <w:rFonts w:hint="eastAsia" w:ascii="仿宋_GB2312" w:hAnsi="Times New Roman" w:eastAsia="仿宋_GB2312" w:cs="Times New Roman"/>
          <w:sz w:val="32"/>
          <w:szCs w:val="32"/>
          <w:highlight w:val="none"/>
        </w:rPr>
        <w:t>沙湾市第一幼儿园学前教育县市配套保育保</w:t>
      </w:r>
      <w:r>
        <w:rPr>
          <w:rFonts w:hint="eastAsia" w:ascii="Times New Roman" w:hAnsi="宋体" w:eastAsia="仿宋_GB2312" w:cs="宋体"/>
          <w:kern w:val="0"/>
          <w:sz w:val="32"/>
          <w:szCs w:val="32"/>
        </w:rPr>
        <w:t>教费及伙食费项目</w:t>
      </w:r>
    </w:p>
    <w:p w14:paraId="6298D5B3">
      <w:pPr>
        <w:keepNext w:val="0"/>
        <w:keepLines w:val="0"/>
        <w:pageBreakBefore w:val="0"/>
        <w:widowControl w:val="0"/>
        <w:kinsoku/>
        <w:wordWrap/>
        <w:overflowPunct/>
        <w:topLinePunct w:val="0"/>
        <w:autoSpaceDE/>
        <w:autoSpaceDN/>
        <w:bidi w:val="0"/>
        <w:adjustRightInd/>
        <w:snapToGrid/>
        <w:spacing w:line="520" w:lineRule="exact"/>
        <w:ind w:firstLine="800" w:firstLineChars="250"/>
        <w:jc w:val="left"/>
        <w:textAlignment w:val="auto"/>
        <w:rPr>
          <w:rFonts w:hint="eastAsia" w:ascii="Times New Roman" w:hAnsi="宋体" w:eastAsia="仿宋_GB2312" w:cs="宋体"/>
          <w:kern w:val="0"/>
          <w:sz w:val="32"/>
          <w:szCs w:val="32"/>
        </w:rPr>
      </w:pPr>
      <w:r>
        <w:rPr>
          <w:rFonts w:hint="eastAsia" w:ascii="Times New Roman" w:hAnsi="宋体" w:eastAsia="仿宋_GB2312" w:cs="宋体"/>
          <w:kern w:val="0"/>
          <w:sz w:val="32"/>
          <w:szCs w:val="32"/>
        </w:rPr>
        <w:t>实施单位（公章）：沙湾市第一幼儿园</w:t>
      </w:r>
    </w:p>
    <w:p w14:paraId="47363786">
      <w:pPr>
        <w:keepNext w:val="0"/>
        <w:keepLines w:val="0"/>
        <w:pageBreakBefore w:val="0"/>
        <w:widowControl w:val="0"/>
        <w:kinsoku/>
        <w:wordWrap/>
        <w:overflowPunct/>
        <w:topLinePunct w:val="0"/>
        <w:autoSpaceDE/>
        <w:autoSpaceDN/>
        <w:bidi w:val="0"/>
        <w:adjustRightInd/>
        <w:snapToGrid/>
        <w:spacing w:line="520" w:lineRule="exact"/>
        <w:ind w:firstLine="800" w:firstLineChars="250"/>
        <w:jc w:val="left"/>
        <w:textAlignment w:val="auto"/>
        <w:rPr>
          <w:rFonts w:hint="eastAsia" w:ascii="Times New Roman" w:hAnsi="宋体" w:eastAsia="仿宋_GB2312" w:cs="宋体"/>
          <w:kern w:val="0"/>
          <w:sz w:val="32"/>
          <w:szCs w:val="32"/>
        </w:rPr>
      </w:pPr>
      <w:r>
        <w:rPr>
          <w:rFonts w:hint="eastAsia" w:ascii="Times New Roman" w:hAnsi="宋体" w:eastAsia="仿宋_GB2312" w:cs="宋体"/>
          <w:kern w:val="0"/>
          <w:sz w:val="32"/>
          <w:szCs w:val="32"/>
        </w:rPr>
        <w:t>主管部门（公章）：沙湾市第一幼儿园</w:t>
      </w:r>
    </w:p>
    <w:p w14:paraId="74C6F4E4">
      <w:pPr>
        <w:keepNext w:val="0"/>
        <w:keepLines w:val="0"/>
        <w:pageBreakBefore w:val="0"/>
        <w:widowControl w:val="0"/>
        <w:kinsoku/>
        <w:wordWrap/>
        <w:overflowPunct/>
        <w:topLinePunct w:val="0"/>
        <w:autoSpaceDE/>
        <w:autoSpaceDN/>
        <w:bidi w:val="0"/>
        <w:adjustRightInd/>
        <w:snapToGrid/>
        <w:spacing w:line="520" w:lineRule="exact"/>
        <w:ind w:firstLine="800" w:firstLineChars="250"/>
        <w:jc w:val="left"/>
        <w:textAlignment w:val="auto"/>
        <w:rPr>
          <w:rFonts w:hint="eastAsia" w:ascii="Times New Roman" w:hAnsi="宋体" w:eastAsia="仿宋_GB2312" w:cs="宋体"/>
          <w:kern w:val="0"/>
          <w:sz w:val="32"/>
          <w:szCs w:val="32"/>
        </w:rPr>
      </w:pPr>
      <w:r>
        <w:rPr>
          <w:rFonts w:hint="eastAsia" w:ascii="Times New Roman" w:hAnsi="宋体" w:eastAsia="仿宋_GB2312" w:cs="宋体"/>
          <w:kern w:val="0"/>
          <w:sz w:val="32"/>
          <w:szCs w:val="32"/>
        </w:rPr>
        <w:t>项目负责人（签章）：朱家瑶</w:t>
      </w:r>
    </w:p>
    <w:p w14:paraId="7FAD739D">
      <w:pPr>
        <w:keepNext w:val="0"/>
        <w:keepLines w:val="0"/>
        <w:pageBreakBefore w:val="0"/>
        <w:widowControl w:val="0"/>
        <w:kinsoku/>
        <w:wordWrap/>
        <w:overflowPunct/>
        <w:topLinePunct w:val="0"/>
        <w:autoSpaceDE/>
        <w:autoSpaceDN/>
        <w:bidi w:val="0"/>
        <w:adjustRightInd/>
        <w:snapToGrid/>
        <w:spacing w:line="520" w:lineRule="exact"/>
        <w:ind w:firstLine="800" w:firstLineChars="250"/>
        <w:jc w:val="left"/>
        <w:textAlignment w:val="auto"/>
        <w:rPr>
          <w:rFonts w:hint="eastAsia" w:ascii="Times New Roman" w:hAnsi="宋体" w:eastAsia="仿宋_GB2312" w:cs="宋体"/>
          <w:kern w:val="0"/>
          <w:sz w:val="32"/>
          <w:szCs w:val="32"/>
        </w:rPr>
      </w:pPr>
      <w:r>
        <w:rPr>
          <w:rFonts w:hint="eastAsia" w:ascii="Times New Roman" w:hAnsi="宋体" w:eastAsia="仿宋_GB2312" w:cs="宋体"/>
          <w:kern w:val="0"/>
          <w:sz w:val="32"/>
          <w:szCs w:val="32"/>
        </w:rPr>
        <w:t>填报时间：2024年04月22日</w:t>
      </w:r>
    </w:p>
    <w:p w14:paraId="5543C6DA">
      <w:pPr>
        <w:keepNext w:val="0"/>
        <w:keepLines w:val="0"/>
        <w:pageBreakBefore w:val="0"/>
        <w:widowControl w:val="0"/>
        <w:kinsoku/>
        <w:wordWrap/>
        <w:overflowPunct/>
        <w:topLinePunct w:val="0"/>
        <w:autoSpaceDE/>
        <w:autoSpaceDN/>
        <w:bidi w:val="0"/>
        <w:adjustRightInd/>
        <w:snapToGrid/>
        <w:spacing w:line="520" w:lineRule="exact"/>
        <w:ind w:firstLine="708" w:firstLineChars="236"/>
        <w:jc w:val="left"/>
        <w:textAlignment w:val="auto"/>
        <w:rPr>
          <w:rFonts w:hAnsi="宋体" w:eastAsia="仿宋_GB2312" w:cs="宋体"/>
          <w:kern w:val="0"/>
          <w:sz w:val="30"/>
          <w:szCs w:val="30"/>
        </w:rPr>
      </w:pPr>
    </w:p>
    <w:p w14:paraId="4E22532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Style w:val="18"/>
          <w:rFonts w:ascii="黑体" w:hAnsi="黑体" w:eastAsia="黑体"/>
          <w:b w:val="0"/>
          <w:spacing w:val="-4"/>
          <w:sz w:val="32"/>
          <w:szCs w:val="32"/>
        </w:rPr>
      </w:pPr>
    </w:p>
    <w:p w14:paraId="76387B8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Style w:val="18"/>
          <w:rFonts w:ascii="黑体" w:hAnsi="黑体" w:eastAsia="黑体"/>
          <w:b w:val="0"/>
          <w:spacing w:val="-4"/>
          <w:sz w:val="32"/>
          <w:szCs w:val="32"/>
        </w:rPr>
      </w:pPr>
    </w:p>
    <w:p w14:paraId="25C1B51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Style w:val="18"/>
          <w:rFonts w:ascii="黑体" w:hAnsi="黑体" w:eastAsia="黑体"/>
          <w:b w:val="0"/>
          <w:spacing w:val="-4"/>
          <w:sz w:val="32"/>
          <w:szCs w:val="32"/>
        </w:rPr>
      </w:pPr>
    </w:p>
    <w:p w14:paraId="4268465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Style w:val="18"/>
          <w:rFonts w:ascii="黑体" w:hAnsi="黑体" w:eastAsia="黑体"/>
          <w:b w:val="0"/>
          <w:spacing w:val="-4"/>
          <w:sz w:val="32"/>
          <w:szCs w:val="32"/>
        </w:rPr>
      </w:pPr>
    </w:p>
    <w:p w14:paraId="1A54C1DD">
      <w:pPr>
        <w:keepNext w:val="0"/>
        <w:keepLines w:val="0"/>
        <w:pageBreakBefore w:val="0"/>
        <w:widowControl w:val="0"/>
        <w:kinsoku/>
        <w:wordWrap/>
        <w:overflowPunct/>
        <w:topLinePunct w:val="0"/>
        <w:autoSpaceDE/>
        <w:autoSpaceDN/>
        <w:bidi w:val="0"/>
        <w:adjustRightInd/>
        <w:snapToGrid/>
        <w:spacing w:line="520" w:lineRule="exact"/>
        <w:ind w:firstLine="0" w:firstLineChars="0"/>
        <w:jc w:val="left"/>
        <w:textAlignment w:val="auto"/>
        <w:outlineLvl w:val="0"/>
        <w:rPr>
          <w:rFonts w:hint="eastAsia"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一、项目概况</w:t>
      </w:r>
    </w:p>
    <w:p w14:paraId="5808293B">
      <w:pPr>
        <w:keepNext w:val="0"/>
        <w:keepLines w:val="0"/>
        <w:pageBreakBefore w:val="0"/>
        <w:widowControl w:val="0"/>
        <w:kinsoku/>
        <w:wordWrap/>
        <w:overflowPunct/>
        <w:topLinePunct w:val="0"/>
        <w:autoSpaceDE/>
        <w:autoSpaceDN/>
        <w:bidi w:val="0"/>
        <w:adjustRightInd/>
        <w:snapToGrid/>
        <w:spacing w:line="520" w:lineRule="exact"/>
        <w:ind w:firstLine="0" w:firstLineChars="0"/>
        <w:jc w:val="left"/>
        <w:textAlignment w:val="auto"/>
        <w:outlineLvl w:val="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（一）项目单位基本情况</w:t>
      </w:r>
    </w:p>
    <w:p w14:paraId="0FC41BE5">
      <w:pPr>
        <w:keepNext w:val="0"/>
        <w:keepLines w:val="0"/>
        <w:pageBreakBefore w:val="0"/>
        <w:widowControl w:val="0"/>
        <w:kinsoku/>
        <w:wordWrap/>
        <w:overflowPunct/>
        <w:topLinePunct w:val="0"/>
        <w:autoSpaceDE/>
        <w:autoSpaceDN/>
        <w:bidi w:val="0"/>
        <w:adjustRightInd/>
        <w:snapToGrid/>
        <w:spacing w:line="520" w:lineRule="exact"/>
        <w:ind w:left="638" w:leftChars="304" w:firstLine="219" w:firstLineChars="70"/>
        <w:jc w:val="left"/>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1.项目背景</w:t>
      </w:r>
    </w:p>
    <w:p w14:paraId="5FD1F3C9">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spacing w:val="-4"/>
          <w:sz w:val="32"/>
          <w:szCs w:val="32"/>
          <w:lang w:val="en-US" w:eastAsia="zh-CN"/>
        </w:rPr>
      </w:pPr>
      <w:r>
        <w:rPr>
          <w:rStyle w:val="18"/>
          <w:rFonts w:hint="eastAsia" w:ascii="仿宋_GB2312" w:hAnsi="仿宋_GB2312" w:eastAsia="仿宋_GB2312" w:cs="仿宋_GB2312"/>
          <w:b w:val="0"/>
          <w:bCs w:val="0"/>
          <w:spacing w:val="-4"/>
          <w:sz w:val="32"/>
          <w:szCs w:val="32"/>
        </w:rPr>
        <w:t>贯彻执行党和国家有关幼儿教育的方针、政策以及 教育法规、规章,坚持正确的办园方向。执行上级的指示和决议; 贯彻执行《幼儿教育纲要》和《幼儿园工作规程》,深化改革,强化管理,使各项工作程序化,规范化,制度化,不断提高保教水平。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沙湾市第一幼儿园根据沙湾市财政局《2023年学前三年教育、义务教育、普通高中、中职教育保障经费配套资金的通知》（沙财教[2023]27号）文件要求，积极开展了学前教育县市配套保育保教费及伙食费项目，以解决幼儿园入学难等群众最关心、最直接、最现实的利益问题为导向，保障幼儿园园区其他工作的正常运转，进一步改善幼儿生活条件，减轻幼儿家庭负担。完善了幼儿园配套设施，保障了幼儿园正常运转，对基础设施的完善有一定的提升作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spacing w:val="-4"/>
          <w:sz w:val="32"/>
          <w:szCs w:val="32"/>
          <w:lang w:val="en-US" w:eastAsia="zh-CN"/>
        </w:rPr>
        <w:t xml:space="preserve"> </w:t>
      </w:r>
      <w:r>
        <w:rPr>
          <w:rStyle w:val="18"/>
          <w:rFonts w:hint="eastAsia" w:ascii="仿宋_GB2312" w:hAnsi="仿宋_GB2312" w:eastAsia="仿宋_GB2312" w:cs="仿宋_GB2312"/>
          <w:spacing w:val="-4"/>
          <w:sz w:val="32"/>
          <w:szCs w:val="32"/>
        </w:rPr>
        <w:t>2.项目主要内容及实施情况</w:t>
      </w:r>
      <w:r>
        <w:rPr>
          <w:rStyle w:val="18"/>
          <w:rFonts w:hint="eastAsia" w:ascii="仿宋_GB2312" w:hAnsi="仿宋_GB2312" w:eastAsia="仿宋_GB2312" w:cs="仿宋_GB2312"/>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主要内容为：根据沙湾市财政局《2023年学前三年教育、义务教育、普通高中、中职教育保障经费配套资金的通知》（沙财教[2023]27号）文件，沙湾市第一幼儿园学前教育县市配套保育保教费及伙食费项目预算安排资金总额120.27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本项目于2023年1月开始实施，截</w:t>
      </w:r>
      <w:r>
        <w:rPr>
          <w:rStyle w:val="18"/>
          <w:rFonts w:hint="eastAsia" w:ascii="仿宋_GB2312" w:hAnsi="仿宋_GB2312" w:eastAsia="仿宋_GB2312" w:cs="仿宋_GB2312"/>
          <w:b w:val="0"/>
          <w:bCs w:val="0"/>
          <w:spacing w:val="-4"/>
          <w:sz w:val="32"/>
          <w:szCs w:val="32"/>
          <w:lang w:eastAsia="zh-CN"/>
        </w:rPr>
        <w:t>至</w:t>
      </w:r>
      <w:r>
        <w:rPr>
          <w:rStyle w:val="18"/>
          <w:rFonts w:hint="eastAsia" w:ascii="仿宋_GB2312" w:hAnsi="仿宋_GB2312" w:eastAsia="仿宋_GB2312" w:cs="仿宋_GB2312"/>
          <w:b w:val="0"/>
          <w:bCs w:val="0"/>
          <w:spacing w:val="-4"/>
          <w:sz w:val="32"/>
          <w:szCs w:val="32"/>
        </w:rPr>
        <w:t>2023年12月，该项目已实施完成，各项任务指标全部完成。通过本项目的实施，提高质量的政策引领作用，用于保障单位政策运转项目支出，学前教育教育经费（伙食费、取暖费、公用经费）项目实施，使学前保障经费能够保障幼儿园正常运转，用于单位商品服务支出，完善学前教育经费保障机制，保障幼儿园的正常运转，保证幼儿园园舍安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spacing w:val="-4"/>
          <w:sz w:val="32"/>
          <w:szCs w:val="32"/>
          <w:lang w:val="en-US" w:eastAsia="zh-CN"/>
        </w:rPr>
        <w:t>3.项目实施主体</w:t>
      </w:r>
    </w:p>
    <w:p w14:paraId="706AA7EA">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spacing w:val="-4"/>
          <w:sz w:val="32"/>
          <w:szCs w:val="32"/>
          <w:lang w:val="en-US" w:eastAsia="zh-CN"/>
        </w:rPr>
      </w:pPr>
      <w:r>
        <w:rPr>
          <w:rStyle w:val="18"/>
          <w:rFonts w:hint="eastAsia" w:ascii="仿宋_GB2312" w:hAnsi="仿宋_GB2312" w:eastAsia="仿宋_GB2312" w:cs="仿宋_GB2312"/>
          <w:b w:val="0"/>
          <w:bCs w:val="0"/>
          <w:spacing w:val="-4"/>
          <w:sz w:val="32"/>
          <w:szCs w:val="32"/>
        </w:rPr>
        <w:t>2023年沙湾市第一幼儿园学前教育县市配套保育保教费及伙食费项目的实施主体为沙湾市第一幼儿园。</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spacing w:val="-4"/>
          <w:sz w:val="32"/>
          <w:szCs w:val="32"/>
          <w:lang w:val="en-US" w:eastAsia="zh-CN"/>
        </w:rPr>
        <w:t>4. 资金投入和使用情况</w:t>
      </w:r>
    </w:p>
    <w:p w14:paraId="0CA75D72">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313" w:leftChars="149" w:firstLine="312" w:firstLineChars="1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项目资金安排落实、总投入情况</w:t>
      </w:r>
    </w:p>
    <w:p w14:paraId="4B4EEB9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both"/>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沙湾市财政局《2023年学前三年教育、义务教育、普通高中、中职教育保障经费配套资金的通知》（沙财教[2023]27号）文件，沙湾市第一幼儿园学前教育县市配套保育保教费及伙食费项目预算安排资金总额120.27万元，其中财政资金120.27万元、其他资金0万元；2023年实际收到预算资金120.27万元，预算资金到位率为100%。</w:t>
      </w:r>
    </w:p>
    <w:p w14:paraId="2B4E2B1B">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（2）项目资金实际使用情况</w:t>
      </w:r>
    </w:p>
    <w:p w14:paraId="486A8247">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截至2023年12月31日，本项目实际支付资金120.27万元，预算执行率100%，项目资金主要用于支付幼儿园主体及附属工程14万元、维修费4.57万元，办公费101.7万元。</w:t>
      </w:r>
    </w:p>
    <w:p w14:paraId="2C965395">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（二）项目预算绩效目标设定情况</w:t>
      </w:r>
    </w:p>
    <w:p w14:paraId="43E81E75">
      <w:pPr>
        <w:keepNext w:val="0"/>
        <w:keepLines w:val="0"/>
        <w:pageBreakBefore w:val="0"/>
        <w:widowControl w:val="0"/>
        <w:kinsoku/>
        <w:wordWrap/>
        <w:overflowPunct/>
        <w:topLinePunct w:val="0"/>
        <w:autoSpaceDE/>
        <w:autoSpaceDN/>
        <w:bidi w:val="0"/>
        <w:adjustRightInd/>
        <w:snapToGrid/>
        <w:spacing w:line="520" w:lineRule="exact"/>
        <w:ind w:left="319" w:leftChars="152" w:firstLine="533" w:firstLineChars="170"/>
        <w:jc w:val="left"/>
        <w:textAlignment w:val="auto"/>
        <w:rPr>
          <w:rStyle w:val="18"/>
          <w:rFonts w:hint="eastAsia" w:ascii="仿宋_GB2312" w:hAnsi="仿宋_GB2312" w:eastAsia="仿宋_GB2312" w:cs="仿宋_GB2312"/>
          <w:spacing w:val="-4"/>
          <w:sz w:val="32"/>
          <w:szCs w:val="32"/>
          <w:lang w:val="en-US" w:eastAsia="zh-CN"/>
        </w:rPr>
      </w:pPr>
      <w:r>
        <w:rPr>
          <w:rStyle w:val="18"/>
          <w:rFonts w:hint="eastAsia" w:ascii="仿宋_GB2312" w:hAnsi="仿宋_GB2312" w:eastAsia="仿宋_GB2312" w:cs="仿宋_GB2312"/>
          <w:spacing w:val="-4"/>
          <w:sz w:val="32"/>
          <w:szCs w:val="32"/>
          <w:lang w:val="en-US" w:eastAsia="zh-CN"/>
        </w:rPr>
        <w:t>1.总体目标</w:t>
      </w:r>
    </w:p>
    <w:p w14:paraId="103F4DB0">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2023年12月20日前支付120.27万元，完成学期保障人数285人，学前教育生活补助标准2800元/生/年，资金使用规范率100%，资金支付及时率100%。通过项目的实施达到保障幼儿园各项工作顺利开展的开展。保障幼儿园园区其他工作的正常运转，进一步改善幼儿生活条件，减轻幼儿家庭负担，完善了幼儿园配套设施，保障了幼儿园正常运转，对基础设施的完善有一定的提升作用。</w:t>
      </w:r>
    </w:p>
    <w:p w14:paraId="68B3A418">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全年项目计划实现目标如下：“目标1：“学前保障人数285人，本着就近入园，免费入园的原则，以解决幼儿入园难的问题。目标2:项目资</w:t>
      </w:r>
      <w:r>
        <w:rPr>
          <w:rStyle w:val="18"/>
          <w:rFonts w:hint="eastAsia" w:ascii="仿宋_GB2312" w:hAnsi="仿宋_GB2312" w:eastAsia="仿宋_GB2312" w:cs="仿宋_GB2312"/>
          <w:b w:val="0"/>
          <w:bCs w:val="0"/>
          <w:spacing w:val="-4"/>
          <w:sz w:val="32"/>
          <w:szCs w:val="32"/>
          <w:lang w:eastAsia="zh-CN"/>
        </w:rPr>
        <w:t>金</w:t>
      </w:r>
      <w:r>
        <w:rPr>
          <w:rStyle w:val="18"/>
          <w:rFonts w:hint="eastAsia" w:ascii="仿宋_GB2312" w:hAnsi="仿宋_GB2312" w:eastAsia="仿宋_GB2312" w:cs="仿宋_GB2312"/>
          <w:b w:val="0"/>
          <w:bCs w:val="0"/>
          <w:spacing w:val="-4"/>
          <w:sz w:val="32"/>
          <w:szCs w:val="32"/>
        </w:rPr>
        <w:t>使用规范率100%；目标3:资金支付及时率100%；目标4:项目完成时间为2023年12月25日前。目标5：学前教育生活补助标准为2800元/生/年，目标6：保障幼儿园各项工作顺利开展，目标7:家长满意率”计划通过本项目的实施，有效完成学前享受补助幼儿人数，保障幼儿园园区其他工作的正常运转，进一步改善幼儿生活条件，减轻幼儿家庭负担。增强人民群众幸福感、满足感，同时提高居民安全水平，维护社会稳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spacing w:val="-4"/>
          <w:sz w:val="32"/>
          <w:szCs w:val="32"/>
          <w:lang w:val="en-US" w:eastAsia="zh-CN"/>
        </w:rPr>
        <w:t>2.阶段性目标</w:t>
      </w:r>
      <w:r>
        <w:rPr>
          <w:rStyle w:val="18"/>
          <w:rFonts w:hint="eastAsia" w:ascii="仿宋_GB2312" w:hAnsi="仿宋_GB2312" w:eastAsia="仿宋_GB2312" w:cs="仿宋_GB2312"/>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p>
    <w:p w14:paraId="5BCCAB32">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项目产出指标</w:t>
      </w:r>
    </w:p>
    <w:p w14:paraId="5823B6C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①数量指标</w:t>
      </w:r>
    </w:p>
    <w:p w14:paraId="3C29686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rPr>
        <w:t>“学前保障人数”指标，预期指标值为“大于等于285</w:t>
      </w:r>
      <w:r>
        <w:rPr>
          <w:rStyle w:val="18"/>
          <w:rFonts w:hint="eastAsia" w:ascii="仿宋_GB2312" w:hAnsi="仿宋_GB2312" w:eastAsia="仿宋_GB2312" w:cs="仿宋_GB2312"/>
          <w:b w:val="0"/>
          <w:bCs w:val="0"/>
          <w:spacing w:val="-4"/>
          <w:sz w:val="32"/>
          <w:szCs w:val="32"/>
          <w:lang w:val="en-US" w:eastAsia="zh-CN"/>
        </w:rPr>
        <w:t>%；</w:t>
      </w:r>
    </w:p>
    <w:p w14:paraId="23C6BB3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②质量指标</w:t>
      </w:r>
    </w:p>
    <w:p w14:paraId="49831D6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default"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rPr>
        <w:t>“项目资</w:t>
      </w:r>
      <w:r>
        <w:rPr>
          <w:rStyle w:val="18"/>
          <w:rFonts w:hint="eastAsia" w:ascii="仿宋_GB2312" w:hAnsi="仿宋_GB2312" w:eastAsia="仿宋_GB2312" w:cs="仿宋_GB2312"/>
          <w:b w:val="0"/>
          <w:bCs w:val="0"/>
          <w:spacing w:val="-4"/>
          <w:sz w:val="32"/>
          <w:szCs w:val="32"/>
          <w:lang w:eastAsia="zh-CN"/>
        </w:rPr>
        <w:t>金</w:t>
      </w:r>
      <w:r>
        <w:rPr>
          <w:rStyle w:val="18"/>
          <w:rFonts w:hint="eastAsia" w:ascii="仿宋_GB2312" w:hAnsi="仿宋_GB2312" w:eastAsia="仿宋_GB2312" w:cs="仿宋_GB2312"/>
          <w:b w:val="0"/>
          <w:bCs w:val="0"/>
          <w:spacing w:val="-4"/>
          <w:sz w:val="32"/>
          <w:szCs w:val="32"/>
        </w:rPr>
        <w:t>使用规范率”指标，预期指标值为“等于10</w:t>
      </w:r>
      <w:r>
        <w:rPr>
          <w:rStyle w:val="18"/>
          <w:rFonts w:hint="eastAsia" w:ascii="仿宋_GB2312" w:hAnsi="仿宋_GB2312" w:eastAsia="仿宋_GB2312" w:cs="仿宋_GB2312"/>
          <w:b w:val="0"/>
          <w:bCs w:val="0"/>
          <w:spacing w:val="-4"/>
          <w:sz w:val="32"/>
          <w:szCs w:val="32"/>
          <w:lang w:val="en-US" w:eastAsia="zh-CN"/>
        </w:rPr>
        <w:t>0%；</w:t>
      </w:r>
    </w:p>
    <w:p w14:paraId="71C9158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③时效指标</w:t>
      </w:r>
    </w:p>
    <w:p w14:paraId="49251D8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“资金支付及时率”指标，预期指标值为“等于100%”；</w:t>
      </w:r>
    </w:p>
    <w:p w14:paraId="35B866F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“项目完成时间”指标，预期指标值为“2023年12月25日前”。</w:t>
      </w:r>
    </w:p>
    <w:p w14:paraId="43C42CC3">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项目成本指标</w:t>
      </w:r>
    </w:p>
    <w:p w14:paraId="20DDC59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①经济成本指标</w:t>
      </w:r>
    </w:p>
    <w:p w14:paraId="5C5D068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“学前教育生活补助标准”指标，预期指标值为“等于2800元/生/年”；</w:t>
      </w:r>
    </w:p>
    <w:p w14:paraId="08811CA1">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项目效益指标</w:t>
      </w:r>
    </w:p>
    <w:p w14:paraId="18A24BA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①经济效益指标</w:t>
      </w:r>
    </w:p>
    <w:p w14:paraId="6E462E2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无此项指标。</w:t>
      </w:r>
    </w:p>
    <w:p w14:paraId="7740C08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②社会效益指标</w:t>
      </w:r>
    </w:p>
    <w:p w14:paraId="1E38A8A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“保障幼儿园各项工作顺利开展”指标，预期指标值为“有效保障”；</w:t>
      </w:r>
    </w:p>
    <w:p w14:paraId="1E5C880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③生态效益指标</w:t>
      </w:r>
    </w:p>
    <w:p w14:paraId="127A9D3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无此项指标。</w:t>
      </w:r>
    </w:p>
    <w:p w14:paraId="2B5DC812">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相关满意度目标</w:t>
      </w:r>
    </w:p>
    <w:p w14:paraId="1C58F0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“家长满意率”指标，预期指标值为“大于等于95%”；</w:t>
      </w:r>
    </w:p>
    <w:p w14:paraId="0950C14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二、项目资金使用及管理情况</w:t>
      </w:r>
    </w:p>
    <w:p w14:paraId="750D943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2"/>
        <w:rPr>
          <w:rFonts w:hint="eastAsia" w:ascii="黑体" w:hAnsi="黑体" w:eastAsia="黑体" w:cs="Times New Roman"/>
          <w:color w:val="auto"/>
          <w:sz w:val="32"/>
          <w:szCs w:val="32"/>
          <w:highlight w:val="none"/>
          <w:lang w:eastAsia="zh-CN"/>
        </w:rPr>
      </w:pPr>
      <w:r>
        <w:rPr>
          <w:rFonts w:hint="eastAsia" w:ascii="黑体" w:hAnsi="黑体" w:eastAsia="黑体" w:cs="Times New Roman"/>
          <w:color w:val="auto"/>
          <w:sz w:val="32"/>
          <w:szCs w:val="32"/>
          <w:highlight w:val="none"/>
          <w:lang w:eastAsia="zh-CN"/>
        </w:rPr>
        <w:t>（一）项目资金安排落实、总投入等情况分析</w:t>
      </w:r>
    </w:p>
    <w:p w14:paraId="0F25A803">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1.绩效评价的目的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5A5A819F">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2.绩效评价的对象和范围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沙湾市第一幼儿园学前教育县市配套保育保教费及伙食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8738AFE">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lang w:val="en-US" w:eastAsia="zh-CN"/>
        </w:rPr>
        <w:t>(</w:t>
      </w:r>
      <w:r>
        <w:rPr>
          <w:rStyle w:val="18"/>
          <w:rFonts w:hint="eastAsia" w:ascii="黑体" w:hAnsi="黑体" w:eastAsia="黑体" w:cs="黑体"/>
          <w:b w:val="0"/>
          <w:bCs w:val="0"/>
          <w:spacing w:val="-4"/>
          <w:sz w:val="32"/>
          <w:szCs w:val="32"/>
        </w:rPr>
        <w:t>二）项目资金实际使用情况分析</w:t>
      </w:r>
    </w:p>
    <w:p w14:paraId="1D4711A9">
      <w:pPr>
        <w:keepNext w:val="0"/>
        <w:keepLines w:val="0"/>
        <w:pageBreakBefore w:val="0"/>
        <w:widowControl w:val="0"/>
        <w:kinsoku/>
        <w:wordWrap/>
        <w:overflowPunct/>
        <w:topLinePunct w:val="0"/>
        <w:autoSpaceDE/>
        <w:autoSpaceDN/>
        <w:bidi w:val="0"/>
        <w:adjustRightInd/>
        <w:snapToGrid/>
        <w:spacing w:line="520" w:lineRule="exact"/>
        <w:ind w:left="638" w:leftChars="304" w:firstLine="0" w:firstLineChars="0"/>
        <w:jc w:val="left"/>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1.绩效评价原则</w:t>
      </w:r>
    </w:p>
    <w:p w14:paraId="736D5929">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沙湾市第一幼儿园学前教育县市配套保育保教费及伙食费项目实际开展情况，运用定量和定性分析相结合的方法，总结经验做法，反思项目实施和管理中的问题，以切实提升财政资金管理的科学化、规范化和精细化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根据以上原则，绩效评价遵循如下具体要求：</w:t>
      </w:r>
    </w:p>
    <w:p w14:paraId="44873D28">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黑体" w:hAnsi="黑体" w:eastAsia="黑体" w:cs="黑体"/>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rPr>
        <w:t>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黑体" w:hAnsi="黑体" w:eastAsia="黑体" w:cs="黑体"/>
          <w:b w:val="0"/>
          <w:bCs w:val="0"/>
          <w:spacing w:val="-4"/>
          <w:sz w:val="32"/>
          <w:szCs w:val="32"/>
          <w:lang w:val="en-US" w:eastAsia="zh-CN"/>
        </w:rPr>
        <w:t xml:space="preserve"> </w:t>
      </w:r>
      <w:r>
        <w:rPr>
          <w:rStyle w:val="18"/>
          <w:rFonts w:hint="eastAsia" w:ascii="黑体" w:hAnsi="黑体" w:eastAsia="黑体" w:cs="黑体"/>
          <w:b w:val="0"/>
          <w:bCs w:val="0"/>
          <w:spacing w:val="-4"/>
          <w:sz w:val="32"/>
          <w:szCs w:val="32"/>
        </w:rPr>
        <w:t>2.绩效评价指标体系及绩效评价标准</w:t>
      </w:r>
      <w:r>
        <w:rPr>
          <w:rStyle w:val="18"/>
          <w:rFonts w:hint="eastAsia" w:ascii="黑体" w:hAnsi="黑体" w:eastAsia="黑体" w:cs="黑体"/>
          <w:b w:val="0"/>
          <w:bCs w:val="0"/>
          <w:spacing w:val="-4"/>
          <w:sz w:val="32"/>
          <w:szCs w:val="32"/>
        </w:rPr>
        <w:br w:type="textWrapping"/>
      </w:r>
      <w:r>
        <w:rPr>
          <w:rStyle w:val="18"/>
          <w:rFonts w:hint="eastAsia" w:ascii="黑体" w:hAnsi="黑体" w:eastAsia="黑体" w:cs="黑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一级指标为：决策、过程、产出、成本、效益。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二级指标为：项目立项、绩效目标、资金投入、资金管理、组织实施、产出数量、产出质量、产出时效、经济成本、项目效益。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黑体" w:hAnsi="黑体" w:eastAsia="黑体" w:cs="黑体"/>
          <w:b w:val="0"/>
          <w:bCs w:val="0"/>
          <w:spacing w:val="-4"/>
          <w:sz w:val="32"/>
          <w:szCs w:val="32"/>
          <w:lang w:val="en-US" w:eastAsia="zh-CN"/>
        </w:rPr>
        <w:t>3.评价方法</w:t>
      </w:r>
    </w:p>
    <w:p w14:paraId="37B96A2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p>
    <w:p w14:paraId="718E5C8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07B3D5E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黑体" w:hAnsi="黑体" w:eastAsia="黑体" w:cs="黑体"/>
          <w:b w:val="0"/>
          <w:bCs w:val="0"/>
          <w:spacing w:val="-4"/>
          <w:sz w:val="32"/>
          <w:szCs w:val="32"/>
          <w:lang w:val="en-US" w:eastAsia="zh-CN"/>
        </w:rPr>
        <w:t>4.评价标准</w:t>
      </w:r>
      <w:r>
        <w:rPr>
          <w:rStyle w:val="18"/>
          <w:rFonts w:hint="eastAsia" w:ascii="黑体" w:hAnsi="黑体" w:eastAsia="黑体" w:cs="黑体"/>
          <w:b w:val="0"/>
          <w:bCs w:val="0"/>
          <w:spacing w:val="-4"/>
          <w:sz w:val="32"/>
          <w:szCs w:val="32"/>
          <w:lang w:val="en-US" w:eastAsia="zh-CN"/>
        </w:rPr>
        <w:br w:type="textWrapping"/>
      </w:r>
      <w:r>
        <w:rPr>
          <w:rStyle w:val="18"/>
          <w:rFonts w:hint="eastAsia" w:ascii="黑体" w:hAnsi="黑体" w:eastAsia="黑体" w:cs="黑体"/>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2D218A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2"/>
        <w:rPr>
          <w:rFonts w:hint="eastAsia" w:ascii="黑体" w:hAnsi="黑体" w:eastAsia="黑体" w:cs="Times New Roman"/>
          <w:color w:val="auto"/>
          <w:sz w:val="32"/>
          <w:szCs w:val="32"/>
          <w:highlight w:val="none"/>
          <w:lang w:eastAsia="zh-CN"/>
        </w:rPr>
      </w:pPr>
      <w:r>
        <w:rPr>
          <w:rFonts w:hint="eastAsia" w:ascii="黑体" w:hAnsi="黑体" w:eastAsia="黑体" w:cs="Times New Roman"/>
          <w:color w:val="auto"/>
          <w:sz w:val="32"/>
          <w:szCs w:val="32"/>
          <w:highlight w:val="none"/>
          <w:lang w:eastAsia="zh-CN"/>
        </w:rPr>
        <w:t>（三）项目资金管理情况分析</w:t>
      </w:r>
    </w:p>
    <w:p w14:paraId="7CC6B3EB">
      <w:pPr>
        <w:keepNext w:val="0"/>
        <w:keepLines w:val="0"/>
        <w:pageBreakBefore w:val="0"/>
        <w:widowControl w:val="0"/>
        <w:kinsoku/>
        <w:wordWrap/>
        <w:overflowPunct/>
        <w:topLinePunct w:val="0"/>
        <w:autoSpaceDE/>
        <w:autoSpaceDN/>
        <w:bidi w:val="0"/>
        <w:adjustRightInd/>
        <w:snapToGrid/>
        <w:spacing w:line="520" w:lineRule="exact"/>
        <w:ind w:left="638" w:leftChars="304" w:firstLine="0" w:firstLineChars="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第一阶段：前期准备。</w:t>
      </w:r>
    </w:p>
    <w:p w14:paraId="491C8EAA">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朱家瑶任评价组组长，绩效评价工作职责为检查项目绩效指标完成情况、审定项目支出绩效评价结果及项目支出绩效评价报告。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陈芮任评价组副组长，绩效评价工作职责为组织和协调项目工作人员采取实地调查、资料检查等方式，核实项目绩效指标完成情况；组织受益对象对项目工作进行评价等。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沈毅任评价组成员，绩效评价工作职责为做好项目支出绩效评价工作的沟通协调工作，对项目实施情况进行实地调查，编写项目支出绩效评价报告。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第二阶段：组织实施。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第三阶段：分析评价。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第四阶段：撰写与提交评价报告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第五阶段：归集档案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14:paraId="13E28A8A">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项目组织实施情况</w:t>
      </w:r>
    </w:p>
    <w:p w14:paraId="5084F14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（一）项目组织情况分析</w:t>
      </w:r>
    </w:p>
    <w:p w14:paraId="28903BF0">
      <w:pPr>
        <w:keepNext w:val="0"/>
        <w:keepLines w:val="0"/>
        <w:pageBreakBefore w:val="0"/>
        <w:widowControl w:val="0"/>
        <w:kinsoku/>
        <w:wordWrap/>
        <w:overflowPunct/>
        <w:topLinePunct w:val="0"/>
        <w:autoSpaceDE/>
        <w:autoSpaceDN/>
        <w:bidi w:val="0"/>
        <w:adjustRightInd/>
        <w:snapToGrid/>
        <w:spacing w:line="520" w:lineRule="exact"/>
        <w:ind w:left="638" w:leftChars="304" w:firstLine="0" w:firstLineChars="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（一）综合评价情况</w:t>
      </w:r>
    </w:p>
    <w:p w14:paraId="6DB07564">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outlineLvl w:val="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通过沙湾市第一幼儿园学前教育县市配套保育保教费及伙食费项目的实施，解决了幼儿园入学难等群众最关心、最直接、最现实的利益问题为导向，保障幼儿园园区其他工作的正常运转，进一步改善幼儿生活条件，减轻幼儿家庭负担。完善了幼儿园配套设施，保障了幼儿园正常运转，对基础设施的完善有一定的提升作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该项目预算执行率达100%，项目预期绩效目标及各项具体指标均已全部达成。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Fonts w:hint="eastAsia" w:ascii="黑体" w:hAnsi="黑体" w:eastAsia="黑体" w:cs="宋体"/>
          <w:bCs/>
          <w:color w:val="auto"/>
          <w:kern w:val="0"/>
          <w:sz w:val="32"/>
          <w:szCs w:val="32"/>
          <w:highlight w:val="none"/>
          <w:lang w:eastAsia="zh-CN"/>
        </w:rPr>
        <w:t>（二）综合评价结论</w:t>
      </w:r>
      <w:r>
        <w:rPr>
          <w:rFonts w:hint="eastAsia" w:ascii="黑体" w:hAnsi="黑体" w:eastAsia="黑体" w:cs="宋体"/>
          <w:bCs/>
          <w:color w:val="auto"/>
          <w:kern w:val="0"/>
          <w:sz w:val="32"/>
          <w:szCs w:val="32"/>
          <w:highlight w:val="none"/>
          <w:lang w:eastAsia="zh-CN"/>
        </w:rPr>
        <w:br w:type="textWrapping"/>
      </w:r>
      <w:r>
        <w:rPr>
          <w:rFonts w:hint="eastAsia" w:ascii="黑体" w:hAnsi="黑体" w:eastAsia="黑体" w:cs="宋体"/>
          <w:bCs/>
          <w:color w:val="auto"/>
          <w:kern w:val="0"/>
          <w:sz w:val="32"/>
          <w:szCs w:val="32"/>
          <w:highlight w:val="none"/>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对沙湾市第一幼儿园学前教育县市配套保育保教费及伙食费项目的绩效目标和各项具体绩效指标实现情况进行了客观评价，最终评分为100分。绩效评级为“优”，具体得分情况为：项目决策15分、项目过程15分、项目产出30分、项目效益30分、项目满意度10分。</w:t>
      </w:r>
    </w:p>
    <w:p w14:paraId="339F118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（二）项目管理情况分析</w:t>
      </w:r>
    </w:p>
    <w:p w14:paraId="56242130">
      <w:pPr>
        <w:keepNext w:val="0"/>
        <w:keepLines w:val="0"/>
        <w:pageBreakBefore w:val="0"/>
        <w:widowControl w:val="0"/>
        <w:kinsoku/>
        <w:wordWrap/>
        <w:overflowPunct/>
        <w:topLinePunct w:val="0"/>
        <w:autoSpaceDE/>
        <w:autoSpaceDN/>
        <w:bidi w:val="0"/>
        <w:adjustRightInd/>
        <w:snapToGrid/>
        <w:spacing w:line="520" w:lineRule="exact"/>
        <w:ind w:left="638" w:leftChars="304" w:firstLine="0" w:firstLineChars="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（一）项目决策情况</w:t>
      </w:r>
    </w:p>
    <w:p w14:paraId="42E66E86">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outlineLvl w:val="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分，本项目实际得分15分，得分率为100%。具体各项指标得分如下：</w:t>
      </w:r>
    </w:p>
    <w:p w14:paraId="38AC8041">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firstLine="624" w:firstLineChars="200"/>
        <w:jc w:val="left"/>
        <w:textAlignment w:val="auto"/>
        <w:outlineLvl w:val="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立项依据充分性：本项目是由沙湾市第一幼儿园提出申报，于2023年1月批复设立，2023年我单位《2023年学前三年教育、义务教育、普通高中、中职教育保障经费配套资金的通知》（沙财教[2023]27号）文件要求组织实施该项目。项目立项符合国家法律法规、自治区和地区行业发展规划和政策要求，属于本部门履职所需。根据评分标准，该指标2.5分，得2.5分。</w:t>
      </w:r>
    </w:p>
    <w:p w14:paraId="7F03178E">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firstLine="624" w:firstLineChars="200"/>
        <w:jc w:val="left"/>
        <w:textAlignment w:val="auto"/>
        <w:outlineLvl w:val="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立项程序规范性：根据决策依据编制工作计划和经费预算，经过与部门市政府分管领导进行沟通、筛选确定经费预算计划，上党委会研究确定最终预算方案。根据评分标准，该指标2.5分，得2.5分。</w:t>
      </w:r>
    </w:p>
    <w:p w14:paraId="32C4C6B7">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firstLine="624" w:firstLineChars="200"/>
        <w:jc w:val="left"/>
        <w:textAlignment w:val="auto"/>
        <w:outlineLvl w:val="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绩效目标合理性：本项目制定了项目支出绩效目标，明确了项目总体思路及总目标、并对项目任务进行了详细分解，对目标进行了细化。根据评分标准，该指标3分，得3分。</w:t>
      </w:r>
    </w:p>
    <w:p w14:paraId="636C04F3">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firstLine="624" w:firstLineChars="200"/>
        <w:jc w:val="left"/>
        <w:textAlignment w:val="auto"/>
        <w:outlineLvl w:val="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绩效指标明确性：本项目已将项目绩效目标细化分解为具体的绩效指标，并通过清晰、可衡量的指标值予以体现，与项目目标任务数或计划数相对应。根据评分标准，该指标2分，得2分。</w:t>
      </w:r>
    </w:p>
    <w:p w14:paraId="0F1BBDF5">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firstLine="624" w:firstLineChars="200"/>
        <w:jc w:val="left"/>
        <w:textAlignment w:val="auto"/>
        <w:outlineLvl w:val="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预算编制科学性： 预算编制经过科学论证，内容与项目内容匹配，项目投资额与工作任务相匹配，根据评分标准，该指标3分，得3分。</w:t>
      </w:r>
    </w:p>
    <w:p w14:paraId="2500349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outlineLvl w:val="1"/>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6.资金分配合理性：本项目资金分配依据充分，资金分配额度合理，与项目地方实际相适应。根据评分标准，该指标2分，得2分。</w:t>
      </w:r>
    </w:p>
    <w:p w14:paraId="5D1A7DA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四、项目绩效情况</w:t>
      </w:r>
    </w:p>
    <w:p w14:paraId="4EE58E0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（一）项目绩效目标完成情况分析</w:t>
      </w:r>
    </w:p>
    <w:p w14:paraId="45F97C71">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分，本项目实际得分15分，得分率为100%。具体各项指标得分如下：</w:t>
      </w:r>
    </w:p>
    <w:p w14:paraId="24D1594C">
      <w:pPr>
        <w:keepNext w:val="0"/>
        <w:keepLines w:val="0"/>
        <w:pageBreakBefore w:val="0"/>
        <w:widowControl w:val="0"/>
        <w:numPr>
          <w:ilvl w:val="0"/>
          <w:numId w:val="6"/>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 xml:space="preserve">资金到位率：该项目所需财政资金能够足额拨付到位，牵头单位能够及时足额按照合同约定将专项资金拨付给单位，根据评分标准，该指标2分，得2分。   </w:t>
      </w:r>
    </w:p>
    <w:p w14:paraId="7F8C4CB4">
      <w:pPr>
        <w:keepNext w:val="0"/>
        <w:keepLines w:val="0"/>
        <w:pageBreakBefore w:val="0"/>
        <w:widowControl w:val="0"/>
        <w:numPr>
          <w:ilvl w:val="0"/>
          <w:numId w:val="6"/>
        </w:numPr>
        <w:kinsoku/>
        <w:wordWrap/>
        <w:overflowPunct/>
        <w:topLinePunct w:val="0"/>
        <w:autoSpaceDE/>
        <w:autoSpaceDN/>
        <w:bidi w:val="0"/>
        <w:adjustRightInd/>
        <w:snapToGrid/>
        <w:spacing w:line="520" w:lineRule="exact"/>
        <w:ind w:left="0" w:leftChars="0"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预算执行率：本项目预算编制较为详细，预算资金120.27万元，实际执行120.27万元，预算执行率为100%，项目资金支出总体能够按照预算执行，根据评分标准，该指标2分，得2分。</w:t>
      </w:r>
    </w:p>
    <w:p w14:paraId="59B79B1C">
      <w:pPr>
        <w:keepNext w:val="0"/>
        <w:keepLines w:val="0"/>
        <w:pageBreakBefore w:val="0"/>
        <w:widowControl w:val="0"/>
        <w:numPr>
          <w:ilvl w:val="0"/>
          <w:numId w:val="6"/>
        </w:numPr>
        <w:kinsoku/>
        <w:wordWrap/>
        <w:overflowPunct/>
        <w:topLinePunct w:val="0"/>
        <w:autoSpaceDE/>
        <w:autoSpaceDN/>
        <w:bidi w:val="0"/>
        <w:adjustRightInd/>
        <w:snapToGrid/>
        <w:spacing w:line="520" w:lineRule="exact"/>
        <w:ind w:left="0" w:leftChars="0"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资金使用合规性：项目任务下达后，我单位制定了《沙湾市第一幼儿园预算绩效管理工作实施办法》制度和管理规定对经费使用进行规范管理，财务制度健全、执行严格；根据评分标准，该指标3分，得3分。</w:t>
      </w:r>
    </w:p>
    <w:p w14:paraId="17D2ECCB">
      <w:pPr>
        <w:keepNext w:val="0"/>
        <w:keepLines w:val="0"/>
        <w:pageBreakBefore w:val="0"/>
        <w:widowControl w:val="0"/>
        <w:numPr>
          <w:ilvl w:val="0"/>
          <w:numId w:val="6"/>
        </w:numPr>
        <w:kinsoku/>
        <w:wordWrap/>
        <w:overflowPunct/>
        <w:topLinePunct w:val="0"/>
        <w:autoSpaceDE/>
        <w:autoSpaceDN/>
        <w:bidi w:val="0"/>
        <w:adjustRightInd/>
        <w:snapToGrid/>
        <w:spacing w:line="520" w:lineRule="exact"/>
        <w:ind w:left="0" w:leftChars="0"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管理制度健全性：我单位制定了《沙湾市第一幼儿园财务管理制度》等相关项目管理办法，同时对财政专项资金进行严格管理，基本做到了专款专用，根据评分标准，该指标4分，得4分。</w:t>
      </w:r>
    </w:p>
    <w:p w14:paraId="296003DA">
      <w:pPr>
        <w:keepNext w:val="0"/>
        <w:keepLines w:val="0"/>
        <w:pageBreakBefore w:val="0"/>
        <w:widowControl w:val="0"/>
        <w:numPr>
          <w:ilvl w:val="0"/>
          <w:numId w:val="6"/>
        </w:numPr>
        <w:kinsoku/>
        <w:wordWrap/>
        <w:overflowPunct/>
        <w:topLinePunct w:val="0"/>
        <w:autoSpaceDE/>
        <w:autoSpaceDN/>
        <w:bidi w:val="0"/>
        <w:adjustRightInd/>
        <w:snapToGrid/>
        <w:spacing w:line="520" w:lineRule="exact"/>
        <w:ind w:left="0" w:leftChars="0"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制度执行有效性：由部门提出经费预算支出可行性方案，经过与市政府分管领导沟通后，报党委会议研究执行，财务对资金的使用合法合规性进行监督，年底对资金使用效果进行自评，根据评分标准，该指标4分，得4分。</w:t>
      </w:r>
    </w:p>
    <w:p w14:paraId="1457133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（二）项目绩效目标未完成原因分析</w:t>
      </w:r>
    </w:p>
    <w:p w14:paraId="5CACD9BB">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项目产出类指标包括产出数量、产出质量、产出时效、产出成本共四方面的内容，由7个三级指标构成，权重分为30分，本项目实际得分30分，得分率为100%。具体各项指标得分如下：</w:t>
      </w:r>
      <w:r>
        <w:rPr>
          <w:rStyle w:val="18"/>
          <w:rFonts w:hint="eastAsia" w:ascii="仿宋_GB2312" w:hAnsi="仿宋_GB2312" w:eastAsia="仿宋_GB2312" w:cs="仿宋_GB2312"/>
          <w:b w:val="0"/>
          <w:bCs w:val="0"/>
          <w:spacing w:val="-4"/>
          <w:sz w:val="32"/>
          <w:szCs w:val="32"/>
          <w:lang w:val="en-US" w:eastAsia="zh-CN"/>
        </w:rPr>
        <w:t xml:space="preserve">             </w:t>
      </w:r>
    </w:p>
    <w:p w14:paraId="21C29EAA">
      <w:pPr>
        <w:keepNext w:val="0"/>
        <w:keepLines w:val="0"/>
        <w:pageBreakBefore w:val="0"/>
        <w:widowControl w:val="0"/>
        <w:numPr>
          <w:ilvl w:val="0"/>
          <w:numId w:val="7"/>
        </w:numPr>
        <w:kinsoku/>
        <w:wordWrap/>
        <w:overflowPunct/>
        <w:topLinePunct w:val="0"/>
        <w:autoSpaceDE/>
        <w:autoSpaceDN/>
        <w:bidi w:val="0"/>
        <w:adjustRightInd/>
        <w:snapToGrid/>
        <w:spacing w:line="520" w:lineRule="exact"/>
        <w:ind w:left="638" w:leftChars="304" w:firstLine="0" w:firstLineChars="0"/>
        <w:jc w:val="left"/>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产出数量</w:t>
      </w:r>
    </w:p>
    <w:p w14:paraId="5AB6C0A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学前保障人数”指标，预期指标值为“大于等于285人”，根据《2023年学前三年教育、义务教育、普通高中、中职教育保障经费配套资金的通知》（沙财教[2023]27号）文件可知，实际完成资助人数为，与预期目标一致，根据评分标准，该指标10分，得10分。</w:t>
      </w:r>
    </w:p>
    <w:p w14:paraId="20F8F8F7">
      <w:pPr>
        <w:keepNext w:val="0"/>
        <w:keepLines w:val="0"/>
        <w:pageBreakBefore w:val="0"/>
        <w:widowControl w:val="0"/>
        <w:numPr>
          <w:ilvl w:val="0"/>
          <w:numId w:val="7"/>
        </w:numPr>
        <w:kinsoku/>
        <w:wordWrap/>
        <w:overflowPunct/>
        <w:topLinePunct w:val="0"/>
        <w:autoSpaceDE/>
        <w:autoSpaceDN/>
        <w:bidi w:val="0"/>
        <w:adjustRightInd/>
        <w:snapToGrid/>
        <w:spacing w:line="520" w:lineRule="exact"/>
        <w:ind w:left="638" w:leftChars="304" w:firstLine="0" w:firstLineChars="0"/>
        <w:jc w:val="left"/>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产出质量</w:t>
      </w:r>
    </w:p>
    <w:p w14:paraId="687D771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资金使用规范率”指标，预期指标值为“等于100%”，根据2023年决算报表数据，目前资金使用规范合理，进一步改善幼儿生活条件，减轻幼儿家庭负担。完善了幼儿园配套设施，保障了幼儿园正常运转，对基础设施的完善有一定的提升作用，有效利用率达100%，与预期目标一致，根据评分标准，该指标10.00分，得10分。</w:t>
      </w:r>
    </w:p>
    <w:p w14:paraId="3B43E66C">
      <w:pPr>
        <w:keepNext w:val="0"/>
        <w:keepLines w:val="0"/>
        <w:pageBreakBefore w:val="0"/>
        <w:widowControl w:val="0"/>
        <w:numPr>
          <w:ilvl w:val="0"/>
          <w:numId w:val="7"/>
        </w:numPr>
        <w:kinsoku/>
        <w:wordWrap/>
        <w:overflowPunct/>
        <w:topLinePunct w:val="0"/>
        <w:autoSpaceDE/>
        <w:autoSpaceDN/>
        <w:bidi w:val="0"/>
        <w:adjustRightInd/>
        <w:snapToGrid/>
        <w:spacing w:line="520" w:lineRule="exact"/>
        <w:ind w:left="638" w:leftChars="304" w:firstLine="0" w:firstLineChars="0"/>
        <w:jc w:val="left"/>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产出时效</w:t>
      </w:r>
    </w:p>
    <w:p w14:paraId="67084B9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“资金支付及时率”指标，预期指标值为“等于100%”；根据资金支付凭证显示，该项目于2023年12月完成，资金已于2023年12月全部支付完毕，与预期目标指标一致，根据评分标准，该指标5分，得5分。</w:t>
      </w:r>
    </w:p>
    <w:p w14:paraId="5446CD2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val="0"/>
          <w:bCs w:val="0"/>
          <w:spacing w:val="-4"/>
          <w:sz w:val="32"/>
          <w:szCs w:val="32"/>
        </w:rPr>
        <w:t>“项目完成时间”指标，预期指标值为“2023年12月25日”；根据决算报表中数据显示，该项目2023年12月25日前已完成，与预期目标指标一致，根据评分标准，该指标5分，得5分。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4.产出成本</w:t>
      </w:r>
    </w:p>
    <w:p w14:paraId="1128B3C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经济成本“学前教育生活补助标准”指标，预期指标值为“等于2800元/生/年”，根据湾市财政局《2023年学前三年教育、义务教育、普通高中、中职教育保障经费配套资金的通知》（沙财教[2023]27号）文件，经费支出能够控制在年度计划成本范围内，根据评分标准，该指标10分，得10分。</w:t>
      </w:r>
    </w:p>
    <w:p w14:paraId="1E7B6BB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五、其他需要说明的问题</w:t>
      </w:r>
    </w:p>
    <w:p w14:paraId="5DBE185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（一）后续工作计划</w:t>
      </w:r>
    </w:p>
    <w:p w14:paraId="19211C37">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val="0"/>
          <w:bCs w:val="0"/>
          <w:spacing w:val="-4"/>
          <w:sz w:val="32"/>
          <w:szCs w:val="32"/>
        </w:rPr>
        <w:t>项目效益类指标由社会效益1个二级指标和1个三级指标构成，权重分为20分，本项目实际得分20分，得分率为100%%。具体各项指标得分如下：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1.社会效益指标</w:t>
      </w:r>
    </w:p>
    <w:p w14:paraId="3613F157">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“保障幼儿园的各项工作的正常运转”指标，预期指标值为“有效保障”，根据本单位2023年度工作总结情况，实际完成值为“基本达成目标”根据评分标准，该指标20分，得20分。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2.经济效益指标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3.生态效益指标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p>
    <w:p w14:paraId="0F0FA3CF">
      <w:pPr>
        <w:keepNext w:val="0"/>
        <w:keepLines w:val="0"/>
        <w:pageBreakBefore w:val="0"/>
        <w:widowControl w:val="0"/>
        <w:numPr>
          <w:ilvl w:val="0"/>
          <w:numId w:val="8"/>
        </w:numPr>
        <w:kinsoku/>
        <w:wordWrap/>
        <w:overflowPunct/>
        <w:topLinePunct w:val="0"/>
        <w:autoSpaceDE/>
        <w:autoSpaceDN/>
        <w:bidi w:val="0"/>
        <w:adjustRightInd/>
        <w:snapToGrid/>
        <w:spacing w:line="520" w:lineRule="exact"/>
        <w:ind w:firstLine="627" w:firstLineChars="200"/>
        <w:jc w:val="left"/>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主要经验及做法、存在问题和建议</w:t>
      </w:r>
    </w:p>
    <w:p w14:paraId="1989797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“家长的满意度”指标，预期指标值为“大于等于95%”，根据对幼儿家长进行满意度问卷调查的结果可知，家长满意度达100%，根据评分标准，该指标10分,得10分。</w:t>
      </w:r>
    </w:p>
    <w:p w14:paraId="2127965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7" w:firstLineChars="200"/>
        <w:jc w:val="left"/>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（三）其他</w:t>
      </w:r>
    </w:p>
    <w:p w14:paraId="10A4E4F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7"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bCs/>
          <w:spacing w:val="-4"/>
          <w:sz w:val="32"/>
          <w:szCs w:val="32"/>
        </w:rPr>
        <w:t>（一）预算执行进度</w:t>
      </w:r>
      <w:r>
        <w:rPr>
          <w:rStyle w:val="18"/>
          <w:rFonts w:hint="eastAsia" w:ascii="楷体_GB2312" w:hAnsi="楷体_GB2312" w:eastAsia="楷体_GB2312" w:cs="楷体_GB2312"/>
          <w:b/>
          <w:bCs/>
          <w:spacing w:val="-4"/>
          <w:sz w:val="32"/>
          <w:szCs w:val="32"/>
        </w:rPr>
        <w:br w:type="textWrapping"/>
      </w:r>
      <w:r>
        <w:rPr>
          <w:rStyle w:val="18"/>
          <w:rFonts w:hint="eastAsia" w:ascii="仿宋_GB2312" w:hAnsi="仿宋_GB2312" w:eastAsia="仿宋_GB2312" w:cs="仿宋_GB2312"/>
          <w:b w:val="0"/>
          <w:bCs w:val="0"/>
          <w:spacing w:val="-4"/>
          <w:sz w:val="32"/>
          <w:szCs w:val="32"/>
        </w:rPr>
        <w:t>沙湾市第一幼儿园学前教育县市配套保育保教费及伙食费项目预算金额120.27万元，实际到位120.27万元，全年项目实际支出120.27万元，预算执行率为100%。</w:t>
      </w:r>
    </w:p>
    <w:p w14:paraId="42EBE94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7"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bCs/>
          <w:spacing w:val="-4"/>
          <w:sz w:val="32"/>
          <w:szCs w:val="32"/>
        </w:rPr>
        <w:t>（二）绩效指标偏差情况</w:t>
      </w:r>
      <w:r>
        <w:rPr>
          <w:rStyle w:val="18"/>
          <w:rFonts w:hint="eastAsia" w:ascii="黑体" w:hAnsi="黑体" w:eastAsia="黑体" w:cs="黑体"/>
          <w:b/>
          <w:bCs/>
          <w:spacing w:val="-4"/>
          <w:sz w:val="32"/>
          <w:szCs w:val="32"/>
        </w:rPr>
        <w:br w:type="textWrapping"/>
      </w:r>
      <w:r>
        <w:rPr>
          <w:rStyle w:val="18"/>
          <w:rFonts w:hint="eastAsia" w:ascii="仿宋_GB2312" w:hAnsi="仿宋_GB2312" w:eastAsia="仿宋_GB2312" w:cs="仿宋_GB2312"/>
          <w:b w:val="0"/>
          <w:bCs w:val="0"/>
          <w:spacing w:val="-4"/>
          <w:sz w:val="32"/>
          <w:szCs w:val="32"/>
        </w:rPr>
        <w:t>2023年本单位负责实施的沙湾市第一幼儿园学前教育县市配套保育保教费及伙食费项目的绩效目标及指标已经全部达成，不存在偏差情况。</w:t>
      </w:r>
    </w:p>
    <w:p w14:paraId="5227D3AE">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六、项目评价工作情况</w:t>
      </w:r>
    </w:p>
    <w:p w14:paraId="36E1C1D6">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包括评价基础数据收集、资料来源和依据等佐证材料情况，项目现场勘验检查核实等情况</w:t>
      </w:r>
    </w:p>
    <w:p w14:paraId="31040FE1">
      <w:pPr>
        <w:keepNext w:val="0"/>
        <w:keepLines w:val="0"/>
        <w:pageBreakBefore w:val="0"/>
        <w:widowControl w:val="0"/>
        <w:numPr>
          <w:ilvl w:val="0"/>
          <w:numId w:val="9"/>
        </w:numPr>
        <w:kinsoku/>
        <w:wordWrap/>
        <w:overflowPunct/>
        <w:topLinePunct w:val="0"/>
        <w:autoSpaceDE/>
        <w:autoSpaceDN/>
        <w:bidi w:val="0"/>
        <w:adjustRightInd/>
        <w:snapToGrid/>
        <w:spacing w:line="520" w:lineRule="exact"/>
        <w:ind w:left="638" w:leftChars="304" w:firstLine="0" w:firstLineChars="0"/>
        <w:jc w:val="left"/>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主要经验及做法</w:t>
      </w:r>
    </w:p>
    <w:p w14:paraId="5705E9BB">
      <w:pPr>
        <w:keepNext w:val="0"/>
        <w:keepLines w:val="0"/>
        <w:pageBreakBefore w:val="0"/>
        <w:widowControl w:val="0"/>
        <w:numPr>
          <w:ilvl w:val="0"/>
          <w:numId w:val="1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楷体_GB2312" w:hAnsi="楷体_GB2312" w:eastAsia="楷体_GB2312" w:cs="楷体_GB2312"/>
          <w:b/>
          <w:bCs/>
          <w:spacing w:val="-4"/>
          <w:sz w:val="32"/>
          <w:szCs w:val="32"/>
        </w:rPr>
      </w:pPr>
      <w:r>
        <w:rPr>
          <w:rStyle w:val="18"/>
          <w:rFonts w:hint="eastAsia" w:ascii="仿宋_GB2312" w:hAnsi="仿宋_GB2312" w:eastAsia="仿宋_GB2312" w:cs="仿宋_GB2312"/>
          <w:b w:val="0"/>
          <w:bCs w:val="0"/>
          <w:spacing w:val="-4"/>
          <w:sz w:val="32"/>
          <w:szCs w:val="32"/>
        </w:rPr>
        <w:t>坚持问题导向，加强执行监控，提高资金效益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Style w:val="18"/>
          <w:rFonts w:hint="eastAsia" w:ascii="仿宋_GB2312" w:hAnsi="仿宋_GB2312" w:eastAsia="仿宋_GB2312" w:cs="仿宋_GB2312"/>
          <w:b w:val="0"/>
          <w:bCs w:val="0"/>
          <w:spacing w:val="-4"/>
          <w:sz w:val="32"/>
          <w:szCs w:val="32"/>
          <w:lang w:eastAsia="zh-CN"/>
        </w:rPr>
        <w:t>地</w:t>
      </w:r>
      <w:r>
        <w:rPr>
          <w:rStyle w:val="18"/>
          <w:rFonts w:hint="eastAsia" w:ascii="仿宋_GB2312" w:hAnsi="仿宋_GB2312" w:eastAsia="仿宋_GB2312" w:cs="仿宋_GB2312"/>
          <w:b w:val="0"/>
          <w:bCs w:val="0"/>
          <w:spacing w:val="-4"/>
          <w:sz w:val="32"/>
          <w:szCs w:val="32"/>
        </w:rPr>
        <w:t>降低</w:t>
      </w:r>
      <w:r>
        <w:rPr>
          <w:rStyle w:val="18"/>
          <w:rFonts w:hint="eastAsia" w:ascii="仿宋_GB2312" w:hAnsi="仿宋_GB2312" w:eastAsia="仿宋_GB2312" w:cs="仿宋_GB2312"/>
          <w:b w:val="0"/>
          <w:bCs w:val="0"/>
          <w:spacing w:val="-4"/>
          <w:sz w:val="32"/>
          <w:szCs w:val="32"/>
          <w:lang w:eastAsia="zh-CN"/>
        </w:rPr>
        <w:t>了</w:t>
      </w:r>
      <w:bookmarkStart w:id="0" w:name="_GoBack"/>
      <w:bookmarkEnd w:id="0"/>
      <w:r>
        <w:rPr>
          <w:rStyle w:val="18"/>
          <w:rFonts w:hint="eastAsia" w:ascii="仿宋_GB2312" w:hAnsi="仿宋_GB2312" w:eastAsia="仿宋_GB2312" w:cs="仿宋_GB2312"/>
          <w:b w:val="0"/>
          <w:bCs w:val="0"/>
          <w:spacing w:val="-4"/>
          <w:sz w:val="32"/>
          <w:szCs w:val="32"/>
        </w:rPr>
        <w:t>资金偏离政策目标的风险，提高了资金使用效益。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2.强化绩效目标刚性约束，及时对项目进行跟踪问效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楷体_GB2312" w:hAnsi="楷体_GB2312" w:eastAsia="楷体_GB2312" w:cs="楷体_GB2312"/>
          <w:b/>
          <w:bCs/>
          <w:spacing w:val="-4"/>
          <w:sz w:val="32"/>
          <w:szCs w:val="32"/>
        </w:rPr>
        <w:t>（二）存在问题及原因分析</w:t>
      </w:r>
    </w:p>
    <w:p w14:paraId="5EADC0C4">
      <w:pPr>
        <w:keepNext w:val="0"/>
        <w:keepLines w:val="0"/>
        <w:pageBreakBefore w:val="0"/>
        <w:widowControl w:val="0"/>
        <w:numPr>
          <w:ilvl w:val="0"/>
          <w:numId w:val="11"/>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绩效预算认识不够充分，绩效理念有待进一步强化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592B71C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3C73E9E4">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p>
    <w:p w14:paraId="77461667">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p>
    <w:p w14:paraId="446343F7">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spacing w:val="-4"/>
          <w:sz w:val="32"/>
          <w:szCs w:val="32"/>
        </w:rPr>
      </w:pPr>
    </w:p>
    <w:p w14:paraId="145DC69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7E25DB34">
        <w:pPr>
          <w:pStyle w:val="12"/>
          <w:jc w:val="center"/>
        </w:pPr>
        <w:r>
          <w:fldChar w:fldCharType="begin"/>
        </w:r>
        <w:r>
          <w:instrText xml:space="preserve">PAGE   \* MERGEFORMAT</w:instrText>
        </w:r>
        <w:r>
          <w:fldChar w:fldCharType="separate"/>
        </w:r>
        <w:r>
          <w:rPr>
            <w:lang w:val="zh-CN"/>
          </w:rPr>
          <w:t>1</w:t>
        </w:r>
        <w:r>
          <w:fldChar w:fldCharType="end"/>
        </w:r>
      </w:p>
    </w:sdtContent>
  </w:sdt>
  <w:p w14:paraId="685D5AD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99797"/>
    <w:multiLevelType w:val="singleLevel"/>
    <w:tmpl w:val="AA999797"/>
    <w:lvl w:ilvl="0" w:tentative="0">
      <w:start w:val="1"/>
      <w:numFmt w:val="decimal"/>
      <w:suff w:val="nothing"/>
      <w:lvlText w:val="（%1）"/>
      <w:lvlJc w:val="left"/>
    </w:lvl>
  </w:abstractNum>
  <w:abstractNum w:abstractNumId="1">
    <w:nsid w:val="DDD479DB"/>
    <w:multiLevelType w:val="singleLevel"/>
    <w:tmpl w:val="DDD479DB"/>
    <w:lvl w:ilvl="0" w:tentative="0">
      <w:start w:val="1"/>
      <w:numFmt w:val="decimal"/>
      <w:lvlText w:val="%1."/>
      <w:lvlJc w:val="left"/>
      <w:pPr>
        <w:tabs>
          <w:tab w:val="left" w:pos="312"/>
        </w:tabs>
      </w:pPr>
    </w:lvl>
  </w:abstractNum>
  <w:abstractNum w:abstractNumId="2">
    <w:nsid w:val="F82B1C79"/>
    <w:multiLevelType w:val="singleLevel"/>
    <w:tmpl w:val="F82B1C79"/>
    <w:lvl w:ilvl="0" w:tentative="0">
      <w:start w:val="3"/>
      <w:numFmt w:val="chineseCounting"/>
      <w:suff w:val="nothing"/>
      <w:lvlText w:val="%1、"/>
      <w:lvlJc w:val="left"/>
      <w:rPr>
        <w:rFonts w:hint="eastAsia"/>
      </w:rPr>
    </w:lvl>
  </w:abstractNum>
  <w:abstractNum w:abstractNumId="3">
    <w:nsid w:val="0632E229"/>
    <w:multiLevelType w:val="singleLevel"/>
    <w:tmpl w:val="0632E229"/>
    <w:lvl w:ilvl="0" w:tentative="0">
      <w:start w:val="1"/>
      <w:numFmt w:val="decimal"/>
      <w:suff w:val="nothing"/>
      <w:lvlText w:val="（%1）"/>
      <w:lvlJc w:val="left"/>
    </w:lvl>
  </w:abstractNum>
  <w:abstractNum w:abstractNumId="4">
    <w:nsid w:val="1615EA49"/>
    <w:multiLevelType w:val="singleLevel"/>
    <w:tmpl w:val="1615EA49"/>
    <w:lvl w:ilvl="0" w:tentative="0">
      <w:start w:val="2"/>
      <w:numFmt w:val="chineseCounting"/>
      <w:suff w:val="nothing"/>
      <w:lvlText w:val="（%1）"/>
      <w:lvlJc w:val="left"/>
      <w:rPr>
        <w:rFonts w:hint="eastAsia"/>
      </w:rPr>
    </w:lvl>
  </w:abstractNum>
  <w:abstractNum w:abstractNumId="5">
    <w:nsid w:val="30F1C43E"/>
    <w:multiLevelType w:val="singleLevel"/>
    <w:tmpl w:val="30F1C43E"/>
    <w:lvl w:ilvl="0" w:tentative="0">
      <w:start w:val="1"/>
      <w:numFmt w:val="decimal"/>
      <w:lvlText w:val="%1."/>
      <w:lvlJc w:val="left"/>
      <w:pPr>
        <w:tabs>
          <w:tab w:val="left" w:pos="312"/>
        </w:tabs>
      </w:pPr>
    </w:lvl>
  </w:abstractNum>
  <w:abstractNum w:abstractNumId="6">
    <w:nsid w:val="39B30C98"/>
    <w:multiLevelType w:val="singleLevel"/>
    <w:tmpl w:val="39B30C98"/>
    <w:lvl w:ilvl="0" w:tentative="0">
      <w:start w:val="1"/>
      <w:numFmt w:val="decimal"/>
      <w:lvlText w:val="%1."/>
      <w:lvlJc w:val="left"/>
      <w:pPr>
        <w:tabs>
          <w:tab w:val="left" w:pos="312"/>
        </w:tabs>
      </w:pPr>
    </w:lvl>
  </w:abstractNum>
  <w:abstractNum w:abstractNumId="7">
    <w:nsid w:val="478F671F"/>
    <w:multiLevelType w:val="singleLevel"/>
    <w:tmpl w:val="478F671F"/>
    <w:lvl w:ilvl="0" w:tentative="0">
      <w:start w:val="1"/>
      <w:numFmt w:val="decimal"/>
      <w:lvlText w:val="%1."/>
      <w:lvlJc w:val="left"/>
      <w:pPr>
        <w:tabs>
          <w:tab w:val="left" w:pos="312"/>
        </w:tabs>
      </w:pPr>
    </w:lvl>
  </w:abstractNum>
  <w:abstractNum w:abstractNumId="8">
    <w:nsid w:val="58AFEC7B"/>
    <w:multiLevelType w:val="singleLevel"/>
    <w:tmpl w:val="58AFEC7B"/>
    <w:lvl w:ilvl="0" w:tentative="0">
      <w:start w:val="1"/>
      <w:numFmt w:val="decimal"/>
      <w:suff w:val="nothing"/>
      <w:lvlText w:val="（%1）"/>
      <w:lvlJc w:val="left"/>
    </w:lvl>
  </w:abstractNum>
  <w:abstractNum w:abstractNumId="9">
    <w:nsid w:val="5EE67DF9"/>
    <w:multiLevelType w:val="singleLevel"/>
    <w:tmpl w:val="5EE67DF9"/>
    <w:lvl w:ilvl="0" w:tentative="0">
      <w:start w:val="1"/>
      <w:numFmt w:val="decimal"/>
      <w:lvlText w:val="%1."/>
      <w:lvlJc w:val="left"/>
      <w:pPr>
        <w:tabs>
          <w:tab w:val="left" w:pos="312"/>
        </w:tabs>
      </w:pPr>
    </w:lvl>
  </w:abstractNum>
  <w:abstractNum w:abstractNumId="10">
    <w:nsid w:val="5F013734"/>
    <w:multiLevelType w:val="singleLevel"/>
    <w:tmpl w:val="5F013734"/>
    <w:lvl w:ilvl="0" w:tentative="0">
      <w:start w:val="1"/>
      <w:numFmt w:val="chineseCounting"/>
      <w:suff w:val="nothing"/>
      <w:lvlText w:val="（%1）"/>
      <w:lvlJc w:val="left"/>
      <w:rPr>
        <w:rFonts w:hint="eastAsia"/>
      </w:rPr>
    </w:lvl>
  </w:abstractNum>
  <w:num w:numId="1">
    <w:abstractNumId w:val="0"/>
  </w:num>
  <w:num w:numId="2">
    <w:abstractNumId w:val="3"/>
  </w:num>
  <w:num w:numId="3">
    <w:abstractNumId w:val="8"/>
  </w:num>
  <w:num w:numId="4">
    <w:abstractNumId w:val="2"/>
  </w:num>
  <w:num w:numId="5">
    <w:abstractNumId w:val="5"/>
  </w:num>
  <w:num w:numId="6">
    <w:abstractNumId w:val="6"/>
  </w:num>
  <w:num w:numId="7">
    <w:abstractNumId w:val="9"/>
  </w:num>
  <w:num w:numId="8">
    <w:abstractNumId w:val="4"/>
  </w:num>
  <w:num w:numId="9">
    <w:abstractNumId w:val="1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TA0ZjdhNTE2MGYwMzg2YjkyNzkwNmNhMGZmNzQ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40880"/>
    <w:rsid w:val="00E769FE"/>
    <w:rsid w:val="00EA2CBE"/>
    <w:rsid w:val="00F32FEE"/>
    <w:rsid w:val="00FB10BB"/>
    <w:rsid w:val="1C405EE6"/>
    <w:rsid w:val="1C984E35"/>
    <w:rsid w:val="36B31CF4"/>
    <w:rsid w:val="4D2606A1"/>
    <w:rsid w:val="4F995E67"/>
    <w:rsid w:val="51F648C0"/>
    <w:rsid w:val="623A7D55"/>
    <w:rsid w:val="6E521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4698</Words>
  <Characters>4949</Characters>
  <Lines>5</Lines>
  <Paragraphs>1</Paragraphs>
  <TotalTime>172</TotalTime>
  <ScaleCrop>false</ScaleCrop>
  <LinksUpToDate>false</LinksUpToDate>
  <CharactersWithSpaces>5067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可爱死算了</cp:lastModifiedBy>
  <cp:lastPrinted>2018-12-31T10:56:00Z</cp:lastPrinted>
  <dcterms:modified xsi:type="dcterms:W3CDTF">2024-11-08T11:05:26Z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8C306EAA41F04F9C9A9F5F49C58230CD_12</vt:lpwstr>
  </property>
</Properties>
</file>