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沙湾市第一小学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认真贯彻执行党的教育方针，根据我校的特点，结合实际出发，以国家拨给的教育经费为主要资金来源，妥善科学的管理使用各项资金，更好地为我校教育教学工作服务。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沙湾市第一小学</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242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146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96</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4</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rPr>
        <w:t>校办室、教务处、德育处、总务处。</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2,888.76万元，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2,888.76万元，使用非财政拨款结余0.00万元，年初结转和结余0.00万元。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2,888.76万元，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2,888.76万元，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增加265.79万元</w:t>
      </w:r>
      <w:r>
        <w:rPr>
          <w:rFonts w:hint="eastAsia" w:ascii="仿宋_GB2312" w:eastAsia="仿宋_GB2312"/>
          <w:color w:val="auto"/>
          <w:spacing w:val="0"/>
          <w:sz w:val="32"/>
          <w:szCs w:val="32"/>
          <w:highlight w:val="none"/>
          <w:lang w:eastAsia="zh-CN"/>
        </w:rPr>
        <w:t>，增长10.13%，主要原因是：</w:t>
      </w:r>
      <w:r>
        <w:rPr>
          <w:rFonts w:hint="eastAsia" w:ascii="仿宋_GB2312" w:eastAsia="仿宋_GB2312"/>
          <w:sz w:val="32"/>
          <w:szCs w:val="32"/>
          <w:highlight w:val="none"/>
          <w:lang w:val="en-US" w:eastAsia="zh-CN"/>
        </w:rPr>
        <w:t>本年度发放2023年教师考核工资、晋升职称工资、基础性绩效工资增资、补发了2020年绩效奖金和</w:t>
      </w:r>
      <w:r>
        <w:rPr>
          <w:rFonts w:hint="eastAsia" w:ascii="仿宋_GB2312" w:eastAsia="仿宋_GB2312"/>
          <w:sz w:val="32"/>
          <w:szCs w:val="32"/>
          <w:highlight w:val="none"/>
          <w:lang w:eastAsia="zh-CN"/>
        </w:rPr>
        <w:t>财政拨付以前年度学生生活补助、为</w:t>
      </w:r>
      <w:r>
        <w:rPr>
          <w:rFonts w:hint="eastAsia" w:ascii="仿宋_GB2312" w:eastAsia="仿宋_GB2312"/>
          <w:sz w:val="32"/>
          <w:szCs w:val="32"/>
          <w:highlight w:val="none"/>
          <w:lang w:val="en-US" w:eastAsia="zh-CN"/>
        </w:rPr>
        <w:t>民办实事</w:t>
      </w:r>
      <w:r>
        <w:rPr>
          <w:rFonts w:hint="eastAsia" w:ascii="仿宋_GB2312" w:eastAsia="仿宋_GB2312"/>
          <w:sz w:val="32"/>
          <w:szCs w:val="32"/>
          <w:highlight w:val="none"/>
          <w:lang w:eastAsia="zh-CN"/>
        </w:rPr>
        <w:t>工作经费等</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2,888.76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2,888.76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本年支出2,888.76万元，其中：基本支出2,693.19万元，占93.23%；项目支出195.56万元，占6.77%；上缴上级支出0.00万元，占0.00%；经营支出0.00万元，占0.00%；对附属单位补助支出0.00万元，占0.00%。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2,888.76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2,888.76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2,888.76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2,888.76</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增加265.79万元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增长10.13%,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lang w:val="en-US" w:eastAsia="zh-CN"/>
        </w:rPr>
        <w:t>本年度发放2023年教师考核工资、晋升职称工资、基础性绩效工资增资、补发了2020年绩效奖金和</w:t>
      </w:r>
      <w:r>
        <w:rPr>
          <w:rFonts w:hint="eastAsia" w:ascii="仿宋_GB2312" w:eastAsia="仿宋_GB2312"/>
          <w:sz w:val="32"/>
          <w:szCs w:val="32"/>
          <w:highlight w:val="none"/>
          <w:lang w:eastAsia="zh-CN"/>
        </w:rPr>
        <w:t>财政拨付以前年度学生生活补助</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2,656.99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2,888.76</w:t>
      </w:r>
      <w:r>
        <w:rPr>
          <w:rFonts w:hint="eastAsia" w:ascii="仿宋_GB2312" w:eastAsia="仿宋_GB2312"/>
          <w:color w:val="auto"/>
          <w:spacing w:val="0"/>
          <w:sz w:val="32"/>
          <w:szCs w:val="32"/>
          <w:highlight w:val="none"/>
          <w:lang w:eastAsia="zh-CN"/>
        </w:rPr>
        <w:t>万元，预决算差异率8.72%，主要原因是：</w:t>
      </w:r>
      <w:r>
        <w:rPr>
          <w:rFonts w:hint="eastAsia" w:ascii="仿宋_GB2312" w:eastAsia="仿宋_GB2312"/>
          <w:sz w:val="32"/>
          <w:szCs w:val="32"/>
          <w:highlight w:val="none"/>
          <w:lang w:val="en-US" w:eastAsia="zh-CN"/>
        </w:rPr>
        <w:t>本年度追加2023年教师考核工资、晋升职称工资、基础性绩效工资增资、补发了2020年绩效奖金和</w:t>
      </w:r>
      <w:r>
        <w:rPr>
          <w:rFonts w:hint="eastAsia" w:ascii="仿宋_GB2312" w:eastAsia="仿宋_GB2312"/>
          <w:sz w:val="32"/>
          <w:szCs w:val="32"/>
          <w:highlight w:val="none"/>
          <w:lang w:eastAsia="zh-CN"/>
        </w:rPr>
        <w:t>财政拨付以前年度学生生活补助</w:t>
      </w:r>
      <w:r>
        <w:rPr>
          <w:rFonts w:hint="eastAsia" w:ascii="仿宋_GB2312" w:hAnsi="仿宋" w:eastAsia="仿宋_GB2312"/>
          <w:sz w:val="32"/>
          <w:szCs w:val="32"/>
          <w:highlight w:val="none"/>
          <w:lang w:eastAsia="zh-CN"/>
        </w:rPr>
        <w:t>、为</w:t>
      </w:r>
      <w:r>
        <w:rPr>
          <w:rFonts w:hint="eastAsia" w:ascii="仿宋_GB2312" w:eastAsia="仿宋_GB2312"/>
          <w:sz w:val="32"/>
          <w:szCs w:val="32"/>
          <w:highlight w:val="none"/>
          <w:lang w:val="en-US" w:eastAsia="zh-CN"/>
        </w:rPr>
        <w:t>民办实事</w:t>
      </w:r>
      <w:r>
        <w:rPr>
          <w:rFonts w:hint="eastAsia" w:ascii="仿宋_GB2312" w:hAnsi="仿宋" w:eastAsia="仿宋_GB2312"/>
          <w:sz w:val="32"/>
          <w:szCs w:val="32"/>
          <w:highlight w:val="none"/>
          <w:lang w:eastAsia="zh-CN"/>
        </w:rPr>
        <w:t>工作经费等</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2023年度一般公共预算财政拨款支出2,888.76万元，占本年支出合计的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增加265.79万元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增长10.13%,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lang w:val="en-US" w:eastAsia="zh-CN"/>
        </w:rPr>
        <w:t>本年度发放2023年教师考核工资、晋升职称工资、基础性绩效工资增资、补发了2020年绩效奖金和</w:t>
      </w:r>
      <w:r>
        <w:rPr>
          <w:rFonts w:hint="eastAsia" w:ascii="仿宋_GB2312" w:eastAsia="仿宋_GB2312"/>
          <w:sz w:val="32"/>
          <w:szCs w:val="32"/>
          <w:highlight w:val="none"/>
          <w:lang w:eastAsia="zh-CN"/>
        </w:rPr>
        <w:t>以前年度学生生活补助</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2,656.99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2,888.76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8.72%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lang w:val="en-US" w:eastAsia="zh-CN"/>
        </w:rPr>
        <w:t>本年度追加2023年教师考核工资、晋升职称工资、基础性绩效工资增资、补发了2020年绩效奖金和</w:t>
      </w:r>
      <w:r>
        <w:rPr>
          <w:rFonts w:hint="eastAsia" w:ascii="仿宋_GB2312" w:eastAsia="仿宋_GB2312"/>
          <w:sz w:val="32"/>
          <w:szCs w:val="32"/>
          <w:highlight w:val="none"/>
          <w:lang w:eastAsia="zh-CN"/>
        </w:rPr>
        <w:t>财政拨付以前年度学生生活补助</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eastAsia="zh-CN"/>
        </w:rPr>
        <w:t>、为</w:t>
      </w:r>
      <w:r>
        <w:rPr>
          <w:rFonts w:hint="eastAsia" w:ascii="仿宋_GB2312" w:eastAsia="仿宋_GB2312"/>
          <w:color w:val="auto"/>
          <w:sz w:val="32"/>
          <w:szCs w:val="32"/>
          <w:highlight w:val="none"/>
          <w:lang w:val="en-US" w:eastAsia="zh-CN"/>
        </w:rPr>
        <w:t>民办实事</w:t>
      </w:r>
      <w:r>
        <w:rPr>
          <w:rFonts w:hint="eastAsia" w:ascii="仿宋_GB2312" w:eastAsia="仿宋_GB2312"/>
          <w:color w:val="auto"/>
          <w:sz w:val="32"/>
          <w:szCs w:val="32"/>
          <w:highlight w:val="none"/>
          <w:lang w:eastAsia="zh-CN"/>
        </w:rPr>
        <w:t>工作经费。</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1.教育支出（类）</w:t>
      </w:r>
      <w:r>
        <w:rPr>
          <w:rFonts w:hint="eastAsia" w:ascii="仿宋_GB2312" w:hAnsi="Times New Roman" w:eastAsia="仿宋_GB2312" w:cs="Times New Roman"/>
          <w:color w:val="auto"/>
          <w:spacing w:val="0"/>
          <w:kern w:val="2"/>
          <w:sz w:val="32"/>
          <w:szCs w:val="32"/>
          <w:highlight w:val="none"/>
          <w:lang w:val="zh-CN" w:eastAsia="zh-CN" w:bidi="ar-SA"/>
        </w:rPr>
        <w:t>2,878.97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99.66%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2.其他支出（类）</w:t>
      </w:r>
      <w:r>
        <w:rPr>
          <w:rFonts w:hint="eastAsia" w:ascii="仿宋_GB2312" w:hAnsi="Times New Roman" w:eastAsia="仿宋_GB2312" w:cs="Times New Roman"/>
          <w:color w:val="auto"/>
          <w:spacing w:val="0"/>
          <w:kern w:val="2"/>
          <w:sz w:val="32"/>
          <w:szCs w:val="32"/>
          <w:highlight w:val="none"/>
          <w:lang w:val="zh-CN" w:eastAsia="zh-CN" w:bidi="ar-SA"/>
        </w:rPr>
        <w:t>9.78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0.34%</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1.教育支出（类）教育费附加安排的支出（款）其他教育费附加安排的支出（项）:支出决算数为3.00万元，比上年决算减少16.26万元，下降84.42%，主要原因是：拨付视频设备款比上年减少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2.教育支出（类）普通教育（款）小学教育（项）:支出决算数为2,875.97万元，比上年决算增加275.59万元，增长10.60%，主要原因是：</w:t>
      </w:r>
      <w:r>
        <w:rPr>
          <w:rFonts w:hint="eastAsia" w:ascii="仿宋_GB2312" w:eastAsia="仿宋_GB2312"/>
          <w:sz w:val="32"/>
          <w:szCs w:val="32"/>
          <w:highlight w:val="none"/>
          <w:lang w:val="en-US" w:eastAsia="zh-CN"/>
        </w:rPr>
        <w:t>本年度发放2023年教师考核工资、晋升职称工资、基础性绩效工资增资、补发了2020年绩效奖金和</w:t>
      </w:r>
      <w:r>
        <w:rPr>
          <w:rFonts w:hint="eastAsia" w:ascii="仿宋_GB2312" w:eastAsia="仿宋_GB2312"/>
          <w:sz w:val="32"/>
          <w:szCs w:val="32"/>
          <w:highlight w:val="none"/>
          <w:lang w:eastAsia="zh-CN"/>
        </w:rPr>
        <w:t>财政拨付以前年度</w:t>
      </w:r>
      <w:r>
        <w:rPr>
          <w:rFonts w:hint="eastAsia" w:ascii="仿宋_GB2312" w:eastAsia="仿宋_GB2312"/>
          <w:color w:val="auto"/>
          <w:sz w:val="32"/>
          <w:szCs w:val="32"/>
          <w:highlight w:val="none"/>
          <w:lang w:eastAsia="zh-CN"/>
        </w:rPr>
        <w:t>学生生活补助</w:t>
      </w:r>
      <w:r>
        <w:rPr>
          <w:rFonts w:hint="eastAsia" w:ascii="仿宋_GB2312" w:hAnsi="仿宋" w:eastAsia="仿宋_GB2312"/>
          <w:color w:val="auto"/>
          <w:sz w:val="32"/>
          <w:szCs w:val="32"/>
          <w:highlight w:val="none"/>
        </w:rPr>
        <w:t>款</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3.其他支出（类）其他支出（款）其他支出（项）:支出决算数为9.78万元，比上年决算增加6.45万元，增长193.69%，主要原因是：</w:t>
      </w:r>
      <w:r>
        <w:rPr>
          <w:rFonts w:hint="eastAsia" w:ascii="仿宋_GB2312" w:eastAsia="仿宋_GB2312"/>
          <w:sz w:val="32"/>
          <w:szCs w:val="32"/>
          <w:highlight w:val="none"/>
          <w:lang w:val="en-US" w:eastAsia="zh-CN"/>
        </w:rPr>
        <w:t>我单位2022年的为民办实事工作经费没有支付完，2023年度支付了2022年为民办实事工作经费及本年度工作经费</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2,693.19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2,685.53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基本工资、津贴补贴、奖金、绩效工资、机关事业单位基本养老保险缴费、职业年金缴费、职工基本医疗保险缴费、其他社会保障缴费、住房公积金、其他工资福利支出、退休费、抚恤金、生活补助、奖励金。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7.66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财政拨款“三公”经费支出0.00万元，比上年增加0.00万元，增长0.00%,主要原因是：本单位无“三公”经费支出。其中：因公出国（境）费支出0.00万元，占0.00%，比上年增加0.00万元，增长0.00%,主要原因是：本单位无因公出国（境）费支出；公务用车购置及运行维护费支出0.00万元，占0.00%，比上年增加0.00万元，增长0.00%,主要原因是：本单位无公务用车购置及运行维护费支出；公务接待费支出0.00万元，占0.00%，比上年增加0.00万元，增长0.00%,主要原因是：本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支出。公务用车购置数0辆，公务用车保有量0辆。国有资产占用情况中固定资产车辆0辆，与公务用车保有量差异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全年预算相比,财政拨款“三公”经费支出全年预算数0.00万元，决算数0.00万元，预决算差异率0.00%，主要原因是：本单位未安排财政拨款“三公”经费支出，预决算无差异。其中：因公出国（境）费全年预算数0.00万元，决算数0.00万元，预决算差异率0.00%，主要原因是：本单位未安排因公出国（境）费，预决算无差异；公务用车购置费全年预算数0.00万元，决算数0.00万元，预决算差异率0.00%，主要原因是：本单位未安排公务用车购置费，预决算无差异；公务用车运行费全年预算数0.00万元，决算数0.00万元，预决算差异率0.00%，主要原因是：本单位未安排公务用车运行费，预决算无差异；公务接待费全年预算数0.00万元，决算数0.00万元，预决算差异率0.00%，主要原因是：本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沙湾市第一小学（事业单位）公用经费支出7.66万元，</w:t>
      </w:r>
      <w:r>
        <w:rPr>
          <w:rFonts w:hint="eastAsia" w:ascii="仿宋_GB2312" w:hAnsi="仿宋_GB2312" w:eastAsia="仿宋_GB2312" w:cs="仿宋_GB2312"/>
          <w:color w:val="auto"/>
          <w:sz w:val="32"/>
          <w:szCs w:val="32"/>
          <w:highlight w:val="none"/>
          <w:lang w:val="zh-CN" w:eastAsia="zh-CN"/>
        </w:rPr>
        <w:t>比上年增加7.66万元，增长100.00%，主要原因是：本单位</w:t>
      </w:r>
      <w:r>
        <w:rPr>
          <w:rFonts w:hint="eastAsia" w:ascii="仿宋_GB2312" w:hAnsi="仿宋_GB2312" w:eastAsia="仿宋_GB2312" w:cs="仿宋_GB2312"/>
          <w:color w:val="auto"/>
          <w:sz w:val="32"/>
          <w:szCs w:val="32"/>
          <w:highlight w:val="none"/>
          <w:lang w:val="en-US" w:eastAsia="zh-CN"/>
        </w:rPr>
        <w:t>2022年未支付工会经费，2023年支付了7.66万元的</w:t>
      </w:r>
      <w:r>
        <w:rPr>
          <w:rFonts w:hint="eastAsia" w:ascii="仿宋_GB2312" w:hAnsi="仿宋_GB2312" w:eastAsia="仿宋_GB2312" w:cs="仿宋_GB2312"/>
          <w:color w:val="auto"/>
          <w:sz w:val="32"/>
          <w:szCs w:val="32"/>
          <w:highlight w:val="none"/>
          <w:lang w:val="zh-CN" w:eastAsia="zh-CN"/>
        </w:rPr>
        <w:t>工会经费。</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99.28万元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其中：政府采购货物支出44.97万元、政府采购工程支出29.38万元、政府采购服务支出24.93万元。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授予中小企业合同金额99.28万元，占政府采购支出总额的100.00%，其中：授予小微企业合同金额99.28万元，占政府采购支出总额的100.00%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2,006.71</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屋10,151.00平方米，价值997.10万元。车辆0辆，价值0.00万元，其中：副部（省）级及以上领导用车0辆、主要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eastAsia="仿宋_GB2312"/>
          <w:sz w:val="32"/>
          <w:szCs w:val="32"/>
          <w:highlight w:val="none"/>
          <w:lang w:eastAsia="zh-CN"/>
        </w:rPr>
        <w:t>本单位无其他用车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pacing w:val="0"/>
          <w:sz w:val="32"/>
          <w:szCs w:val="32"/>
          <w:highlight w:val="none"/>
          <w:lang w:val="zh-CN" w:eastAsia="zh-CN"/>
        </w:rPr>
        <w:t>2,888.76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pacing w:val="0"/>
          <w:sz w:val="32"/>
          <w:szCs w:val="32"/>
          <w:highlight w:val="none"/>
          <w:lang w:val="zh-CN" w:eastAsia="zh-CN"/>
        </w:rPr>
        <w:t>2,888.76</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全年预算数195.56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全年执行数195.56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,其中本单位</w:t>
      </w:r>
      <w:r>
        <w:rPr>
          <w:rFonts w:hint="eastAsia" w:ascii="仿宋_GB2312" w:eastAsia="仿宋_GB2312"/>
          <w:color w:val="auto"/>
          <w:sz w:val="32"/>
          <w:szCs w:val="32"/>
          <w:highlight w:val="none"/>
        </w:rPr>
        <w:t>sm项目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个，</w:t>
      </w:r>
      <w:r>
        <w:rPr>
          <w:rFonts w:hint="eastAsia" w:ascii="仿宋_GB2312" w:eastAsia="仿宋_GB2312"/>
          <w:color w:val="auto"/>
          <w:sz w:val="32"/>
          <w:szCs w:val="32"/>
          <w:highlight w:val="none"/>
          <w:lang w:val="en-US" w:eastAsia="zh-CN"/>
        </w:rPr>
        <w:t>全年预算数12.78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全年执行数12.78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不予以公开。预算绩效管理取得的成效：一是通过该项目的实施，改善了教师工作环境、教学环境，为教育教学工作正常开展提供良好的硬件软件环境；二是小学生生活补助资金，有效减轻小学阶段困难学生家庭负担。发现的问题及原因：一是项目绩效目标设置需要更加科学、合理，完整；二是项目绩效跟着需要更加严格，规范。下一步改进措施：一是继续完善预算目标制定；二是完善执行过程，保障项目顺利实施。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本单位sm项目2个，全年预算数12.78万元，全年执行数12.78万元，不予以公开绩效自评表。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9D95F8D"/>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E3599D"/>
    <w:rsid w:val="14207DC0"/>
    <w:rsid w:val="148448E6"/>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405F59"/>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BD1AA4"/>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01011A"/>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5FC5E8E"/>
    <w:rsid w:val="46061BDC"/>
    <w:rsid w:val="461404F8"/>
    <w:rsid w:val="46413018"/>
    <w:rsid w:val="464B7E04"/>
    <w:rsid w:val="468041AA"/>
    <w:rsid w:val="468123C6"/>
    <w:rsid w:val="46901EEE"/>
    <w:rsid w:val="469C74D2"/>
    <w:rsid w:val="47445515"/>
    <w:rsid w:val="474B4782"/>
    <w:rsid w:val="47D90D14"/>
    <w:rsid w:val="47DE1152"/>
    <w:rsid w:val="48387FB0"/>
    <w:rsid w:val="483A6114"/>
    <w:rsid w:val="486D023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128A4"/>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4</TotalTime>
  <ScaleCrop>false</ScaleCrop>
  <LinksUpToDate>false</LinksUpToDate>
  <CharactersWithSpaces>22618</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明</cp:lastModifiedBy>
  <dcterms:modified xsi:type="dcterms:W3CDTF">2024-11-18T02:59:15Z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D624B15633CD43C8BF9435464A96BF70</vt:lpwstr>
  </property>
</Properties>
</file>