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沙湾市第一中学</w:t>
      </w:r>
    </w:p>
    <w:p>
      <w:pPr>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p>
    <w:p>
      <w:pPr>
        <w:rPr>
          <w:rFonts w:ascii="方正小标宋_GBK" w:hAnsi="宋体" w:eastAsia="方正小标宋_GBK"/>
          <w:sz w:val="44"/>
          <w:szCs w:val="44"/>
        </w:rPr>
      </w:pPr>
    </w:p>
    <w:p>
      <w:pPr>
        <w:rPr>
          <w:rFonts w:ascii="方正小标宋_GBK" w:hAnsi="宋体" w:eastAsia="方正小标宋_GBK"/>
          <w:sz w:val="44"/>
          <w:szCs w:val="44"/>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
          <w:kern w:val="0"/>
          <w:sz w:val="36"/>
          <w:szCs w:val="36"/>
        </w:rPr>
      </w:pPr>
    </w:p>
    <w:p>
      <w:pP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沙湾市第一中学隶属于沙湾市教科局，是一所县级示范性高中。现有教师411名，在校学生4085名。我校严格执行国家的教育法规，认真宣传贯彻执行党和国家的教育方针、政策、法律法规等,坚持依法治教、依法治学,贯彻执行教科局的行政规章制度。配合市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结合实际出发，以国家拨给的教育经费为主要资金来源，妥善科学的管理使用各项资金，更好地为我校教育教学工作服务。</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hAnsi="仿宋_GB2312" w:eastAsia="仿宋_GB2312" w:cs="仿宋_GB2312"/>
          <w:b/>
          <w:sz w:val="32"/>
          <w:szCs w:val="32"/>
        </w:rPr>
      </w:pPr>
      <w:r>
        <w:rPr>
          <w:rFonts w:hint="eastAsia" w:ascii="仿宋_GB2312" w:eastAsia="仿宋_GB2312"/>
          <w:sz w:val="32"/>
          <w:szCs w:val="32"/>
        </w:rPr>
        <w:t>沙湾市第一中学2023年度，实有人数</w:t>
      </w:r>
      <w:r>
        <w:rPr>
          <w:rFonts w:hint="eastAsia" w:ascii="仿宋_GB2312" w:eastAsia="仿宋_GB2312"/>
          <w:sz w:val="32"/>
          <w:szCs w:val="32"/>
          <w:lang w:val="zh-CN"/>
        </w:rPr>
        <w:t>599</w:t>
      </w:r>
      <w:r>
        <w:rPr>
          <w:rFonts w:hint="eastAsia" w:ascii="仿宋_GB2312" w:eastAsia="仿宋_GB2312"/>
          <w:sz w:val="32"/>
          <w:szCs w:val="32"/>
        </w:rPr>
        <w:t>人，其中：在职人员</w:t>
      </w:r>
      <w:r>
        <w:rPr>
          <w:rFonts w:hint="eastAsia" w:ascii="仿宋_GB2312" w:eastAsia="仿宋_GB2312"/>
          <w:sz w:val="32"/>
          <w:szCs w:val="32"/>
          <w:lang w:val="zh-CN"/>
        </w:rPr>
        <w:t>411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188</w:t>
      </w:r>
      <w:r>
        <w:rPr>
          <w:rFonts w:hint="eastAsia" w:ascii="仿宋_GB2312" w:eastAsia="仿宋_GB2312"/>
          <w:sz w:val="32"/>
          <w:szCs w:val="32"/>
        </w:rPr>
        <w:t>人。</w:t>
      </w:r>
    </w:p>
    <w:p>
      <w:pPr>
        <w:ind w:firstLine="640" w:firstLineChars="200"/>
        <w:rPr>
          <w:rFonts w:ascii="仿宋_GB2312" w:eastAsia="仿宋_GB2312"/>
          <w:sz w:val="32"/>
          <w:szCs w:val="32"/>
        </w:rPr>
      </w:pPr>
      <w:bookmarkStart w:id="6" w:name="_Toc29374"/>
      <w:bookmarkStart w:id="7" w:name="_Toc3092"/>
      <w:r>
        <w:rPr>
          <w:rFonts w:hint="eastAsia" w:ascii="仿宋_GB2312" w:eastAsia="仿宋_GB2312"/>
          <w:sz w:val="32"/>
          <w:szCs w:val="32"/>
        </w:rPr>
        <w:t>单位无下属预算单位，下设7个处室，分别是：党政办公室、教务处、教研室、德育处、后勤管理处、工会、团委。</w:t>
      </w:r>
    </w:p>
    <w:p>
      <w:pPr>
        <w:rPr>
          <w:rFonts w:ascii="仿宋_GB2312" w:eastAsia="仿宋_GB2312"/>
          <w:sz w:val="32"/>
          <w:szCs w:val="32"/>
        </w:rPr>
      </w:pPr>
      <w:r>
        <w:rPr>
          <w:rFonts w:hint="eastAsia" w:ascii="仿宋_GB2312" w:eastAsia="仿宋_GB2312"/>
          <w:sz w:val="32"/>
          <w:szCs w:val="32"/>
        </w:rPr>
        <w:br w:type="page"/>
      </w:r>
    </w:p>
    <w:p>
      <w:pPr>
        <w:ind w:firstLine="640" w:firstLineChars="20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2023年度收入总计11,446.86万元，其中：本年收入合计11,446.86万元，使用非财政拨款结余0.00万元，年初结转和结余0.00万元。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2023年度支出总计11,446.86万元，其中：本年支出合计11,446.86万元，结余分配0.00万元，年末结转和结余0.00万元。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增加2,248.79万元</w:t>
      </w:r>
      <w:r>
        <w:rPr>
          <w:rFonts w:hint="eastAsia" w:ascii="仿宋_GB2312" w:eastAsia="仿宋_GB2312"/>
          <w:sz w:val="32"/>
          <w:szCs w:val="32"/>
        </w:rPr>
        <w:t>，增长24.45%，主要原因是： 2023年度发放了2018年下半年绩效考核及2020年1-3月绩效考核奖励金；新增了高中城办学条件改善项目款；历年高中城设备支付款项增加。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本年收入11,446.86万元，其中：财政拨款收入</w:t>
      </w:r>
      <w:r>
        <w:rPr>
          <w:rFonts w:hint="eastAsia" w:ascii="仿宋_GB2312" w:eastAsia="仿宋_GB2312"/>
          <w:sz w:val="32"/>
          <w:szCs w:val="32"/>
          <w:lang w:val="zh-CN"/>
        </w:rPr>
        <w:t>10,751.26</w:t>
      </w:r>
      <w:r>
        <w:rPr>
          <w:rFonts w:hint="eastAsia" w:ascii="仿宋_GB2312" w:eastAsia="仿宋_GB2312"/>
          <w:sz w:val="32"/>
          <w:szCs w:val="32"/>
        </w:rPr>
        <w:t>万元，占</w:t>
      </w:r>
      <w:r>
        <w:rPr>
          <w:rFonts w:hint="eastAsia" w:ascii="仿宋_GB2312" w:eastAsia="仿宋_GB2312"/>
          <w:sz w:val="32"/>
          <w:szCs w:val="32"/>
          <w:lang w:val="zh-CN"/>
        </w:rPr>
        <w:t>93.92%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695.60</w:t>
      </w:r>
      <w:r>
        <w:rPr>
          <w:rFonts w:hint="eastAsia" w:ascii="仿宋_GB2312" w:eastAsia="仿宋_GB2312"/>
          <w:sz w:val="32"/>
          <w:szCs w:val="32"/>
        </w:rPr>
        <w:t>万元，占</w:t>
      </w:r>
      <w:r>
        <w:rPr>
          <w:rFonts w:hint="eastAsia" w:ascii="仿宋_GB2312" w:eastAsia="仿宋_GB2312"/>
          <w:sz w:val="32"/>
          <w:szCs w:val="32"/>
          <w:lang w:val="zh-CN"/>
        </w:rPr>
        <w:t>6.08%</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本年支出11,446.86万元，其中：基本支出8,743.04万元，占76.38%；项目支出2,703.82万元，占23.62%；上缴上级支出0.00万元，占0.00%；经营支出0.00万元，占0.00%；对附属单位补助支出0.00万元，占0.00%。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10,751.26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10,751.26</w:t>
      </w:r>
      <w:r>
        <w:rPr>
          <w:rFonts w:hint="eastAsia" w:ascii="仿宋_GB2312" w:eastAsia="仿宋_GB2312"/>
          <w:sz w:val="32"/>
          <w:szCs w:val="32"/>
        </w:rPr>
        <w:t>万元。财政拨款支出总计</w:t>
      </w:r>
      <w:r>
        <w:rPr>
          <w:rFonts w:hint="eastAsia" w:ascii="仿宋_GB2312" w:eastAsia="仿宋_GB2312"/>
          <w:sz w:val="32"/>
          <w:szCs w:val="32"/>
          <w:lang w:val="zh-CN"/>
        </w:rPr>
        <w:t>10,751.26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10,751.26</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增加2,197.36万元</w:t>
      </w:r>
      <w:r>
        <w:rPr>
          <w:rFonts w:hint="eastAsia" w:ascii="仿宋_GB2312" w:eastAsia="仿宋_GB2312"/>
          <w:sz w:val="32"/>
          <w:szCs w:val="32"/>
        </w:rPr>
        <w:t>，增长25.69%,主要原因是2023年度发放了2018年下半年绩效考核及2020年1-3月绩效考核奖励金；新增了高中城办学条件改善项目款；历欠高中城设备款项支付增加。与年初预算相比，年初预算数</w:t>
      </w:r>
      <w:r>
        <w:rPr>
          <w:rFonts w:hint="eastAsia" w:ascii="仿宋_GB2312" w:eastAsia="仿宋_GB2312"/>
          <w:sz w:val="32"/>
          <w:szCs w:val="32"/>
          <w:lang w:val="zh-CN"/>
        </w:rPr>
        <w:t>8,720.01</w:t>
      </w:r>
      <w:r>
        <w:rPr>
          <w:rFonts w:hint="eastAsia" w:ascii="仿宋_GB2312" w:eastAsia="仿宋_GB2312"/>
          <w:sz w:val="32"/>
          <w:szCs w:val="32"/>
        </w:rPr>
        <w:t>万元，决算数</w:t>
      </w:r>
      <w:r>
        <w:rPr>
          <w:rFonts w:hint="eastAsia" w:ascii="仿宋_GB2312" w:eastAsia="仿宋_GB2312"/>
          <w:sz w:val="32"/>
          <w:szCs w:val="32"/>
          <w:lang w:val="zh-CN"/>
        </w:rPr>
        <w:t>10,751.26</w:t>
      </w:r>
      <w:r>
        <w:rPr>
          <w:rFonts w:hint="eastAsia" w:ascii="仿宋_GB2312" w:eastAsia="仿宋_GB2312"/>
          <w:sz w:val="32"/>
          <w:szCs w:val="32"/>
        </w:rPr>
        <w:t>万元，预决算差异率23.29%，主要原因是：</w:t>
      </w:r>
      <w:bookmarkStart w:id="16" w:name="_Toc20360"/>
      <w:bookmarkStart w:id="17" w:name="_Toc13833"/>
      <w:r>
        <w:rPr>
          <w:rFonts w:hint="eastAsia" w:ascii="仿宋_GB2312" w:eastAsia="仿宋_GB2312"/>
          <w:sz w:val="32"/>
          <w:szCs w:val="32"/>
        </w:rPr>
        <w:t>本年度追加了2018年下半年绩效考核及2020年1-3月绩效考核奖励金；支架了高中城办学条件改善项目款；追加历年高中城设备支付款。</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cs="黑体"/>
          <w:sz w:val="32"/>
          <w:szCs w:val="32"/>
        </w:rPr>
      </w:pPr>
      <w:r>
        <w:rPr>
          <w:rFonts w:hint="eastAsia" w:ascii="黑体" w:hAnsi="黑体" w:eastAsia="黑体" w:cs="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2023年度一般公共预算财政拨款支出10,751.26万元，占本年支出合计的</w:t>
      </w:r>
      <w:r>
        <w:rPr>
          <w:rFonts w:hint="eastAsia" w:ascii="仿宋_GB2312" w:eastAsia="仿宋_GB2312"/>
          <w:sz w:val="32"/>
          <w:szCs w:val="32"/>
          <w:lang w:val="zh-CN"/>
        </w:rPr>
        <w:t>93.92%</w:t>
      </w:r>
      <w:r>
        <w:rPr>
          <w:rFonts w:hint="eastAsia" w:ascii="仿宋_GB2312" w:eastAsia="仿宋_GB2312"/>
          <w:sz w:val="32"/>
          <w:szCs w:val="32"/>
        </w:rPr>
        <w:t>。与上年相比，</w:t>
      </w:r>
      <w:r>
        <w:rPr>
          <w:rFonts w:hint="eastAsia" w:ascii="仿宋_GB2312" w:eastAsia="仿宋_GB2312"/>
          <w:sz w:val="32"/>
          <w:szCs w:val="32"/>
          <w:lang w:val="zh-CN"/>
        </w:rPr>
        <w:t>增加2,197.36万元</w:t>
      </w:r>
      <w:r>
        <w:rPr>
          <w:rFonts w:hint="eastAsia" w:ascii="仿宋_GB2312" w:eastAsia="仿宋_GB2312"/>
          <w:sz w:val="32"/>
          <w:szCs w:val="32"/>
        </w:rPr>
        <w:t>，增长25.69%,主要原因是：2023年度发放了2018年下半年绩效考核及2020年1-3月绩效考核奖励金；新增了高中城办学条件改善项目款；历年高中城设备支付款项增加。与年初预算相比，年初预算数</w:t>
      </w:r>
      <w:r>
        <w:rPr>
          <w:rFonts w:hint="eastAsia" w:ascii="仿宋_GB2312" w:eastAsia="仿宋_GB2312"/>
          <w:sz w:val="32"/>
          <w:szCs w:val="32"/>
          <w:lang w:val="zh-CN"/>
        </w:rPr>
        <w:t>8,720.01</w:t>
      </w:r>
      <w:r>
        <w:rPr>
          <w:rFonts w:hint="eastAsia" w:ascii="仿宋_GB2312" w:eastAsia="仿宋_GB2312"/>
          <w:sz w:val="32"/>
          <w:szCs w:val="32"/>
        </w:rPr>
        <w:t>万元，决算数</w:t>
      </w:r>
      <w:r>
        <w:rPr>
          <w:rFonts w:hint="eastAsia" w:ascii="仿宋_GB2312" w:eastAsia="仿宋_GB2312"/>
          <w:sz w:val="32"/>
          <w:szCs w:val="32"/>
          <w:lang w:val="zh-CN"/>
        </w:rPr>
        <w:t>10,751.26</w:t>
      </w:r>
      <w:r>
        <w:rPr>
          <w:rFonts w:hint="eastAsia" w:ascii="仿宋_GB2312" w:eastAsia="仿宋_GB2312"/>
          <w:sz w:val="32"/>
          <w:szCs w:val="32"/>
        </w:rPr>
        <w:t>万元，预决算差异率</w:t>
      </w:r>
      <w:r>
        <w:rPr>
          <w:rFonts w:hint="eastAsia" w:ascii="仿宋_GB2312" w:eastAsia="仿宋_GB2312"/>
          <w:sz w:val="32"/>
          <w:szCs w:val="32"/>
          <w:lang w:val="zh-CN"/>
        </w:rPr>
        <w:t>23.29%</w:t>
      </w:r>
      <w:r>
        <w:rPr>
          <w:rFonts w:hint="eastAsia" w:ascii="仿宋_GB2312" w:eastAsia="仿宋_GB2312"/>
          <w:sz w:val="32"/>
          <w:szCs w:val="32"/>
        </w:rPr>
        <w:t>，主要原因是：本年度追加了2018年下半年绩效考核及2020年1-3月绩效考核奖励金；追加了高中城办学条件改善项目款；追加历年高中城设备支付款。</w:t>
      </w:r>
    </w:p>
    <w:p>
      <w:pPr>
        <w:ind w:firstLine="640" w:firstLineChars="200"/>
        <w:outlineLvl w:val="2"/>
        <w:rPr>
          <w:rFonts w:ascii="黑体" w:hAnsi="黑体" w:eastAsia="黑体" w:cs="黑体"/>
          <w:sz w:val="32"/>
          <w:szCs w:val="32"/>
        </w:rPr>
      </w:pPr>
      <w:r>
        <w:rPr>
          <w:rFonts w:hint="eastAsia" w:ascii="黑体" w:hAnsi="黑体" w:eastAsia="黑体" w:cs="黑体"/>
          <w:sz w:val="32"/>
          <w:szCs w:val="32"/>
        </w:rPr>
        <w:t>（二）一般公共预算财政拨款支出决算结构情况</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10,745.66</w:t>
      </w:r>
      <w:r>
        <w:rPr>
          <w:rFonts w:ascii="仿宋_GB2312" w:eastAsia="仿宋_GB2312"/>
          <w:kern w:val="2"/>
          <w:sz w:val="32"/>
          <w:szCs w:val="32"/>
          <w:lang w:val="zh-CN"/>
        </w:rPr>
        <w:t>万元，占</w:t>
      </w:r>
      <w:r>
        <w:rPr>
          <w:rFonts w:hint="eastAsia" w:ascii="仿宋_GB2312" w:eastAsia="仿宋_GB2312"/>
          <w:kern w:val="2"/>
          <w:sz w:val="32"/>
          <w:szCs w:val="32"/>
          <w:lang w:val="zh-CN"/>
        </w:rPr>
        <w:t>99.95%</w:t>
      </w:r>
      <w:r>
        <w:rPr>
          <w:rFonts w:ascii="仿宋_GB2312" w:eastAsia="仿宋_GB2312"/>
          <w:kern w:val="2"/>
          <w:sz w:val="32"/>
          <w:szCs w:val="32"/>
          <w:lang w:val="zh-CN"/>
        </w:rPr>
        <w:t>；</w:t>
      </w:r>
    </w:p>
    <w:p>
      <w:pPr>
        <w:pStyle w:val="8"/>
        <w:widowControl/>
        <w:spacing w:before="0" w:beforeAutospacing="0" w:after="0" w:afterAutospacing="0"/>
        <w:ind w:firstLine="640" w:firstLineChars="200"/>
        <w:jc w:val="both"/>
        <w:rPr>
          <w:rFonts w:ascii="仿宋_GB2312" w:eastAsia="仿宋_GB2312"/>
          <w:kern w:val="2"/>
          <w:sz w:val="32"/>
          <w:szCs w:val="32"/>
          <w:lang w:val="zh-CN"/>
        </w:rPr>
      </w:pPr>
      <w:r>
        <w:rPr>
          <w:rFonts w:ascii="仿宋_GB2312" w:eastAsia="仿宋_GB2312"/>
          <w:kern w:val="2"/>
          <w:sz w:val="32"/>
          <w:szCs w:val="32"/>
          <w:lang w:val="zh-CN"/>
        </w:rPr>
        <w:t>2.其他支出（类）</w:t>
      </w:r>
      <w:r>
        <w:rPr>
          <w:rFonts w:hint="eastAsia" w:ascii="仿宋_GB2312" w:eastAsia="仿宋_GB2312"/>
          <w:kern w:val="2"/>
          <w:sz w:val="32"/>
          <w:szCs w:val="32"/>
          <w:lang w:val="zh-CN"/>
        </w:rPr>
        <w:t>5.60</w:t>
      </w:r>
      <w:r>
        <w:rPr>
          <w:rFonts w:ascii="仿宋_GB2312" w:eastAsia="仿宋_GB2312"/>
          <w:kern w:val="2"/>
          <w:sz w:val="32"/>
          <w:szCs w:val="32"/>
          <w:lang w:val="zh-CN"/>
        </w:rPr>
        <w:t>万元，占</w:t>
      </w:r>
      <w:r>
        <w:rPr>
          <w:rFonts w:hint="eastAsia" w:ascii="仿宋_GB2312" w:eastAsia="仿宋_GB2312"/>
          <w:kern w:val="2"/>
          <w:sz w:val="32"/>
          <w:szCs w:val="32"/>
          <w:lang w:val="zh-CN"/>
        </w:rPr>
        <w:t>0.05%。</w:t>
      </w:r>
    </w:p>
    <w:p>
      <w:pPr>
        <w:ind w:firstLine="640" w:firstLineChars="200"/>
        <w:outlineLvl w:val="2"/>
        <w:rPr>
          <w:rFonts w:ascii="黑体" w:hAnsi="黑体" w:eastAsia="黑体" w:cs="黑体"/>
          <w:sz w:val="32"/>
          <w:szCs w:val="32"/>
        </w:rPr>
      </w:pPr>
      <w:r>
        <w:rPr>
          <w:rFonts w:hint="eastAsia" w:ascii="黑体" w:hAnsi="黑体" w:eastAsia="黑体" w:cs="黑体"/>
          <w:sz w:val="32"/>
          <w:szCs w:val="32"/>
        </w:rPr>
        <w:t>（三）一般公共预算财政拨款支出决算具体情况</w:t>
      </w:r>
    </w:p>
    <w:p>
      <w:pPr>
        <w:ind w:firstLine="640" w:firstLineChars="200"/>
        <w:rPr>
          <w:rFonts w:ascii="仿宋_GB2312" w:eastAsia="仿宋_GB2312"/>
          <w:sz w:val="32"/>
          <w:szCs w:val="32"/>
          <w:lang w:val="zh-CN"/>
        </w:rPr>
      </w:pPr>
      <w:r>
        <w:rPr>
          <w:rFonts w:hint="eastAsia" w:ascii="仿宋_GB2312" w:hAnsi="仿宋_GB2312" w:eastAsia="仿宋_GB2312" w:cs="仿宋_GB2312"/>
          <w:sz w:val="32"/>
          <w:szCs w:val="32"/>
        </w:rPr>
        <w:t>1.</w:t>
      </w:r>
      <w:r>
        <w:rPr>
          <w:rFonts w:hint="eastAsia" w:ascii="仿宋_GB2312" w:eastAsia="仿宋_GB2312"/>
          <w:sz w:val="32"/>
          <w:szCs w:val="32"/>
        </w:rPr>
        <w:t>教育支出（类）教育费附加安排的支出（款）其他教育费附加安排的支出（项）:</w:t>
      </w:r>
      <w:r>
        <w:rPr>
          <w:rFonts w:hint="eastAsia" w:ascii="仿宋_GB2312" w:hAnsi="仿宋_GB2312" w:eastAsia="仿宋_GB2312" w:cs="仿宋_GB2312"/>
          <w:sz w:val="32"/>
          <w:szCs w:val="32"/>
        </w:rPr>
        <w:t>支出决算数为12.00万元，比上年决算减少120.00万元，下降90.91%，主要原因是：2023</w:t>
      </w:r>
      <w:r>
        <w:rPr>
          <w:rFonts w:hint="eastAsia" w:ascii="仿宋_GB2312" w:hAnsi="仿宋_GB2312" w:eastAsia="仿宋_GB2312" w:cs="仿宋_GB2312"/>
          <w:sz w:val="32"/>
          <w:szCs w:val="32"/>
          <w:lang w:val="zh-CN"/>
        </w:rPr>
        <w:t>年沙湾市第一中学抗震加固及围墙维修12万元，2022年新增高中城消防设施柴油发电机组10万元，高中城体育馆、艺术楼礼堂等校园文化安装项目30万元，高考标准化考点相关设备更新维护85万元，故下降幅度较大。</w:t>
      </w:r>
    </w:p>
    <w:p>
      <w:pPr>
        <w:ind w:firstLine="640" w:firstLineChars="200"/>
        <w:rPr>
          <w:rFonts w:ascii="仿宋_GB2312" w:eastAsia="仿宋_GB2312"/>
          <w:sz w:val="32"/>
          <w:szCs w:val="32"/>
        </w:rPr>
      </w:pPr>
      <w:r>
        <w:rPr>
          <w:rFonts w:hint="eastAsia" w:ascii="仿宋_GB2312" w:eastAsia="仿宋_GB2312"/>
          <w:sz w:val="32"/>
          <w:szCs w:val="32"/>
        </w:rPr>
        <w:t>2.教育支出（类）普通教育（款）高中教育（项）:</w:t>
      </w:r>
      <w:r>
        <w:rPr>
          <w:rFonts w:hint="eastAsia" w:ascii="仿宋_GB2312" w:hAnsi="仿宋_GB2312" w:eastAsia="仿宋_GB2312" w:cs="仿宋_GB2312"/>
          <w:sz w:val="32"/>
          <w:szCs w:val="32"/>
        </w:rPr>
        <w:t>支出决算数为10,733.66万元，比上年决算增加2,315.94万元，增长27.51%，主要原因是：</w:t>
      </w:r>
      <w:r>
        <w:rPr>
          <w:rFonts w:hint="eastAsia" w:ascii="仿宋_GB2312" w:eastAsia="仿宋_GB2312"/>
          <w:sz w:val="32"/>
          <w:szCs w:val="32"/>
        </w:rPr>
        <w:t>1、2023年度发放了2018年下半年绩效考核及2020年1-3月绩效考核奖励金。2、新增了高中城办学条件改善项目款。3、历年高中城设备支付款项增加。</w:t>
      </w:r>
    </w:p>
    <w:p>
      <w:pPr>
        <w:ind w:firstLine="640" w:firstLineChars="200"/>
        <w:rPr>
          <w:rFonts w:ascii="仿宋_GB2312" w:hAnsi="仿宋_GB2312" w:eastAsia="仿宋_GB2312" w:cs="仿宋_GB2312"/>
          <w:sz w:val="32"/>
          <w:szCs w:val="32"/>
          <w:lang w:val="zh-CN"/>
        </w:rPr>
      </w:pPr>
      <w:r>
        <w:rPr>
          <w:rFonts w:hint="eastAsia" w:ascii="仿宋_GB2312" w:eastAsia="仿宋_GB2312"/>
          <w:sz w:val="32"/>
          <w:szCs w:val="32"/>
        </w:rPr>
        <w:t>3.其他支出（类）其他支出（款）其他支出（项）:支出决算数为5.60万元，比上年决算增加1.42万元，增长33.97%，</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zh-CN"/>
        </w:rPr>
        <w:t>2023年拨付本年度为民办实事经费4.78万元，还拨付了2022年未拨付0.82万元，故其他支出增幅较大。</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8,047.44万元，其中：人员经费8,024.44万元，包括：基本工资、津贴补贴、奖金、绩效工资、机关事业单位基本养老保险缴费、职业年金缴费、职工基本医疗保险缴费、其他社会保障缴费、住房公积金、其他工资福利支出、退休费、抚恤金、生活补助、奖励金。</w:t>
      </w:r>
    </w:p>
    <w:p>
      <w:pPr>
        <w:ind w:firstLine="640" w:firstLineChars="200"/>
        <w:rPr>
          <w:rFonts w:ascii="仿宋_GB2312" w:eastAsia="仿宋_GB2312"/>
          <w:sz w:val="32"/>
          <w:szCs w:val="32"/>
        </w:rPr>
      </w:pPr>
      <w:r>
        <w:rPr>
          <w:rFonts w:hint="eastAsia" w:ascii="仿宋_GB2312" w:eastAsia="仿宋_GB2312"/>
          <w:sz w:val="32"/>
          <w:szCs w:val="32"/>
        </w:rPr>
        <w:t>公用经费23.00万元，包括：工会经费。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我单位无因公出国（境）费支出</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我单位无公务用车购置及运行维护费支出</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我单位无公务接待费支出</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因公出国（境）费支出0.00万元，开支内容包括我单位全年无安排的因公出国（境）团组0个，因公出国（境）0人次。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我单位无公务用车运行维护费开支。公务用车购置数0辆，公务用车保有量0辆。</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公务用车购置数0辆，公务用车保有量0辆。国有资产占用情况中固定资产车辆6辆，与公务用车保有量差异原因是：单位车辆全部移交至机关事务管理服务中心。</w:t>
      </w:r>
    </w:p>
    <w:p>
      <w:pPr>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预算数0.00万元，决算数0.00万元，预决算差异率0.00%，主要原因是：我单位全年未发生财政拨款“三公”经费支出。其中：因公出国（境）费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我单位未安排因公出国（境）费，预决算无差异；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我单位未安排公务用车购置费，预决算无差异；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宋体" w:eastAsia="仿宋_GB2312" w:cs="宋体"/>
          <w:kern w:val="0"/>
          <w:sz w:val="32"/>
          <w:szCs w:val="32"/>
        </w:rPr>
        <w:t>我单位未安排公务用车运行费，预决算无差异；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我单位未安排公务接待费，预决算无差异。</w:t>
      </w:r>
    </w:p>
    <w:p>
      <w:pPr>
        <w:ind w:firstLine="640" w:firstLineChars="200"/>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outlineLvl w:val="2"/>
        <w:rPr>
          <w:rFonts w:ascii="黑体" w:hAnsi="黑体" w:eastAsia="黑体" w:cs="黑体"/>
          <w:sz w:val="32"/>
          <w:szCs w:val="32"/>
        </w:rPr>
      </w:pPr>
      <w:bookmarkStart w:id="22" w:name="_Toc13105"/>
      <w:bookmarkStart w:id="23" w:name="_Toc14519"/>
      <w:r>
        <w:rPr>
          <w:rFonts w:hint="eastAsia" w:ascii="黑体" w:hAnsi="黑体" w:eastAsia="黑体" w:cs="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沙湾市第一中学（事业单位）公用经费支出23.00万元，</w:t>
      </w:r>
      <w:r>
        <w:rPr>
          <w:rFonts w:hint="eastAsia" w:ascii="仿宋_GB2312" w:hAnsi="仿宋_GB2312" w:eastAsia="仿宋_GB2312" w:cs="仿宋_GB2312"/>
          <w:sz w:val="32"/>
          <w:szCs w:val="32"/>
          <w:lang w:val="zh-CN"/>
        </w:rPr>
        <w:t>比上年减少313.83万元，下降93.17%，主要原因是：</w:t>
      </w:r>
      <w:r>
        <w:rPr>
          <w:rFonts w:hint="eastAsia" w:ascii="仿宋_GB2312" w:eastAsia="仿宋_GB2312"/>
          <w:sz w:val="32"/>
          <w:szCs w:val="32"/>
        </w:rPr>
        <w:t xml:space="preserve"> 2023年未支付我单位本年取暖费。</w:t>
      </w:r>
    </w:p>
    <w:p>
      <w:pPr>
        <w:ind w:firstLine="640" w:firstLineChars="200"/>
        <w:outlineLvl w:val="2"/>
        <w:rPr>
          <w:rFonts w:ascii="黑体" w:hAnsi="黑体" w:eastAsia="黑体" w:cs="黑体"/>
          <w:sz w:val="32"/>
          <w:szCs w:val="32"/>
          <w:lang w:val="zh-CN"/>
        </w:rPr>
      </w:pPr>
      <w:r>
        <w:rPr>
          <w:rFonts w:hint="eastAsia" w:ascii="黑体" w:hAnsi="黑体" w:eastAsia="黑体" w:cs="黑体"/>
          <w:sz w:val="32"/>
          <w:szCs w:val="32"/>
          <w:lang w:val="zh-CN"/>
        </w:rPr>
        <w:t>（二）政府采购情况</w:t>
      </w:r>
      <w:bookmarkEnd w:id="24"/>
      <w:bookmarkEnd w:id="25"/>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2023年度政府采购支出总额269.08万元，其中：政府采购货物支出253.76万元、政府采购工程支出0.00万元、政府采购服务支出15.33万元。</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授予中小企业合同金额269.08万元，占政府采购支出总额的100.00%，其中：授予小微企业合同金额269.08万元，占政府采购支出总额的100.00%</w:t>
      </w:r>
      <w:r>
        <w:rPr>
          <w:rFonts w:hint="eastAsia" w:ascii="仿宋_GB2312" w:hAnsi="仿宋_GB2312" w:eastAsia="仿宋_GB2312" w:cs="仿宋_GB2312"/>
          <w:sz w:val="32"/>
          <w:szCs w:val="32"/>
        </w:rPr>
        <w:t>。</w:t>
      </w:r>
    </w:p>
    <w:p>
      <w:pPr>
        <w:ind w:firstLine="640" w:firstLineChars="200"/>
        <w:outlineLvl w:val="2"/>
        <w:rPr>
          <w:rFonts w:ascii="黑体" w:hAnsi="黑体" w:eastAsia="黑体" w:cs="黑体"/>
          <w:sz w:val="32"/>
          <w:szCs w:val="32"/>
          <w:lang w:val="zh-CN"/>
        </w:rPr>
      </w:pPr>
      <w:bookmarkStart w:id="26" w:name="_Toc4591"/>
      <w:bookmarkStart w:id="27" w:name="_Toc8391"/>
      <w:r>
        <w:rPr>
          <w:rFonts w:hint="eastAsia" w:ascii="黑体" w:hAnsi="黑体" w:eastAsia="黑体" w:cs="黑体"/>
          <w:sz w:val="32"/>
          <w:szCs w:val="32"/>
          <w:lang w:val="zh-CN"/>
        </w:rPr>
        <w:t>（三）国有资产占用情况说明</w:t>
      </w:r>
      <w:bookmarkEnd w:id="26"/>
      <w:bookmarkEnd w:id="27"/>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4,598.75</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屋1,760.00平方米，价值131.28万元。车辆6辆，价值74.83万元，其中：副部（省）级及以上领导用车0辆、主要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用车0辆、其他用车6辆，其他用车主要是：</w:t>
      </w:r>
      <w:r>
        <w:rPr>
          <w:rFonts w:hint="eastAsia" w:ascii="仿宋_GB2312" w:eastAsia="仿宋_GB2312"/>
          <w:sz w:val="32"/>
          <w:szCs w:val="32"/>
        </w:rPr>
        <w:t>2辆为教学用面包车、2辆为食堂用皮卡车、2辆为</w:t>
      </w:r>
      <w:r>
        <w:rPr>
          <w:rFonts w:hint="eastAsia" w:ascii="仿宋_GB2312" w:eastAsia="仿宋_GB2312"/>
          <w:sz w:val="32"/>
          <w:szCs w:val="32"/>
          <w:lang w:val="en-US" w:eastAsia="zh-CN"/>
        </w:rPr>
        <w:t>单位业务用车</w:t>
      </w:r>
      <w:r>
        <w:rPr>
          <w:rFonts w:hint="eastAsia" w:ascii="仿宋_GB2312" w:eastAsia="仿宋_GB2312"/>
          <w:sz w:val="32"/>
          <w:szCs w:val="32"/>
        </w:rPr>
        <w:t>；</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w:t>
      </w:r>
      <w:bookmarkStart w:id="48" w:name="_GoBack"/>
      <w:bookmarkEnd w:id="48"/>
    </w:p>
    <w:p>
      <w:pPr>
        <w:ind w:firstLine="640" w:firstLineChars="200"/>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预算总额10880.59万元，实际执行总额10751</w:t>
      </w:r>
      <w:r>
        <w:rPr>
          <w:rFonts w:hint="eastAsia" w:ascii="宋体" w:hAnsi="宋体" w:cs="宋体"/>
          <w:b/>
          <w:bCs/>
          <w:kern w:val="0"/>
          <w:sz w:val="18"/>
          <w:szCs w:val="18"/>
        </w:rPr>
        <w:t>.</w:t>
      </w:r>
      <w:r>
        <w:rPr>
          <w:rFonts w:hint="eastAsia" w:ascii="仿宋_GB2312" w:eastAsia="仿宋_GB2312"/>
          <w:sz w:val="32"/>
          <w:szCs w:val="32"/>
        </w:rPr>
        <w:t>25万元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8个，全年预算数2833.15元，全年执行数2703.81万元，其中sm项目2个，全年预算数17.82万元，全年执行数17.6万元，不予公开。预算绩效管理取得的成效：一是高中助学金及建担，帮助学生完成学业；二是通过项目的实施，改善了办学条件，为教育教学提供良好的硬件软件环境。保障了本校正常运转、改善了我校教师工作环境、教学环境。发现的问题及原因：一是项目绩效目标设置需要更加科学、合理，完整；二是项目绩效需要更加严格，规范。下一步改进措施：一是严格按照专项资金管理和使用，资金管理、会计核算、财务审批制度健全，资金支出程序规范；二是继续完善预算目标制定；完善执行过程，保障项目顺利实施。具体项目自评情况附绩效自评表及自评报告。</w:t>
      </w:r>
    </w:p>
    <w:p>
      <w:pPr>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outlineLvl w:val="0"/>
        <w:rPr>
          <w:rFonts w:ascii="黑体" w:hAnsi="黑体" w:eastAsia="黑体"/>
          <w:sz w:val="32"/>
          <w:szCs w:val="32"/>
        </w:rPr>
      </w:pPr>
      <w:bookmarkStart w:id="30" w:name="_Toc24143"/>
      <w:bookmarkStart w:id="31" w:name="_Toc3250"/>
      <w:r>
        <w:rPr>
          <w:rFonts w:hint="eastAsia" w:ascii="仿宋_GB2312" w:eastAsia="仿宋_GB2312"/>
          <w:sz w:val="32"/>
          <w:szCs w:val="32"/>
        </w:rPr>
        <w:t>本单位sm项目2个，全年预算数17.82万元，全年执行数17.6万元，不予以公开绩效自评表。</w:t>
      </w:r>
      <w:r>
        <w:rPr>
          <w:rFonts w:hint="eastAsia" w:ascii="仿宋_GB2312" w:eastAsia="仿宋_GB2312"/>
          <w:sz w:val="32"/>
          <w:szCs w:val="32"/>
        </w:rPr>
        <w:br w:type="page"/>
      </w:r>
      <w:r>
        <w:rPr>
          <w:rFonts w:hint="eastAsia" w:ascii="仿宋_GB2312" w:eastAsia="仿宋_GB2312"/>
          <w:sz w:val="32"/>
          <w:szCs w:val="32"/>
        </w:rPr>
        <w:t xml:space="preserve">             </w:t>
      </w:r>
      <w:r>
        <w:rPr>
          <w:rFonts w:hint="eastAsia" w:ascii="黑体" w:hAnsi="黑体" w:eastAsia="黑体"/>
          <w:sz w:val="32"/>
          <w:szCs w:val="32"/>
        </w:rPr>
        <w:t>第三部分 专业名词解释</w:t>
      </w:r>
      <w:bookmarkEnd w:id="30"/>
      <w:bookmarkEnd w:id="31"/>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 w:name="KSO_WPS_MARK_KEY" w:val="41ee2a61-2d54-4f93-83be-afdb9a40d732"/>
  </w:docVars>
  <w:rsids>
    <w:rsidRoot w:val="00DD4D74"/>
    <w:rsid w:val="0000387D"/>
    <w:rsid w:val="00022798"/>
    <w:rsid w:val="00084314"/>
    <w:rsid w:val="000B13A6"/>
    <w:rsid w:val="000D0343"/>
    <w:rsid w:val="00111489"/>
    <w:rsid w:val="00130776"/>
    <w:rsid w:val="00135C89"/>
    <w:rsid w:val="002053DB"/>
    <w:rsid w:val="00213C59"/>
    <w:rsid w:val="00215340"/>
    <w:rsid w:val="002602BA"/>
    <w:rsid w:val="00261F3C"/>
    <w:rsid w:val="002700F9"/>
    <w:rsid w:val="003210CE"/>
    <w:rsid w:val="00331401"/>
    <w:rsid w:val="00335ECF"/>
    <w:rsid w:val="00366E84"/>
    <w:rsid w:val="00393DDF"/>
    <w:rsid w:val="003B30D8"/>
    <w:rsid w:val="003B60C1"/>
    <w:rsid w:val="004531E5"/>
    <w:rsid w:val="00492BBC"/>
    <w:rsid w:val="004A0CB5"/>
    <w:rsid w:val="004E26A0"/>
    <w:rsid w:val="005513A6"/>
    <w:rsid w:val="00594CBC"/>
    <w:rsid w:val="005D12E2"/>
    <w:rsid w:val="005E103E"/>
    <w:rsid w:val="00603507"/>
    <w:rsid w:val="0062474D"/>
    <w:rsid w:val="00630B69"/>
    <w:rsid w:val="006507BF"/>
    <w:rsid w:val="0065347D"/>
    <w:rsid w:val="0067498C"/>
    <w:rsid w:val="006C5325"/>
    <w:rsid w:val="00703123"/>
    <w:rsid w:val="0077400B"/>
    <w:rsid w:val="00776895"/>
    <w:rsid w:val="00785F2D"/>
    <w:rsid w:val="00790DCA"/>
    <w:rsid w:val="007B3411"/>
    <w:rsid w:val="00801AE9"/>
    <w:rsid w:val="00846AFD"/>
    <w:rsid w:val="008B10D3"/>
    <w:rsid w:val="00927297"/>
    <w:rsid w:val="00A37149"/>
    <w:rsid w:val="00A64A43"/>
    <w:rsid w:val="00A71E96"/>
    <w:rsid w:val="00A9443A"/>
    <w:rsid w:val="00AB504F"/>
    <w:rsid w:val="00B602E8"/>
    <w:rsid w:val="00B626A2"/>
    <w:rsid w:val="00B63008"/>
    <w:rsid w:val="00B70D59"/>
    <w:rsid w:val="00BC5FAD"/>
    <w:rsid w:val="00C25212"/>
    <w:rsid w:val="00C258E5"/>
    <w:rsid w:val="00C3628B"/>
    <w:rsid w:val="00C85EF3"/>
    <w:rsid w:val="00CA4D7B"/>
    <w:rsid w:val="00CD0F4A"/>
    <w:rsid w:val="00CE47D9"/>
    <w:rsid w:val="00CF1947"/>
    <w:rsid w:val="00DD4D74"/>
    <w:rsid w:val="00E01BC4"/>
    <w:rsid w:val="00E43A3E"/>
    <w:rsid w:val="00EA40FA"/>
    <w:rsid w:val="00F07621"/>
    <w:rsid w:val="00F24912"/>
    <w:rsid w:val="00F52A8D"/>
    <w:rsid w:val="00F813E6"/>
    <w:rsid w:val="00FC6E4C"/>
    <w:rsid w:val="00FD4353"/>
    <w:rsid w:val="00FE2122"/>
    <w:rsid w:val="00FF6366"/>
    <w:rsid w:val="01806617"/>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2329EE"/>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370A3"/>
    <w:rsid w:val="0C3613A3"/>
    <w:rsid w:val="0C5E519C"/>
    <w:rsid w:val="0C7227A7"/>
    <w:rsid w:val="0CA52EE8"/>
    <w:rsid w:val="0CBD6988"/>
    <w:rsid w:val="0CD208AC"/>
    <w:rsid w:val="0D172DAA"/>
    <w:rsid w:val="0D4903E8"/>
    <w:rsid w:val="0D7A4A46"/>
    <w:rsid w:val="0E640559"/>
    <w:rsid w:val="0F1113DA"/>
    <w:rsid w:val="0F78534A"/>
    <w:rsid w:val="0F89358A"/>
    <w:rsid w:val="0F8C6D51"/>
    <w:rsid w:val="0FBE2B1D"/>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7FE4334"/>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9C3D2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CB7364"/>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7C674A"/>
    <w:rsid w:val="3389023A"/>
    <w:rsid w:val="33CB74FA"/>
    <w:rsid w:val="33D80CFC"/>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92536B"/>
    <w:rsid w:val="3AD1763A"/>
    <w:rsid w:val="3B196883"/>
    <w:rsid w:val="3B6716E3"/>
    <w:rsid w:val="3B6C6B2D"/>
    <w:rsid w:val="3C242659"/>
    <w:rsid w:val="3C96719C"/>
    <w:rsid w:val="3CA72BE8"/>
    <w:rsid w:val="3CDC1E1E"/>
    <w:rsid w:val="3CF37F8C"/>
    <w:rsid w:val="3D137554"/>
    <w:rsid w:val="3D5275AC"/>
    <w:rsid w:val="3DCC2473"/>
    <w:rsid w:val="3DEB0883"/>
    <w:rsid w:val="3E1A0E58"/>
    <w:rsid w:val="3E2527BF"/>
    <w:rsid w:val="3E70484C"/>
    <w:rsid w:val="3E731662"/>
    <w:rsid w:val="3E8168DD"/>
    <w:rsid w:val="3EA7725F"/>
    <w:rsid w:val="3EB03713"/>
    <w:rsid w:val="3EBF1A11"/>
    <w:rsid w:val="3EBF4529"/>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44E7AF3"/>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1A6509"/>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007C7F"/>
    <w:rsid w:val="622B0ABA"/>
    <w:rsid w:val="62412FE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7D677C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4515CF"/>
    <w:rsid w:val="6E6733A0"/>
    <w:rsid w:val="6E6E3938"/>
    <w:rsid w:val="6E9C74ED"/>
    <w:rsid w:val="6EF72976"/>
    <w:rsid w:val="6F795A80"/>
    <w:rsid w:val="6F7C1D2E"/>
    <w:rsid w:val="6F8E0407"/>
    <w:rsid w:val="6FCA211C"/>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E0E5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1034</Words>
  <Characters>5895</Characters>
  <Lines>49</Lines>
  <Paragraphs>13</Paragraphs>
  <TotalTime>77</TotalTime>
  <ScaleCrop>false</ScaleCrop>
  <LinksUpToDate>false</LinksUpToDate>
  <CharactersWithSpaces>6916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2024-09-13T03:56:00Z</dcterms:created>
  <dc:creator>GXR</dc:creator>
  <cp:lastModifiedBy>Administrator</cp:lastModifiedBy>
  <dcterms:modified xsi:type="dcterms:W3CDTF">2024-12-02T02:54:54Z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E33F7E59F3974978A37F3E03672D9C1B_13</vt:lpwstr>
  </property>
</Properties>
</file>