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沙湾市科学技术协会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bookmarkStart w:id="4" w:name="_Toc31238"/>
      <w:bookmarkStart w:id="5" w:name="_Toc21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 w:eastAsia="仿宋_GB2312"/>
          <w:sz w:val="32"/>
          <w:szCs w:val="32"/>
          <w:highlight w:val="none"/>
        </w:rPr>
      </w:pPr>
      <w:r>
        <w:rPr>
          <w:rFonts w:hint="eastAsia" w:ascii="仿宋_GB2312" w:hAnsi="仿宋" w:eastAsia="仿宋_GB2312" w:cs="Times New Roman"/>
          <w:kern w:val="2"/>
          <w:sz w:val="32"/>
          <w:szCs w:val="32"/>
          <w:highlight w:val="none"/>
        </w:rPr>
        <w:t>拟定全市科普工作规划并组织实施，表彰优秀科技工作者，举荐人才，</w:t>
      </w:r>
      <w:r>
        <w:rPr>
          <w:rFonts w:hint="eastAsia" w:ascii="仿宋_GB2312" w:hAnsi="仿宋" w:eastAsia="仿宋_GB2312" w:cs="Times New Roman"/>
          <w:kern w:val="2"/>
          <w:sz w:val="32"/>
          <w:szCs w:val="32"/>
          <w:highlight w:val="none"/>
          <w:lang w:val="en-US" w:eastAsia="zh-CN"/>
        </w:rPr>
        <w:t>开</w:t>
      </w:r>
      <w:r>
        <w:rPr>
          <w:rFonts w:hint="eastAsia" w:ascii="仿宋_GB2312" w:hAnsi="仿宋" w:eastAsia="仿宋_GB2312" w:cs="Times New Roman"/>
          <w:kern w:val="2"/>
          <w:sz w:val="32"/>
          <w:szCs w:val="32"/>
          <w:highlight w:val="none"/>
        </w:rPr>
        <w:t>展科技工作者的继续教育、技术培训工作，接受委托承担科技项目评估、科技成果鉴定、专业技术、职务资格评审等工作开展科技交流与合作，发展科技团体和科技工作者的友好往来。管理所属学会，指导下级科协的业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沙湾市科学技术协会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val="en-US" w:eastAsia="zh-CN"/>
        </w:rPr>
        <w:t>沙湾市科学技术协会</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val="en-US" w:eastAsia="zh-CN"/>
        </w:rPr>
        <w:t>沙湾市科学技术协会</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bookmarkStart w:id="48" w:name="_GoBack"/>
      <w:bookmarkEnd w:id="48"/>
      <w:r>
        <w:rPr>
          <w:rFonts w:hint="eastAsia" w:ascii="仿宋_GB2312" w:eastAsia="仿宋_GB2312"/>
          <w:color w:val="auto"/>
          <w:sz w:val="32"/>
          <w:szCs w:val="32"/>
          <w:highlight w:val="none"/>
          <w:lang w:val="en-US" w:eastAsia="zh-CN"/>
        </w:rPr>
        <w:t>沙湾市科学技术协会</w:t>
      </w:r>
      <w:r>
        <w:rPr>
          <w:rFonts w:hint="eastAsia" w:ascii="仿宋_GB2312" w:hAnsi="宋体" w:eastAsia="仿宋_GB2312" w:cs="宋体"/>
          <w:color w:val="auto"/>
          <w:kern w:val="0"/>
          <w:sz w:val="32"/>
          <w:szCs w:val="32"/>
          <w:highlight w:val="none"/>
        </w:rPr>
        <w:t>本级</w:t>
      </w:r>
      <w:r>
        <w:rPr>
          <w:rFonts w:hint="eastAsia" w:ascii="仿宋_GB2312" w:hAnsi="仿宋" w:eastAsia="仿宋_GB2312"/>
          <w:sz w:val="32"/>
          <w:szCs w:val="32"/>
          <w:highlight w:val="none"/>
        </w:rPr>
        <w:t>下设 3 个科室，分别是：办公室、财务室、项目室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z w:val="32"/>
          <w:szCs w:val="32"/>
          <w:highlight w:val="none"/>
          <w:lang w:val="en-US" w:eastAsia="zh-CN"/>
        </w:rPr>
        <w:t>沙湾市科学技术协会</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en-US" w:eastAsia="zh-CN"/>
        </w:rPr>
        <w:t>沙湾市科技馆。</w:t>
      </w:r>
    </w:p>
    <w:p>
      <w:pPr>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224.13万元，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224.13万元，使用非财政拨款结余0.00万元，年初结转和结余0.00万元。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224.13万元，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224.13万元，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增加85.73万元</w:t>
      </w:r>
      <w:r>
        <w:rPr>
          <w:rFonts w:hint="eastAsia" w:ascii="仿宋_GB2312" w:eastAsia="仿宋_GB2312"/>
          <w:color w:val="auto"/>
          <w:spacing w:val="0"/>
          <w:sz w:val="32"/>
          <w:szCs w:val="32"/>
          <w:highlight w:val="none"/>
          <w:lang w:eastAsia="zh-CN"/>
        </w:rPr>
        <w:t>，增长61.94%，主要原因是：</w:t>
      </w:r>
      <w:r>
        <w:rPr>
          <w:rFonts w:hint="eastAsia" w:ascii="仿宋_GB2312" w:eastAsia="仿宋_GB2312"/>
          <w:color w:val="auto"/>
          <w:spacing w:val="0"/>
          <w:sz w:val="32"/>
          <w:szCs w:val="32"/>
          <w:highlight w:val="none"/>
          <w:lang w:val="en-US" w:eastAsia="zh-CN"/>
        </w:rPr>
        <w:t>增加科技馆开馆时间，加强科技展品投入；</w:t>
      </w:r>
      <w:r>
        <w:rPr>
          <w:rFonts w:hint="eastAsia" w:ascii="仿宋_GB2312" w:hAnsi="仿宋" w:eastAsia="仿宋_GB2312"/>
          <w:sz w:val="32"/>
          <w:szCs w:val="32"/>
          <w:highlight w:val="none"/>
          <w:lang w:val="en-US" w:eastAsia="zh-CN"/>
        </w:rPr>
        <w:t>2023年</w:t>
      </w:r>
      <w:r>
        <w:rPr>
          <w:rFonts w:hint="eastAsia" w:ascii="仿宋_GB2312" w:hAnsi="仿宋" w:eastAsia="仿宋_GB2312"/>
          <w:sz w:val="32"/>
          <w:szCs w:val="32"/>
          <w:highlight w:val="none"/>
        </w:rPr>
        <w:t>科技馆免费开放资金增加</w:t>
      </w:r>
      <w:r>
        <w:rPr>
          <w:rFonts w:hint="eastAsia" w:ascii="仿宋_GB2312" w:hAnsi="仿宋" w:eastAsia="仿宋_GB2312"/>
          <w:sz w:val="32"/>
          <w:szCs w:val="32"/>
          <w:highlight w:val="none"/>
          <w:lang w:val="en-US" w:eastAsia="zh-CN"/>
        </w:rPr>
        <w:t>至72万元，较上年增加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224.13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224.13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本年支出224.13万元，其中：基本支出152.13万元，占67.88%；项目支出72.00万元，占32.12%；上缴上级支出0.00万元，占0.00%；经营支出0.00万元，占0.00%；对附属单位补助支出0.00万元，占0.00%。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224.13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224.13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224.13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224.13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增加85.73万元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增长61.94%,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1）2023年调增工资，调增并补发了基础绩效；（2）增加科技馆开馆时间，加强科技展品投入，</w:t>
      </w:r>
      <w:r>
        <w:rPr>
          <w:rFonts w:hint="eastAsia" w:ascii="仿宋_GB2312" w:hAnsi="仿宋" w:eastAsia="仿宋_GB2312"/>
          <w:sz w:val="32"/>
          <w:szCs w:val="32"/>
          <w:highlight w:val="none"/>
          <w:lang w:val="en-US" w:eastAsia="zh-CN"/>
        </w:rPr>
        <w:t>2023年</w:t>
      </w:r>
      <w:r>
        <w:rPr>
          <w:rFonts w:hint="eastAsia" w:ascii="仿宋_GB2312" w:hAnsi="仿宋" w:eastAsia="仿宋_GB2312"/>
          <w:sz w:val="32"/>
          <w:szCs w:val="32"/>
          <w:highlight w:val="none"/>
        </w:rPr>
        <w:t>科技馆免费开放资金增加</w:t>
      </w:r>
      <w:r>
        <w:rPr>
          <w:rFonts w:hint="eastAsia" w:ascii="仿宋_GB2312" w:hAnsi="仿宋" w:eastAsia="仿宋_GB2312"/>
          <w:sz w:val="32"/>
          <w:szCs w:val="32"/>
          <w:highlight w:val="none"/>
          <w:lang w:val="en-US" w:eastAsia="zh-CN"/>
        </w:rPr>
        <w:t>至72万元，较上年增加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192.19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224.13</w:t>
      </w:r>
      <w:r>
        <w:rPr>
          <w:rFonts w:hint="eastAsia" w:ascii="仿宋_GB2312" w:eastAsia="仿宋_GB2312"/>
          <w:color w:val="auto"/>
          <w:spacing w:val="0"/>
          <w:sz w:val="32"/>
          <w:szCs w:val="32"/>
          <w:highlight w:val="none"/>
          <w:lang w:eastAsia="zh-CN"/>
        </w:rPr>
        <w:t>万元，预决算差异率16.62%，主要原因是：</w:t>
      </w:r>
      <w:r>
        <w:rPr>
          <w:rFonts w:hint="eastAsia" w:ascii="仿宋_GB2312" w:eastAsia="仿宋_GB2312"/>
          <w:color w:val="auto"/>
          <w:spacing w:val="0"/>
          <w:sz w:val="32"/>
          <w:szCs w:val="32"/>
          <w:highlight w:val="none"/>
          <w:lang w:val="en-US" w:eastAsia="zh-CN"/>
        </w:rPr>
        <w:t>2023年调增工资，调增并补发了基础绩效；追加并发放了2018年下半年大绩效，人员工资社保支出大幅度提高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2023年度一般公共预算财政拨款支出224.13万元，占本年支出合计的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增加85.73万元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增长61.94%,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1）2023年调增工资，调增并补发了基础绩效；（2）增加科技馆开馆时间，加强科技展品投入，</w:t>
      </w:r>
      <w:r>
        <w:rPr>
          <w:rFonts w:hint="eastAsia" w:ascii="仿宋_GB2312" w:hAnsi="仿宋" w:eastAsia="仿宋_GB2312"/>
          <w:sz w:val="32"/>
          <w:szCs w:val="32"/>
          <w:highlight w:val="none"/>
          <w:lang w:val="en-US" w:eastAsia="zh-CN"/>
        </w:rPr>
        <w:t>2023年</w:t>
      </w:r>
      <w:r>
        <w:rPr>
          <w:rFonts w:hint="eastAsia" w:ascii="仿宋_GB2312" w:hAnsi="仿宋" w:eastAsia="仿宋_GB2312"/>
          <w:sz w:val="32"/>
          <w:szCs w:val="32"/>
          <w:highlight w:val="none"/>
        </w:rPr>
        <w:t>科技馆免费开放资金增加</w:t>
      </w:r>
      <w:r>
        <w:rPr>
          <w:rFonts w:hint="eastAsia" w:ascii="仿宋_GB2312" w:hAnsi="仿宋" w:eastAsia="仿宋_GB2312"/>
          <w:sz w:val="32"/>
          <w:szCs w:val="32"/>
          <w:highlight w:val="none"/>
          <w:lang w:val="en-US" w:eastAsia="zh-CN"/>
        </w:rPr>
        <w:t>至72万元，较上年增加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192.19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224.13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16.62%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2023年调增工资，调增并补发了基础绩效；追加并发放了2018年下半年大绩效，人员工资社保支出大幅度提高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1.科学技术支出（类）</w:t>
      </w:r>
      <w:r>
        <w:rPr>
          <w:rFonts w:hint="eastAsia" w:ascii="仿宋_GB2312" w:hAnsi="Times New Roman" w:eastAsia="仿宋_GB2312" w:cs="Times New Roman"/>
          <w:color w:val="auto"/>
          <w:spacing w:val="0"/>
          <w:kern w:val="2"/>
          <w:sz w:val="32"/>
          <w:szCs w:val="32"/>
          <w:highlight w:val="none"/>
          <w:lang w:val="zh-CN" w:eastAsia="zh-CN" w:bidi="ar-SA"/>
        </w:rPr>
        <w:t>178.33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79.57%</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28.14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12.56%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3.44%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4.43%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1.卫生健康支出（类）行政事业单位医疗（款）行政单位医疗（项）:支出决算数为4.10万元，比上年决算减少1.33万元，下降24.49%，主要原因是：</w:t>
      </w:r>
      <w:r>
        <w:rPr>
          <w:rFonts w:hint="eastAsia" w:ascii="仿宋_GB2312" w:hAnsi="仿宋_GB2312" w:eastAsia="仿宋_GB2312" w:cs="仿宋_GB2312"/>
          <w:color w:val="auto"/>
          <w:sz w:val="32"/>
          <w:szCs w:val="32"/>
          <w:highlight w:val="none"/>
          <w:lang w:val="en-US" w:eastAsia="zh-CN"/>
        </w:rPr>
        <w:t>2023年高工资人员调出，低工资人员调入，人员工资基数降低，缴费减少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2.卫生健康支出（类）行政事业单位医疗（款）事业单位医疗（项）:支出决算数为1.60万元，比上年决算增加0.37万元，增长30.08%，主要原因是：</w:t>
      </w:r>
      <w:r>
        <w:rPr>
          <w:rFonts w:hint="eastAsia" w:ascii="仿宋_GB2312" w:hAnsi="仿宋_GB2312" w:eastAsia="仿宋_GB2312" w:cs="仿宋_GB2312"/>
          <w:sz w:val="32"/>
          <w:szCs w:val="32"/>
          <w:highlight w:val="none"/>
          <w:lang w:val="en-US" w:eastAsia="zh-CN"/>
        </w:rPr>
        <w:t>2023年</w:t>
      </w:r>
      <w:r>
        <w:rPr>
          <w:rFonts w:hint="eastAsia" w:ascii="仿宋_GB2312" w:hAnsi="仿宋_GB2312" w:eastAsia="仿宋_GB2312" w:cs="仿宋_GB2312"/>
          <w:sz w:val="32"/>
          <w:szCs w:val="32"/>
          <w:highlight w:val="none"/>
        </w:rPr>
        <w:t>事业单位医疗</w:t>
      </w:r>
      <w:r>
        <w:rPr>
          <w:rFonts w:hint="eastAsia" w:ascii="仿宋_GB2312" w:hAnsi="仿宋_GB2312" w:eastAsia="仿宋_GB2312" w:cs="仿宋_GB2312"/>
          <w:sz w:val="32"/>
          <w:szCs w:val="32"/>
          <w:highlight w:val="none"/>
          <w:lang w:eastAsia="zh-CN"/>
        </w:rPr>
        <w:t>缴费基数</w:t>
      </w:r>
      <w:r>
        <w:rPr>
          <w:rFonts w:hint="eastAsia" w:ascii="仿宋_GB2312" w:hAnsi="仿宋_GB2312" w:eastAsia="仿宋_GB2312" w:cs="仿宋_GB2312"/>
          <w:sz w:val="32"/>
          <w:szCs w:val="32"/>
          <w:highlight w:val="none"/>
          <w:lang w:val="en-US" w:eastAsia="zh-CN"/>
        </w:rPr>
        <w:t>上调</w:t>
      </w:r>
      <w:r>
        <w:rPr>
          <w:rFonts w:hint="eastAsia" w:ascii="仿宋_GB2312" w:hAnsi="仿宋_GB2312" w:eastAsia="仿宋_GB2312" w:cs="仿宋_GB2312"/>
          <w:sz w:val="32"/>
          <w:szCs w:val="32"/>
          <w:highlight w:val="none"/>
          <w:lang w:eastAsia="zh-CN"/>
        </w:rPr>
        <w:t>，医疗缴费</w:t>
      </w:r>
      <w:r>
        <w:rPr>
          <w:rFonts w:hint="eastAsia" w:ascii="仿宋_GB2312" w:hAnsi="仿宋_GB2312" w:eastAsia="仿宋_GB2312" w:cs="仿宋_GB2312"/>
          <w:sz w:val="32"/>
          <w:szCs w:val="32"/>
          <w:highlight w:val="none"/>
          <w:lang w:val="en-US" w:eastAsia="zh-CN"/>
        </w:rPr>
        <w:t>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3.卫生健康支出（类）行政事业单位医疗（款）公务员医疗补助（项）:支出决算数为2.03万元，比上年决算减少0.44万元，下降17.81%，主要原因是：</w:t>
      </w:r>
      <w:r>
        <w:rPr>
          <w:rFonts w:hint="eastAsia" w:ascii="仿宋_GB2312" w:hAnsi="仿宋_GB2312" w:eastAsia="仿宋_GB2312" w:cs="仿宋_GB2312"/>
          <w:sz w:val="32"/>
          <w:szCs w:val="32"/>
          <w:highlight w:val="none"/>
          <w:lang w:val="en-US" w:eastAsia="zh-CN"/>
        </w:rPr>
        <w:t>2023年高工资人员调出，低工资人员调入，人员工资基数降低，缴费减少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4.住房保障支出（类）住房改革支出（款）住房公积金（项）:支出决算数为9.94万元，比上年决算增加1.72万元，增长20.92%，主要原因是：2023年人员工资普调，缴费基数增高，缴费增加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5.科学技术支出（类）科学技术普及（款）科技馆站（项）:支出决算数为72.00万元，比上年决算增加57.75万元，增长405.26%，主要原因是：</w:t>
      </w:r>
      <w:r>
        <w:rPr>
          <w:rFonts w:hint="eastAsia" w:ascii="仿宋_GB2312" w:eastAsia="仿宋_GB2312"/>
          <w:color w:val="auto"/>
          <w:spacing w:val="0"/>
          <w:sz w:val="32"/>
          <w:szCs w:val="32"/>
          <w:highlight w:val="none"/>
          <w:lang w:val="en-US" w:eastAsia="zh-CN"/>
        </w:rPr>
        <w:t>增加科技馆开馆时间，加强科技展品投入，2022年科技馆免费开放补助资金14.25万元，</w:t>
      </w:r>
      <w:r>
        <w:rPr>
          <w:rFonts w:hint="eastAsia" w:ascii="仿宋_GB2312" w:hAnsi="仿宋" w:eastAsia="仿宋_GB2312"/>
          <w:sz w:val="32"/>
          <w:szCs w:val="32"/>
          <w:highlight w:val="none"/>
          <w:lang w:val="en-US" w:eastAsia="zh-CN"/>
        </w:rPr>
        <w:t>2023年</w:t>
      </w:r>
      <w:r>
        <w:rPr>
          <w:rFonts w:hint="eastAsia" w:ascii="仿宋_GB2312" w:hAnsi="仿宋" w:eastAsia="仿宋_GB2312"/>
          <w:sz w:val="32"/>
          <w:szCs w:val="32"/>
          <w:highlight w:val="none"/>
        </w:rPr>
        <w:t>科技馆免费开放资金增加</w:t>
      </w:r>
      <w:r>
        <w:rPr>
          <w:rFonts w:hint="eastAsia" w:ascii="仿宋_GB2312" w:hAnsi="仿宋" w:eastAsia="仿宋_GB2312"/>
          <w:sz w:val="32"/>
          <w:szCs w:val="32"/>
          <w:highlight w:val="none"/>
          <w:lang w:val="en-US" w:eastAsia="zh-CN"/>
        </w:rPr>
        <w:t>至72万元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2.28万元，比上年决算增加0.94万元，增长70.15%，主要原因是：2023年人员工资普调，退休人员补发绩效奖，退休费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职业年金缴费支出（项）:支出决算数为13.48万元，比上年决算增加8.18万元，增长154.34%，主要原因是：2023年在职转退休2人，2人缴纳职业年金，较2022年退休1人，增加1人职业年金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8.科学技术支出（类）科学技术普及（款）机构运行（项）:支出决算数为106.33万元，比上年决算增加15.61万元，增长17.21%，主要原因是：2023年人员工资普调，缴费基数增高，缴费增加。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12.38万元，比上年决算增加2.95万元，增长31.28%，主要原因是：2023年人员工资普调，缴费基数增高，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152.13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144.15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7.97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办公费、印刷费、电费、邮电费、差旅费、维修（护）费、劳务费、</w:t>
      </w:r>
      <w:r>
        <w:rPr>
          <w:rFonts w:hint="eastAsia" w:ascii="仿宋_GB2312" w:eastAsia="仿宋_GB2312"/>
          <w:color w:val="auto"/>
          <w:sz w:val="32"/>
          <w:szCs w:val="32"/>
          <w:highlight w:val="none"/>
          <w:lang w:val="zh-CN" w:eastAsia="zh-CN"/>
        </w:rPr>
        <w:t>公务用车运行维护费、</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“三公”经费支出0.97万元，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减少0.55万元，</w:t>
      </w:r>
      <w:r>
        <w:rPr>
          <w:rFonts w:hint="eastAsia" w:ascii="仿宋_GB2312" w:eastAsia="仿宋_GB2312"/>
          <w:color w:val="auto"/>
          <w:spacing w:val="0"/>
          <w:sz w:val="32"/>
          <w:szCs w:val="32"/>
          <w:highlight w:val="none"/>
          <w:lang w:val="en-US" w:eastAsia="zh-CN"/>
        </w:rPr>
        <w:t>下降36.18%,</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highlight w:val="none"/>
        </w:rPr>
        <w:t>按照压缩三公经费的要求，今年加大了公用支出的压缩力度</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因公出国（境）费支出；公务用车购置及运行维护费支出0.97万元，占100.00%，比上年减少0.55万元，</w:t>
      </w:r>
      <w:r>
        <w:rPr>
          <w:rFonts w:hint="eastAsia" w:ascii="仿宋_GB2312" w:eastAsia="仿宋_GB2312"/>
          <w:color w:val="auto"/>
          <w:spacing w:val="0"/>
          <w:sz w:val="32"/>
          <w:szCs w:val="32"/>
          <w:highlight w:val="none"/>
          <w:lang w:val="en-US" w:eastAsia="zh-CN"/>
        </w:rPr>
        <w:t>下降36.18%,</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highlight w:val="none"/>
        </w:rPr>
        <w:t>按照压缩三公经费的要求，今年加大了公用支出的压缩力度</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公务用车购置及运行维护费0.97万元，其中：公务用车购置费0.00万元，公务用车运行维护费0.97万元。公务用车运行维护费开支内容包括</w:t>
      </w:r>
      <w:r>
        <w:rPr>
          <w:rFonts w:hint="eastAsia" w:ascii="仿宋_GB2312" w:eastAsia="仿宋_GB2312"/>
          <w:color w:val="auto"/>
          <w:sz w:val="32"/>
          <w:szCs w:val="32"/>
          <w:highlight w:val="none"/>
          <w:lang w:val="en-US" w:eastAsia="zh-CN"/>
        </w:rPr>
        <w:t>车辆维修及保险费</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预算数0.97万元，决算数0.97万元，预决算差异率0.00%，主要原因是：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单位未安排</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预算数0.97万元，决算数0.97万元，预决算差异率0.00%，主要原因是：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沙湾市科学技术协会（行政单位和参照公务员法管理事业单位）机关运行经费支出7.97万元，</w:t>
      </w:r>
      <w:r>
        <w:rPr>
          <w:rFonts w:hint="eastAsia" w:ascii="仿宋_GB2312" w:hAnsi="仿宋_GB2312" w:eastAsia="仿宋_GB2312" w:cs="仿宋_GB2312"/>
          <w:color w:val="auto"/>
          <w:sz w:val="32"/>
          <w:szCs w:val="32"/>
          <w:highlight w:val="none"/>
          <w:lang w:val="zh-CN" w:eastAsia="zh-CN"/>
        </w:rPr>
        <w:t>比上年增加2.31万元，增长40.81%，主要原因是：</w:t>
      </w:r>
      <w:r>
        <w:rPr>
          <w:rFonts w:hint="eastAsia" w:ascii="仿宋_GB2312" w:hAnsi="仿宋_GB2312" w:eastAsia="仿宋_GB2312" w:cs="仿宋_GB2312"/>
          <w:color w:val="auto"/>
          <w:sz w:val="32"/>
          <w:szCs w:val="32"/>
          <w:highlight w:val="none"/>
          <w:lang w:val="en-US" w:eastAsia="zh-CN"/>
        </w:rPr>
        <w:t>本年度增加了工会经费支出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110.00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屋0.00平方米，价值0.00万元。车辆3辆，价值69.10万元，其中：副部（省）级及以上领导用车0辆、主要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w:t>
      </w:r>
      <w:r>
        <w:rPr>
          <w:rFonts w:hint="eastAsia" w:ascii="仿宋_GB2312" w:hAnsi="仿宋_GB2312" w:eastAsia="仿宋_GB2312" w:cs="仿宋_GB2312"/>
          <w:color w:val="auto"/>
          <w:sz w:val="32"/>
          <w:szCs w:val="32"/>
          <w:highlight w:val="none"/>
          <w:lang w:val="en-US" w:eastAsia="zh-CN"/>
        </w:rPr>
        <w:t>科普大篷车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jc w:val="left"/>
        <w:rPr>
          <w:rFonts w:ascii="仿宋_GB2312" w:eastAsia="仿宋_GB2312"/>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预算总额224.13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实际执行总额224.13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全年预算数72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一是根据年度绩效目标，从提升工作绩效入手，分解和细化绩效目标，明确项目绩效目标分管领导、责任科室及责任人；二是根据工作实际，加强绩效指标运行监控，制定措施办法，推进工作目标落实</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监控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金支出产生的效益，使本单位的绩效监控工作上一个新台阶。</w:t>
      </w:r>
      <w:r>
        <w:rPr>
          <w:rFonts w:hint="eastAsia" w:ascii="仿宋_GB2312" w:eastAsia="仿宋_GB2312"/>
          <w:sz w:val="32"/>
          <w:szCs w:val="32"/>
          <w:highlight w:val="none"/>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bookmarkStart w:id="30" w:name="_Toc3250"/>
      <w:bookmarkStart w:id="31" w:name="_Toc24143"/>
      <w:r>
        <w:rPr>
          <w:rFonts w:hint="eastAsia" w:ascii="仿宋_GB2312" w:hAnsi="仿宋_GB2312" w:eastAsia="仿宋_GB2312" w:cs="仿宋_GB2312"/>
          <w:color w:val="auto"/>
          <w:sz w:val="32"/>
          <w:szCs w:val="32"/>
          <w:highlight w:val="none"/>
          <w:lang w:val="en-US" w:eastAsia="zh-CN"/>
        </w:rPr>
        <w:t>本单位</w:t>
      </w: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。主要原因是本单位2023年未办理采购。</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1Yzk0Yzc5NjA0ZTBiY2YzYWFhZjM4ZDA2ZjFkNGQifQ=="/>
    <w:docVar w:name="KSO_WPS_MARK_KEY" w:val="41ee2a61-2d54-4f93-83be-afdb9a40d732"/>
  </w:docVars>
  <w:rsids>
    <w:rsidRoot w:val="00000000"/>
    <w:rsid w:val="00213C59"/>
    <w:rsid w:val="003210CE"/>
    <w:rsid w:val="00B70D59"/>
    <w:rsid w:val="00F52A8D"/>
    <w:rsid w:val="01192712"/>
    <w:rsid w:val="019404F8"/>
    <w:rsid w:val="01C30B6B"/>
    <w:rsid w:val="01ED22F2"/>
    <w:rsid w:val="02BD3108"/>
    <w:rsid w:val="02F73D26"/>
    <w:rsid w:val="034D4FEF"/>
    <w:rsid w:val="035D1785"/>
    <w:rsid w:val="03863E70"/>
    <w:rsid w:val="039F47CE"/>
    <w:rsid w:val="03BD5310"/>
    <w:rsid w:val="03E05CE8"/>
    <w:rsid w:val="03F973EE"/>
    <w:rsid w:val="043E5B56"/>
    <w:rsid w:val="04C04386"/>
    <w:rsid w:val="04D1736D"/>
    <w:rsid w:val="04D96608"/>
    <w:rsid w:val="04E2056C"/>
    <w:rsid w:val="04F210E4"/>
    <w:rsid w:val="04FA68C4"/>
    <w:rsid w:val="053F5AE6"/>
    <w:rsid w:val="054E002E"/>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A7256"/>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BE1F8F"/>
    <w:rsid w:val="0E640559"/>
    <w:rsid w:val="0F1113DA"/>
    <w:rsid w:val="0F78534A"/>
    <w:rsid w:val="0F89358A"/>
    <w:rsid w:val="0F8C6D51"/>
    <w:rsid w:val="0FF20C47"/>
    <w:rsid w:val="105B0B5E"/>
    <w:rsid w:val="112E58D0"/>
    <w:rsid w:val="11731CAC"/>
    <w:rsid w:val="119500A0"/>
    <w:rsid w:val="11C0733B"/>
    <w:rsid w:val="11D50D17"/>
    <w:rsid w:val="120E0809"/>
    <w:rsid w:val="127F665A"/>
    <w:rsid w:val="12F7068C"/>
    <w:rsid w:val="133D6990"/>
    <w:rsid w:val="13974FC5"/>
    <w:rsid w:val="14207DC0"/>
    <w:rsid w:val="14996D0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DC404C8"/>
    <w:rsid w:val="1E086ACE"/>
    <w:rsid w:val="1E3A67D0"/>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B249C8"/>
    <w:rsid w:val="22D7662C"/>
    <w:rsid w:val="22E9091A"/>
    <w:rsid w:val="23326B7F"/>
    <w:rsid w:val="2380045B"/>
    <w:rsid w:val="23BC04D2"/>
    <w:rsid w:val="23EF1892"/>
    <w:rsid w:val="2483647E"/>
    <w:rsid w:val="24A32D55"/>
    <w:rsid w:val="24CE6D9A"/>
    <w:rsid w:val="24E32586"/>
    <w:rsid w:val="25292727"/>
    <w:rsid w:val="252E5CA9"/>
    <w:rsid w:val="256F7692"/>
    <w:rsid w:val="25804ADB"/>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72749F"/>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6DE7C29"/>
    <w:rsid w:val="37A755DD"/>
    <w:rsid w:val="37F33BFE"/>
    <w:rsid w:val="37F94FA0"/>
    <w:rsid w:val="380D3381"/>
    <w:rsid w:val="38115B1F"/>
    <w:rsid w:val="385E3AC3"/>
    <w:rsid w:val="387D6B9E"/>
    <w:rsid w:val="38B75FF0"/>
    <w:rsid w:val="38D45016"/>
    <w:rsid w:val="38D90432"/>
    <w:rsid w:val="3914510A"/>
    <w:rsid w:val="391B2C07"/>
    <w:rsid w:val="3926770B"/>
    <w:rsid w:val="3982065B"/>
    <w:rsid w:val="398D3668"/>
    <w:rsid w:val="39DA0497"/>
    <w:rsid w:val="3A893816"/>
    <w:rsid w:val="3A893B6D"/>
    <w:rsid w:val="3AD1763A"/>
    <w:rsid w:val="3B196883"/>
    <w:rsid w:val="3B6716E3"/>
    <w:rsid w:val="3B6C6B2D"/>
    <w:rsid w:val="3C242659"/>
    <w:rsid w:val="3C5E3F19"/>
    <w:rsid w:val="3C96719C"/>
    <w:rsid w:val="3CA72BE8"/>
    <w:rsid w:val="3CDC1E1E"/>
    <w:rsid w:val="3CF37F8C"/>
    <w:rsid w:val="3D137554"/>
    <w:rsid w:val="3D5275AC"/>
    <w:rsid w:val="3DA87CB5"/>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2B31D1"/>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2E33BC"/>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835B2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37D80"/>
    <w:rsid w:val="56A93273"/>
    <w:rsid w:val="56A97D7B"/>
    <w:rsid w:val="56BD550C"/>
    <w:rsid w:val="56E07045"/>
    <w:rsid w:val="56FF28AF"/>
    <w:rsid w:val="57540E7D"/>
    <w:rsid w:val="577B4878"/>
    <w:rsid w:val="57926973"/>
    <w:rsid w:val="57D1482F"/>
    <w:rsid w:val="58175352"/>
    <w:rsid w:val="581F2200"/>
    <w:rsid w:val="583059FA"/>
    <w:rsid w:val="584A0929"/>
    <w:rsid w:val="588E48E4"/>
    <w:rsid w:val="58CD2491"/>
    <w:rsid w:val="591B41B2"/>
    <w:rsid w:val="59254A26"/>
    <w:rsid w:val="59326325"/>
    <w:rsid w:val="595C505B"/>
    <w:rsid w:val="595E55C3"/>
    <w:rsid w:val="596E7E20"/>
    <w:rsid w:val="5A005069"/>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133616"/>
    <w:rsid w:val="603D5080"/>
    <w:rsid w:val="606842D0"/>
    <w:rsid w:val="60D0261B"/>
    <w:rsid w:val="618E3791"/>
    <w:rsid w:val="61947DCA"/>
    <w:rsid w:val="61A46A97"/>
    <w:rsid w:val="61D1382F"/>
    <w:rsid w:val="61F114A2"/>
    <w:rsid w:val="622B0ABA"/>
    <w:rsid w:val="62512BB4"/>
    <w:rsid w:val="625D7D1A"/>
    <w:rsid w:val="62660469"/>
    <w:rsid w:val="62DD7D21"/>
    <w:rsid w:val="637D586B"/>
    <w:rsid w:val="638A6E59"/>
    <w:rsid w:val="63A5560B"/>
    <w:rsid w:val="63E9091F"/>
    <w:rsid w:val="64322AF9"/>
    <w:rsid w:val="64D6010D"/>
    <w:rsid w:val="64D82665"/>
    <w:rsid w:val="64E47C96"/>
    <w:rsid w:val="651E5741"/>
    <w:rsid w:val="655D7702"/>
    <w:rsid w:val="658A4877"/>
    <w:rsid w:val="65A00902"/>
    <w:rsid w:val="65AC6EDD"/>
    <w:rsid w:val="65D97752"/>
    <w:rsid w:val="65F66E9D"/>
    <w:rsid w:val="66085536"/>
    <w:rsid w:val="66105BF7"/>
    <w:rsid w:val="66150023"/>
    <w:rsid w:val="6628010D"/>
    <w:rsid w:val="669B4528"/>
    <w:rsid w:val="66CC12D7"/>
    <w:rsid w:val="67134CEF"/>
    <w:rsid w:val="671F1ABD"/>
    <w:rsid w:val="67521A59"/>
    <w:rsid w:val="67B662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D45754"/>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DD73EB"/>
    <w:rsid w:val="73FB6630"/>
    <w:rsid w:val="748D790E"/>
    <w:rsid w:val="749820CC"/>
    <w:rsid w:val="74CE04EC"/>
    <w:rsid w:val="74E76DCD"/>
    <w:rsid w:val="74EE3D31"/>
    <w:rsid w:val="751D7C0A"/>
    <w:rsid w:val="75722D56"/>
    <w:rsid w:val="75DB5477"/>
    <w:rsid w:val="75FC6AC3"/>
    <w:rsid w:val="7616619B"/>
    <w:rsid w:val="76660D7C"/>
    <w:rsid w:val="766C5968"/>
    <w:rsid w:val="76860B53"/>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856C9"/>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00" w:beforeAutospacing="1" w:after="100" w:afterAutospacing="1"/>
      <w:jc w:val="left"/>
    </w:pPr>
    <w:rPr>
      <w:rFonts w:ascii="宋体" w:hAnsi="宋体" w:cs="宋体"/>
      <w:kern w:val="0"/>
      <w:sz w:val="24"/>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2025-01-08T11:34:28Z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