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沙湾市老沙湾路幼儿园</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bookmarkStart w:id="0" w:name="_Toc24028"/>
      <w:bookmarkStart w:id="1" w:name="_Toc32314"/>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（1）宣传贯彻执行党和国家的教育方针、教育政策、教育法律和法规，贯彻执行上级教育行政部门的各项规章制度。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（2）在政府和上级教育主管部门的领导下，争取资金改善办学条件，为师生的学习和工作提供优美和谐的环境。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（3）根据</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人民政府制定的教育事业发展规划，结合实际制定并组织实施本园的教育事业发展规划。在政府和教育行政部门的领导下，全面开展普及九年义务教育，组织少年就近入学，完成初级中学义务教育工作。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按照干部和教师的职数、编制和管理权限，负责对本幼儿园的干部和教师进行管理，制定切实可行的幼儿园工作规章制度，教育评价方案，考核办法等，以提高教育教学质量为目的，对干部职工的工作开展客观、公正的评价和考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（5）按照上级有关部门的规定，负责对本幼儿园的财务和项目建设进行管理，负责核算和发放教职工工资，加强幼儿园基础设施建设和幼儿园教育教学保障工作。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eastAsia="仿宋_GB2312"/>
          <w:color w:val="auto"/>
          <w:sz w:val="32"/>
          <w:szCs w:val="32"/>
          <w:highlight w:val="none"/>
        </w:rPr>
        <w:t>（6）按照幼儿园教育课程标准，开齐课程，开足课时，认真实施学前教育教学管理，全面推进素质教育，全面提高教育教学质量，以科学发展观和以人为本的管理理念注重学生的全面发展。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沙湾市老沙湾路双语幼儿园</w:t>
      </w:r>
      <w:r>
        <w:rPr>
          <w:rFonts w:hint="eastAsia" w:ascii="仿宋_GB2312" w:hAnsi="黑体" w:eastAsia="仿宋_GB2312" w:cs="宋体"/>
          <w:bCs/>
          <w:color w:val="auto"/>
          <w:kern w:val="0"/>
          <w:sz w:val="32"/>
          <w:szCs w:val="32"/>
          <w:highlight w:val="none"/>
          <w:lang w:eastAsia="zh-CN"/>
        </w:rPr>
        <w:t>2023年度，</w:t>
      </w:r>
      <w:r>
        <w:rPr>
          <w:rFonts w:hint="eastAsia" w:ascii="仿宋_GB2312" w:hAnsi="黑体" w:eastAsia="仿宋_GB2312" w:cs="宋体"/>
          <w:bCs/>
          <w:color w:val="auto"/>
          <w:kern w:val="0"/>
          <w:sz w:val="32"/>
          <w:szCs w:val="32"/>
          <w:highlight w:val="none"/>
        </w:rPr>
        <w:t>实有人数</w:t>
      </w:r>
      <w:r>
        <w:rPr>
          <w:rFonts w:hint="eastAsia" w:ascii="仿宋_GB2312" w:hAnsi="黑体" w:eastAsia="仿宋_GB2312" w:cs="宋体"/>
          <w:bCs/>
          <w:color w:val="auto"/>
          <w:kern w:val="0"/>
          <w:sz w:val="32"/>
          <w:szCs w:val="32"/>
          <w:highlight w:val="none"/>
          <w:lang w:val="zh-CN" w:eastAsia="zh-CN"/>
        </w:rPr>
        <w:t>16</w:t>
      </w:r>
      <w:r>
        <w:rPr>
          <w:rFonts w:hint="eastAsia" w:ascii="仿宋_GB2312" w:hAnsi="黑体" w:eastAsia="仿宋_GB2312" w:cs="宋体"/>
          <w:bCs/>
          <w:color w:val="auto"/>
          <w:kern w:val="0"/>
          <w:sz w:val="32"/>
          <w:szCs w:val="32"/>
          <w:highlight w:val="none"/>
        </w:rPr>
        <w:t>人，其中：在职人员</w:t>
      </w:r>
      <w:r>
        <w:rPr>
          <w:rFonts w:hint="eastAsia" w:ascii="仿宋_GB2312" w:hAnsi="黑体" w:eastAsia="仿宋_GB2312" w:cs="宋体"/>
          <w:bCs/>
          <w:color w:val="auto"/>
          <w:kern w:val="0"/>
          <w:sz w:val="32"/>
          <w:szCs w:val="32"/>
          <w:highlight w:val="none"/>
          <w:lang w:val="zh-CN" w:eastAsia="zh-CN"/>
        </w:rPr>
        <w:t>15</w:t>
      </w:r>
      <w:r>
        <w:rPr>
          <w:rFonts w:hint="eastAsia" w:ascii="仿宋_GB2312" w:hAnsi="黑体" w:eastAsia="仿宋_GB2312" w:cs="宋体"/>
          <w:bCs/>
          <w:color w:val="auto"/>
          <w:kern w:val="0"/>
          <w:sz w:val="32"/>
          <w:szCs w:val="32"/>
          <w:highlight w:val="none"/>
        </w:rPr>
        <w:t>人</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离休人员</w:t>
      </w:r>
      <w:r>
        <w:rPr>
          <w:rFonts w:hint="eastAsia" w:ascii="仿宋_GB2312" w:hAnsi="黑体" w:eastAsia="仿宋_GB2312" w:cs="宋体"/>
          <w:bCs/>
          <w:color w:val="auto"/>
          <w:kern w:val="0"/>
          <w:sz w:val="32"/>
          <w:szCs w:val="32"/>
          <w:highlight w:val="none"/>
          <w:lang w:val="zh-CN" w:eastAsia="zh-CN"/>
        </w:rPr>
        <w:t>0</w:t>
      </w:r>
      <w:r>
        <w:rPr>
          <w:rFonts w:hint="eastAsia" w:ascii="仿宋_GB2312" w:hAnsi="黑体" w:eastAsia="仿宋_GB2312" w:cs="宋体"/>
          <w:bCs/>
          <w:color w:val="auto"/>
          <w:kern w:val="0"/>
          <w:sz w:val="32"/>
          <w:szCs w:val="32"/>
          <w:highlight w:val="none"/>
        </w:rPr>
        <w:t>人，退休人员</w:t>
      </w:r>
      <w:r>
        <w:rPr>
          <w:rFonts w:hint="eastAsia" w:ascii="仿宋_GB2312" w:hAnsi="黑体" w:eastAsia="仿宋_GB2312" w:cs="宋体"/>
          <w:bCs/>
          <w:color w:val="auto"/>
          <w:kern w:val="0"/>
          <w:sz w:val="32"/>
          <w:szCs w:val="32"/>
          <w:highlight w:val="none"/>
          <w:lang w:val="zh-CN" w:eastAsia="zh-CN"/>
        </w:rPr>
        <w:t>1</w:t>
      </w:r>
      <w:r>
        <w:rPr>
          <w:rFonts w:hint="eastAsia" w:ascii="仿宋_GB2312" w:hAnsi="黑体" w:eastAsia="仿宋_GB2312" w:cs="宋体"/>
          <w:bCs/>
          <w:color w:val="auto"/>
          <w:kern w:val="0"/>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lang w:eastAsia="zh-CN"/>
        </w:rPr>
      </w:pPr>
      <w:bookmarkStart w:id="6" w:name="_Toc29374"/>
      <w:bookmarkStart w:id="7" w:name="_Toc3092"/>
      <w:r>
        <w:rPr>
          <w:rFonts w:hint="eastAsia" w:ascii="仿宋_GB2312" w:hAnsi="黑体" w:eastAsia="仿宋_GB2312" w:cs="宋体"/>
          <w:bCs/>
          <w:color w:val="auto"/>
          <w:kern w:val="0"/>
          <w:sz w:val="32"/>
          <w:szCs w:val="32"/>
          <w:highlight w:val="none"/>
          <w:lang w:eastAsia="zh-CN"/>
        </w:rPr>
        <w:t>该单位无下属预算单位，下设5个处室，分别是：校办公室、财务室、教务处、后勤处、德育处。</w:t>
      </w:r>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2023年度收入总计374.52万元，其中：本年收入合计374.52万元，使用非财政拨款结余0.00万元，年初结转和结余0.00万元。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2023年度支出总计374.52万元，其中：本年支出合计374.52万元，结余分配0.00万元，年末结转和结余0.00万元。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收入支出总体与上年相比，</w:t>
      </w:r>
      <w:r>
        <w:rPr>
          <w:rFonts w:hint="eastAsia" w:ascii="仿宋_GB2312" w:hAnsi="黑体" w:eastAsia="仿宋_GB2312" w:cs="宋体"/>
          <w:bCs/>
          <w:color w:val="auto"/>
          <w:kern w:val="0"/>
          <w:sz w:val="32"/>
          <w:szCs w:val="32"/>
          <w:highlight w:val="none"/>
          <w:lang w:val="zh-CN" w:eastAsia="zh-CN"/>
        </w:rPr>
        <w:t>增加28.07万元</w:t>
      </w:r>
      <w:r>
        <w:rPr>
          <w:rFonts w:hint="eastAsia" w:ascii="仿宋_GB2312" w:hAnsi="黑体" w:eastAsia="仿宋_GB2312" w:cs="宋体"/>
          <w:bCs/>
          <w:color w:val="auto"/>
          <w:kern w:val="0"/>
          <w:sz w:val="32"/>
          <w:szCs w:val="32"/>
          <w:highlight w:val="none"/>
          <w:lang w:val="en-US" w:eastAsia="zh-CN"/>
        </w:rPr>
        <w:t>，增长8.10%，主要原因是：拨付2020-2022年市级配套学前保教费和伙食费，所以收入支出总体增加。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0" w:name="_Toc12142"/>
      <w:bookmarkStart w:id="11" w:name="_Toc1979"/>
      <w:r>
        <w:rPr>
          <w:rFonts w:hint="eastAsia" w:ascii="黑体" w:hAnsi="黑体" w:eastAsia="黑体" w:cs="宋体"/>
          <w:bCs/>
          <w:color w:val="auto"/>
          <w:kern w:val="0"/>
          <w:sz w:val="32"/>
          <w:szCs w:val="32"/>
          <w:highlight w:val="none"/>
          <w:lang w:eastAsia="zh-CN"/>
        </w:rPr>
        <w:t>二、收入决算情况说明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lang w:val="zh-CN" w:eastAsia="zh-CN"/>
        </w:rPr>
        <w:t>本年收入374.52万元，其中：财政拨款收入374.52万元，占100.00%；上级补助收入0.00万元，占0.00%；事业收入0.00万元，占0.00%；经营收入0.00万元，占0.00%；附属单位上缴收入0.00万元，占0.00%；其他</w:t>
      </w:r>
      <w:r>
        <w:rPr>
          <w:rFonts w:hint="eastAsia" w:ascii="仿宋_GB2312" w:eastAsia="仿宋_GB2312"/>
          <w:color w:val="auto"/>
          <w:sz w:val="32"/>
          <w:szCs w:val="32"/>
          <w:highlight w:val="none"/>
        </w:rPr>
        <w:t>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本年支出374.52万元，其中：基本支出247.70万元，占66.14%；项目支出126.82万元，占33.86%；上缴上级支出0.00万元，占0.00%；经营支出0.00万元，占0.00%；对附属单位补助支出0.00万元，占0.00%。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olor w:val="auto"/>
          <w:sz w:val="32"/>
          <w:szCs w:val="32"/>
          <w:highlight w:val="none"/>
          <w:lang w:eastAsia="zh-CN"/>
        </w:rPr>
      </w:pPr>
      <w:bookmarkStart w:id="14" w:name="_Toc4393"/>
      <w:bookmarkStart w:id="15" w:name="_Toc26564"/>
      <w:r>
        <w:rPr>
          <w:rFonts w:hint="eastAsia" w:ascii="黑体" w:hAnsi="黑体" w:eastAsia="黑体"/>
          <w:color w:val="auto"/>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374.52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374.52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374.52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374.52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增加28.07万元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增长8.10%,</w:t>
      </w:r>
      <w:r>
        <w:rPr>
          <w:rFonts w:hint="eastAsia" w:ascii="仿宋_GB2312" w:eastAsia="仿宋_GB2312"/>
          <w:color w:val="auto"/>
          <w:spacing w:val="0"/>
          <w:sz w:val="32"/>
          <w:szCs w:val="32"/>
          <w:highlight w:val="none"/>
          <w:lang w:eastAsia="zh-CN"/>
        </w:rPr>
        <w:t>主要原因是：支付</w:t>
      </w:r>
      <w:r>
        <w:rPr>
          <w:rFonts w:hint="eastAsia" w:ascii="仿宋_GB2312" w:eastAsia="仿宋_GB2312"/>
          <w:color w:val="auto"/>
          <w:spacing w:val="0"/>
          <w:sz w:val="32"/>
          <w:szCs w:val="32"/>
          <w:highlight w:val="none"/>
          <w:lang w:val="en-US" w:eastAsia="zh-CN"/>
        </w:rPr>
        <w:t>2020-2022年市级配套学前保教费和伙食费，所以收入支出总体增加。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308.12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374.52</w:t>
      </w:r>
      <w:r>
        <w:rPr>
          <w:rFonts w:hint="eastAsia" w:ascii="仿宋_GB2312" w:eastAsia="仿宋_GB2312"/>
          <w:color w:val="auto"/>
          <w:spacing w:val="0"/>
          <w:sz w:val="32"/>
          <w:szCs w:val="32"/>
          <w:highlight w:val="none"/>
          <w:lang w:eastAsia="zh-CN"/>
        </w:rPr>
        <w:t>万元，预决算差异率21.55%，主要原因是：追加</w:t>
      </w:r>
      <w:r>
        <w:rPr>
          <w:rFonts w:hint="eastAsia" w:ascii="仿宋_GB2312" w:eastAsia="仿宋_GB2312"/>
          <w:color w:val="auto"/>
          <w:spacing w:val="0"/>
          <w:sz w:val="32"/>
          <w:szCs w:val="32"/>
          <w:highlight w:val="none"/>
          <w:lang w:val="en-US" w:eastAsia="zh-CN"/>
        </w:rPr>
        <w:t>2020-2022年市级配套学前保教费和伙食费。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olor w:val="auto"/>
          <w:sz w:val="32"/>
          <w:szCs w:val="32"/>
          <w:highlight w:val="none"/>
          <w:lang w:eastAsia="zh-CN"/>
        </w:rPr>
      </w:pPr>
      <w:bookmarkStart w:id="16" w:name="_Toc20360"/>
      <w:bookmarkStart w:id="17" w:name="_Toc13833"/>
      <w:r>
        <w:rPr>
          <w:rFonts w:hint="eastAsia" w:ascii="黑体" w:hAnsi="黑体" w:eastAsia="黑体"/>
          <w:color w:val="auto"/>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2023年度一般公共预算财政拨款支出374.52万元，占本年支出合计的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增加28.07万元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增长8.10%,</w:t>
      </w:r>
      <w:r>
        <w:rPr>
          <w:rFonts w:hint="eastAsia" w:ascii="仿宋_GB2312" w:eastAsia="仿宋_GB2312"/>
          <w:color w:val="auto"/>
          <w:spacing w:val="0"/>
          <w:sz w:val="32"/>
          <w:szCs w:val="32"/>
          <w:highlight w:val="none"/>
          <w:lang w:eastAsia="zh-CN"/>
        </w:rPr>
        <w:t>主要原因是：支付</w:t>
      </w:r>
      <w:r>
        <w:rPr>
          <w:rFonts w:hint="eastAsia" w:ascii="仿宋_GB2312" w:eastAsia="仿宋_GB2312"/>
          <w:color w:val="auto"/>
          <w:spacing w:val="0"/>
          <w:sz w:val="32"/>
          <w:szCs w:val="32"/>
          <w:highlight w:val="none"/>
          <w:lang w:val="en-US" w:eastAsia="zh-CN"/>
        </w:rPr>
        <w:t>2020-2022年市级配套学前保教费和伙食费，所以收入支出总体增加。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308.12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374.52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21.55%</w:t>
      </w:r>
      <w:r>
        <w:rPr>
          <w:rFonts w:hint="eastAsia" w:ascii="仿宋_GB2312" w:eastAsia="仿宋_GB2312"/>
          <w:color w:val="auto"/>
          <w:spacing w:val="0"/>
          <w:sz w:val="32"/>
          <w:szCs w:val="32"/>
          <w:highlight w:val="none"/>
          <w:lang w:eastAsia="zh-CN"/>
        </w:rPr>
        <w:t>，主要原因是：追加</w:t>
      </w:r>
      <w:r>
        <w:rPr>
          <w:rFonts w:hint="eastAsia" w:ascii="仿宋_GB2312" w:eastAsia="仿宋_GB2312"/>
          <w:color w:val="auto"/>
          <w:spacing w:val="0"/>
          <w:sz w:val="32"/>
          <w:szCs w:val="32"/>
          <w:highlight w:val="none"/>
          <w:lang w:val="en-US" w:eastAsia="zh-CN"/>
        </w:rPr>
        <w:t>2020-2022年市级配套学前保教费和伙食费</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10" w:leftChars="0" w:firstLine="640" w:firstLineChars="0"/>
        <w:jc w:val="left"/>
        <w:textAlignment w:val="auto"/>
        <w:outlineLvl w:val="2"/>
        <w:rPr>
          <w:rFonts w:hint="default" w:ascii="黑体" w:hAnsi="黑体" w:eastAsia="黑体"/>
          <w:color w:val="auto"/>
          <w:sz w:val="32"/>
          <w:szCs w:val="32"/>
          <w:highlight w:val="none"/>
          <w:lang w:val="zh-CN"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374.52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val="zh-CN"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1.教育支出（类）教育费附加安排的支出（款）其他教育费附加安排的支出（项）:支出决算数为9.73万元，比上年决算增加5.73万元，增长143.25%，主要原因是：</w:t>
      </w:r>
      <w:r>
        <w:rPr>
          <w:rFonts w:hint="eastAsia" w:ascii="仿宋_GB2312" w:hAnsi="仿宋_GB2312" w:eastAsia="仿宋_GB2312" w:cs="仿宋_GB2312"/>
          <w:color w:val="auto"/>
          <w:kern w:val="2"/>
          <w:sz w:val="32"/>
          <w:szCs w:val="32"/>
          <w:highlight w:val="none"/>
          <w:lang w:val="zh-CN" w:eastAsia="zh-CN" w:bidi="ar-SA"/>
        </w:rPr>
        <w:t>本年幼儿园大型修缮维修用</w:t>
      </w:r>
      <w:r>
        <w:rPr>
          <w:rFonts w:hint="eastAsia" w:ascii="仿宋_GB2312" w:hAnsi="仿宋_GB2312" w:eastAsia="仿宋_GB2312" w:cs="仿宋_GB2312"/>
          <w:color w:val="auto"/>
          <w:kern w:val="2"/>
          <w:sz w:val="32"/>
          <w:szCs w:val="32"/>
          <w:highlight w:val="none"/>
          <w:lang w:val="en-US" w:eastAsia="zh-CN" w:bidi="ar-SA"/>
        </w:rPr>
        <w:t>其他教育费附加安排的支出费用及项目增加，故支出增加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2.教育支出（类）普通教育（款）学前教育（项）:支出决算数为364.79万元，比上年决算增加22.34万元，增长6.52%，主要原因是：支付2020-2022年市级配套学前保教费和伙食费，所以支出增加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zh-CN"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2023年度一般公共预算财政拨款基本支出247.70万元，其中：人员经费247.17万元，包括：基本工资、津贴补贴、奖金、绩效工资、机关事业单位基本养老保险缴费、职业年金缴费、职工基本医疗保险缴费、其他社会保障缴费、住房公积金、其他工资福利支出、退休费、奖励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公用经费0.53万元，包括：工会经费。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七、财政拨款“三公”经费支出决算情况说明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2023年度</w:t>
      </w:r>
      <w:r>
        <w:rPr>
          <w:rFonts w:hint="eastAsia" w:ascii="仿宋_GB2312" w:hAnsi="仿宋_GB2312" w:eastAsia="仿宋_GB2312" w:cs="仿宋_GB2312"/>
          <w:color w:val="auto"/>
          <w:kern w:val="2"/>
          <w:sz w:val="32"/>
          <w:szCs w:val="32"/>
          <w:highlight w:val="none"/>
          <w:lang w:val="en-US" w:eastAsia="zh-CN" w:bidi="ar-SA"/>
        </w:rPr>
        <w:t>财政拨款</w:t>
      </w:r>
      <w:r>
        <w:rPr>
          <w:rFonts w:hint="eastAsia" w:ascii="仿宋_GB2312" w:hAnsi="仿宋_GB2312" w:eastAsia="仿宋_GB2312" w:cs="仿宋_GB2312"/>
          <w:color w:val="auto"/>
          <w:kern w:val="2"/>
          <w:sz w:val="32"/>
          <w:szCs w:val="32"/>
          <w:highlight w:val="none"/>
          <w:lang w:val="zh-CN" w:eastAsia="zh-CN" w:bidi="ar-SA"/>
        </w:rPr>
        <w:t>“三公”经费支出0.00万元，</w:t>
      </w:r>
      <w:r>
        <w:rPr>
          <w:rFonts w:hint="eastAsia" w:ascii="仿宋_GB2312" w:hAnsi="仿宋_GB2312" w:eastAsia="仿宋_GB2312" w:cs="仿宋_GB2312"/>
          <w:color w:val="auto"/>
          <w:kern w:val="2"/>
          <w:sz w:val="32"/>
          <w:szCs w:val="32"/>
          <w:highlight w:val="none"/>
          <w:lang w:val="en-US" w:eastAsia="zh-CN" w:bidi="ar-SA"/>
        </w:rPr>
        <w:t>比上年</w:t>
      </w:r>
      <w:r>
        <w:rPr>
          <w:rFonts w:hint="eastAsia" w:ascii="仿宋_GB2312" w:hAnsi="仿宋_GB2312" w:eastAsia="仿宋_GB2312" w:cs="仿宋_GB2312"/>
          <w:color w:val="auto"/>
          <w:kern w:val="2"/>
          <w:sz w:val="32"/>
          <w:szCs w:val="32"/>
          <w:highlight w:val="none"/>
          <w:lang w:val="zh-CN" w:eastAsia="zh-CN" w:bidi="ar-SA"/>
        </w:rPr>
        <w:t>增加0.00万元，</w:t>
      </w:r>
      <w:r>
        <w:rPr>
          <w:rFonts w:hint="eastAsia" w:ascii="仿宋_GB2312" w:hAnsi="仿宋_GB2312" w:eastAsia="仿宋_GB2312" w:cs="仿宋_GB2312"/>
          <w:color w:val="auto"/>
          <w:kern w:val="2"/>
          <w:sz w:val="32"/>
          <w:szCs w:val="32"/>
          <w:highlight w:val="none"/>
          <w:lang w:val="en-US" w:eastAsia="zh-CN" w:bidi="ar-SA"/>
        </w:rPr>
        <w:t>增长0.00%,</w:t>
      </w:r>
      <w:r>
        <w:rPr>
          <w:rFonts w:hint="eastAsia" w:ascii="仿宋_GB2312" w:hAnsi="仿宋_GB2312" w:eastAsia="仿宋_GB2312" w:cs="仿宋_GB2312"/>
          <w:color w:val="auto"/>
          <w:kern w:val="2"/>
          <w:sz w:val="32"/>
          <w:szCs w:val="32"/>
          <w:highlight w:val="none"/>
          <w:lang w:val="zh-CN" w:eastAsia="zh-CN" w:bidi="ar-SA"/>
        </w:rPr>
        <w:t>主要原因是：</w:t>
      </w:r>
      <w:r>
        <w:rPr>
          <w:rFonts w:hint="eastAsia" w:ascii="仿宋_GB2312" w:hAnsi="仿宋_GB2312" w:eastAsia="仿宋_GB2312" w:cs="仿宋_GB2312"/>
          <w:color w:val="auto"/>
          <w:kern w:val="2"/>
          <w:sz w:val="32"/>
          <w:szCs w:val="32"/>
          <w:highlight w:val="none"/>
          <w:lang w:val="en-US" w:eastAsia="zh-CN" w:bidi="ar-SA"/>
        </w:rPr>
        <w:t>2023年我单位无“三公”经费支出</w:t>
      </w:r>
      <w:r>
        <w:rPr>
          <w:rFonts w:hint="eastAsia" w:ascii="仿宋_GB2312" w:hAnsi="仿宋_GB2312" w:eastAsia="仿宋_GB2312" w:cs="仿宋_GB2312"/>
          <w:color w:val="auto"/>
          <w:kern w:val="2"/>
          <w:sz w:val="32"/>
          <w:szCs w:val="32"/>
          <w:highlight w:val="none"/>
          <w:lang w:val="zh-CN" w:eastAsia="zh-CN" w:bidi="ar-SA"/>
        </w:rPr>
        <w:t>。其中：因公出国（境）费支出0.00万元，占0.00%，比上年增加0.00万元，</w:t>
      </w:r>
      <w:r>
        <w:rPr>
          <w:rFonts w:hint="eastAsia" w:ascii="仿宋_GB2312" w:hAnsi="仿宋_GB2312" w:eastAsia="仿宋_GB2312" w:cs="仿宋_GB2312"/>
          <w:color w:val="auto"/>
          <w:kern w:val="2"/>
          <w:sz w:val="32"/>
          <w:szCs w:val="32"/>
          <w:highlight w:val="none"/>
          <w:lang w:val="en-US" w:eastAsia="zh-CN" w:bidi="ar-SA"/>
        </w:rPr>
        <w:t>增长0.00%,</w:t>
      </w:r>
      <w:r>
        <w:rPr>
          <w:rFonts w:hint="eastAsia" w:ascii="仿宋_GB2312" w:hAnsi="仿宋_GB2312" w:eastAsia="仿宋_GB2312" w:cs="仿宋_GB2312"/>
          <w:color w:val="auto"/>
          <w:kern w:val="2"/>
          <w:sz w:val="32"/>
          <w:szCs w:val="32"/>
          <w:highlight w:val="none"/>
          <w:lang w:val="zh-CN" w:eastAsia="zh-CN" w:bidi="ar-SA"/>
        </w:rPr>
        <w:t>主要原因是：</w:t>
      </w:r>
      <w:r>
        <w:rPr>
          <w:rFonts w:hint="eastAsia" w:ascii="仿宋_GB2312" w:hAnsi="仿宋_GB2312" w:eastAsia="仿宋_GB2312" w:cs="仿宋_GB2312"/>
          <w:color w:val="auto"/>
          <w:kern w:val="2"/>
          <w:sz w:val="32"/>
          <w:szCs w:val="32"/>
          <w:highlight w:val="none"/>
          <w:lang w:val="en-US" w:eastAsia="zh-CN" w:bidi="ar-SA"/>
        </w:rPr>
        <w:t>2023年我单位无因公出国（境）费支出</w:t>
      </w:r>
      <w:r>
        <w:rPr>
          <w:rFonts w:hint="eastAsia" w:ascii="仿宋_GB2312" w:hAnsi="仿宋_GB2312" w:eastAsia="仿宋_GB2312" w:cs="仿宋_GB2312"/>
          <w:color w:val="auto"/>
          <w:kern w:val="2"/>
          <w:sz w:val="32"/>
          <w:szCs w:val="32"/>
          <w:highlight w:val="none"/>
          <w:lang w:val="zh-CN" w:eastAsia="zh-CN" w:bidi="ar-SA"/>
        </w:rPr>
        <w:t>；公务用车购置及运行维护费支出0.00万元，占0.00%，比上年增加0.00万元，</w:t>
      </w:r>
      <w:r>
        <w:rPr>
          <w:rFonts w:hint="eastAsia" w:ascii="仿宋_GB2312" w:hAnsi="仿宋_GB2312" w:eastAsia="仿宋_GB2312" w:cs="仿宋_GB2312"/>
          <w:color w:val="auto"/>
          <w:kern w:val="2"/>
          <w:sz w:val="32"/>
          <w:szCs w:val="32"/>
          <w:highlight w:val="none"/>
          <w:lang w:val="en-US" w:eastAsia="zh-CN" w:bidi="ar-SA"/>
        </w:rPr>
        <w:t>增长0.00%,</w:t>
      </w:r>
      <w:r>
        <w:rPr>
          <w:rFonts w:hint="eastAsia" w:ascii="仿宋_GB2312" w:hAnsi="仿宋_GB2312" w:eastAsia="仿宋_GB2312" w:cs="仿宋_GB2312"/>
          <w:color w:val="auto"/>
          <w:kern w:val="2"/>
          <w:sz w:val="32"/>
          <w:szCs w:val="32"/>
          <w:highlight w:val="none"/>
          <w:lang w:val="zh-CN" w:eastAsia="zh-CN" w:bidi="ar-SA"/>
        </w:rPr>
        <w:t>主要原因是：</w:t>
      </w:r>
      <w:r>
        <w:rPr>
          <w:rFonts w:hint="eastAsia" w:ascii="仿宋_GB2312" w:hAnsi="仿宋_GB2312" w:eastAsia="仿宋_GB2312" w:cs="仿宋_GB2312"/>
          <w:color w:val="auto"/>
          <w:kern w:val="2"/>
          <w:sz w:val="32"/>
          <w:szCs w:val="32"/>
          <w:highlight w:val="none"/>
          <w:lang w:val="en-US" w:eastAsia="zh-CN" w:bidi="ar-SA"/>
        </w:rPr>
        <w:t>2023年我单位无公务用车购置及运行维护费支出</w:t>
      </w:r>
      <w:r>
        <w:rPr>
          <w:rFonts w:hint="eastAsia" w:ascii="仿宋_GB2312" w:hAnsi="仿宋_GB2312" w:eastAsia="仿宋_GB2312" w:cs="仿宋_GB2312"/>
          <w:color w:val="auto"/>
          <w:kern w:val="2"/>
          <w:sz w:val="32"/>
          <w:szCs w:val="32"/>
          <w:highlight w:val="none"/>
          <w:lang w:val="zh-CN" w:eastAsia="zh-CN" w:bidi="ar-SA"/>
        </w:rPr>
        <w:t>；公务接待费支出0.00万元，占0.00%，比上年增加0.00万元，</w:t>
      </w:r>
      <w:r>
        <w:rPr>
          <w:rFonts w:hint="eastAsia" w:ascii="仿宋_GB2312" w:hAnsi="仿宋_GB2312" w:eastAsia="仿宋_GB2312" w:cs="仿宋_GB2312"/>
          <w:color w:val="auto"/>
          <w:kern w:val="2"/>
          <w:sz w:val="32"/>
          <w:szCs w:val="32"/>
          <w:highlight w:val="none"/>
          <w:lang w:val="en-US" w:eastAsia="zh-CN" w:bidi="ar-SA"/>
        </w:rPr>
        <w:t>增长0.00%,</w:t>
      </w:r>
      <w:r>
        <w:rPr>
          <w:rFonts w:hint="eastAsia" w:ascii="仿宋_GB2312" w:hAnsi="仿宋_GB2312" w:eastAsia="仿宋_GB2312" w:cs="仿宋_GB2312"/>
          <w:color w:val="auto"/>
          <w:kern w:val="2"/>
          <w:sz w:val="32"/>
          <w:szCs w:val="32"/>
          <w:highlight w:val="none"/>
          <w:lang w:val="zh-CN" w:eastAsia="zh-CN" w:bidi="ar-SA"/>
        </w:rPr>
        <w:t>主要原因是：</w:t>
      </w:r>
      <w:r>
        <w:rPr>
          <w:rFonts w:hint="eastAsia" w:ascii="仿宋_GB2312" w:hAnsi="仿宋_GB2312" w:eastAsia="仿宋_GB2312" w:cs="仿宋_GB2312"/>
          <w:color w:val="auto"/>
          <w:kern w:val="2"/>
          <w:sz w:val="32"/>
          <w:szCs w:val="32"/>
          <w:highlight w:val="none"/>
          <w:lang w:val="en-US" w:eastAsia="zh-CN" w:bidi="ar-SA"/>
        </w:rPr>
        <w:t>2023年我单位无公务接待费支出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具体情况如下：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因公出国（境）费支出0.00万元，开支内容包括</w:t>
      </w:r>
      <w:r>
        <w:rPr>
          <w:rFonts w:hint="eastAsia" w:ascii="仿宋_GB2312" w:hAnsi="仿宋_GB2312" w:eastAsia="仿宋_GB2312" w:cs="仿宋_GB2312"/>
          <w:color w:val="auto"/>
          <w:kern w:val="2"/>
          <w:sz w:val="32"/>
          <w:szCs w:val="32"/>
          <w:highlight w:val="none"/>
          <w:lang w:val="en-US" w:eastAsia="zh-CN" w:bidi="ar-SA"/>
        </w:rPr>
        <w:t>2023年我单位无因公出国（境）费支出</w:t>
      </w:r>
      <w:r>
        <w:rPr>
          <w:rFonts w:hint="eastAsia" w:ascii="仿宋_GB2312" w:hAnsi="仿宋_GB2312" w:eastAsia="仿宋_GB2312" w:cs="仿宋_GB2312"/>
          <w:color w:val="auto"/>
          <w:kern w:val="2"/>
          <w:sz w:val="32"/>
          <w:szCs w:val="32"/>
          <w:highlight w:val="none"/>
          <w:lang w:val="zh-CN" w:eastAsia="zh-CN" w:bidi="ar-SA"/>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zh-CN" w:eastAsia="zh-CN" w:bidi="ar-SA"/>
        </w:rPr>
        <w:t>公务用车购置及运行维护费0.00万元，其中：公务用车购置费0.00万元，公务用车运行维护费0.00万元。公务用车运行维护费开支内容包括</w:t>
      </w:r>
      <w:r>
        <w:rPr>
          <w:rFonts w:hint="eastAsia" w:ascii="仿宋_GB2312" w:hAnsi="仿宋_GB2312" w:eastAsia="仿宋_GB2312" w:cs="仿宋_GB2312"/>
          <w:color w:val="auto"/>
          <w:kern w:val="2"/>
          <w:sz w:val="32"/>
          <w:szCs w:val="32"/>
          <w:highlight w:val="none"/>
          <w:lang w:val="en-US" w:eastAsia="zh-CN" w:bidi="ar-SA"/>
        </w:rPr>
        <w:t>2023年我单位无公务用车运行维护费开支</w:t>
      </w:r>
      <w:r>
        <w:rPr>
          <w:rFonts w:hint="eastAsia" w:ascii="仿宋_GB2312" w:hAnsi="仿宋_GB2312" w:eastAsia="仿宋_GB2312" w:cs="仿宋_GB2312"/>
          <w:color w:val="auto"/>
          <w:kern w:val="2"/>
          <w:sz w:val="32"/>
          <w:szCs w:val="32"/>
          <w:highlight w:val="none"/>
          <w:lang w:val="zh-CN" w:eastAsia="zh-CN" w:bidi="ar-SA"/>
        </w:rPr>
        <w:t>。公务用车购置数0辆，公务用车保有量0辆。国有资产占用情况</w:t>
      </w:r>
      <w:r>
        <w:rPr>
          <w:rFonts w:hint="eastAsia" w:ascii="仿宋_GB2312" w:hAnsi="仿宋_GB2312" w:eastAsia="仿宋_GB2312" w:cs="仿宋_GB2312"/>
          <w:color w:val="auto"/>
          <w:kern w:val="2"/>
          <w:sz w:val="32"/>
          <w:szCs w:val="32"/>
          <w:highlight w:val="none"/>
          <w:lang w:val="en-US" w:eastAsia="zh-CN" w:bidi="ar-SA"/>
        </w:rPr>
        <w:t>中固定资产车辆</w:t>
      </w:r>
      <w:r>
        <w:rPr>
          <w:rFonts w:hint="eastAsia" w:ascii="仿宋_GB2312" w:hAnsi="仿宋_GB2312" w:eastAsia="仿宋_GB2312" w:cs="仿宋_GB2312"/>
          <w:color w:val="auto"/>
          <w:kern w:val="2"/>
          <w:sz w:val="32"/>
          <w:szCs w:val="32"/>
          <w:highlight w:val="none"/>
          <w:lang w:val="zh-CN" w:eastAsia="zh-CN" w:bidi="ar-SA"/>
        </w:rPr>
        <w:t>0辆，</w:t>
      </w:r>
      <w:r>
        <w:rPr>
          <w:rFonts w:hint="eastAsia" w:ascii="仿宋_GB2312" w:hAnsi="仿宋_GB2312" w:eastAsia="仿宋_GB2312" w:cs="仿宋_GB2312"/>
          <w:color w:val="auto"/>
          <w:kern w:val="2"/>
          <w:sz w:val="32"/>
          <w:szCs w:val="32"/>
          <w:highlight w:val="none"/>
          <w:lang w:val="en-US" w:eastAsia="zh-CN" w:bidi="ar-SA"/>
        </w:rPr>
        <w:t>与</w:t>
      </w:r>
      <w:r>
        <w:rPr>
          <w:rFonts w:hint="eastAsia" w:ascii="仿宋_GB2312" w:hAnsi="仿宋_GB2312" w:eastAsia="仿宋_GB2312" w:cs="仿宋_GB2312"/>
          <w:color w:val="auto"/>
          <w:kern w:val="2"/>
          <w:sz w:val="32"/>
          <w:szCs w:val="32"/>
          <w:highlight w:val="none"/>
          <w:lang w:val="zh-CN" w:eastAsia="zh-CN" w:bidi="ar-SA"/>
        </w:rPr>
        <w:t>公务用车</w:t>
      </w:r>
      <w:r>
        <w:rPr>
          <w:rFonts w:hint="eastAsia" w:ascii="仿宋_GB2312" w:hAnsi="仿宋_GB2312" w:eastAsia="仿宋_GB2312" w:cs="仿宋_GB2312"/>
          <w:color w:val="auto"/>
          <w:kern w:val="2"/>
          <w:sz w:val="32"/>
          <w:szCs w:val="32"/>
          <w:highlight w:val="none"/>
          <w:lang w:val="en-US" w:eastAsia="zh-CN" w:bidi="ar-SA"/>
        </w:rPr>
        <w:t>保有量差异</w:t>
      </w:r>
      <w:r>
        <w:rPr>
          <w:rFonts w:hint="eastAsia" w:ascii="仿宋_GB2312" w:hAnsi="仿宋_GB2312" w:eastAsia="仿宋_GB2312" w:cs="仿宋_GB2312"/>
          <w:color w:val="auto"/>
          <w:kern w:val="2"/>
          <w:sz w:val="32"/>
          <w:szCs w:val="32"/>
          <w:highlight w:val="none"/>
          <w:lang w:val="zh-CN" w:eastAsia="zh-CN" w:bidi="ar-SA"/>
        </w:rPr>
        <w:t>原因是：</w:t>
      </w:r>
      <w:r>
        <w:rPr>
          <w:rFonts w:hint="eastAsia" w:ascii="仿宋_GB2312" w:hAnsi="仿宋_GB2312" w:eastAsia="仿宋_GB2312" w:cs="仿宋_GB2312"/>
          <w:color w:val="auto"/>
          <w:kern w:val="2"/>
          <w:sz w:val="32"/>
          <w:szCs w:val="32"/>
          <w:highlight w:val="none"/>
          <w:lang w:val="en-US" w:eastAsia="zh-CN" w:bidi="ar-SA"/>
        </w:rPr>
        <w:t>无差异</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公务接待费0.00万元，开支内容包括</w:t>
      </w:r>
      <w:r>
        <w:rPr>
          <w:rFonts w:hint="eastAsia" w:ascii="仿宋_GB2312" w:hAnsi="仿宋_GB2312" w:eastAsia="仿宋_GB2312" w:cs="仿宋_GB2312"/>
          <w:color w:val="auto"/>
          <w:kern w:val="2"/>
          <w:sz w:val="32"/>
          <w:szCs w:val="32"/>
          <w:highlight w:val="none"/>
          <w:lang w:val="en-US" w:eastAsia="zh-CN" w:bidi="ar-SA"/>
        </w:rPr>
        <w:t>2023年我单位无公务接待费</w:t>
      </w:r>
      <w:r>
        <w:rPr>
          <w:rFonts w:hint="eastAsia" w:ascii="仿宋_GB2312" w:hAnsi="仿宋_GB2312" w:eastAsia="仿宋_GB2312" w:cs="仿宋_GB2312"/>
          <w:color w:val="auto"/>
          <w:kern w:val="2"/>
          <w:sz w:val="32"/>
          <w:szCs w:val="32"/>
          <w:highlight w:val="none"/>
          <w:lang w:val="zh-CN" w:eastAsia="zh-CN" w:bidi="ar-SA"/>
        </w:rPr>
        <w:t>。单位全年安排的国内公务接待0批次，0人次。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与</w:t>
      </w:r>
      <w:r>
        <w:rPr>
          <w:rFonts w:hint="eastAsia" w:ascii="仿宋_GB2312" w:hAnsi="仿宋_GB2312" w:eastAsia="仿宋_GB2312" w:cs="仿宋_GB2312"/>
          <w:color w:val="auto"/>
          <w:kern w:val="2"/>
          <w:sz w:val="32"/>
          <w:szCs w:val="32"/>
          <w:highlight w:val="none"/>
          <w:lang w:val="en-US" w:eastAsia="zh-CN" w:bidi="ar-SA"/>
        </w:rPr>
        <w:t>全年</w:t>
      </w:r>
      <w:r>
        <w:rPr>
          <w:rFonts w:hint="eastAsia" w:ascii="仿宋_GB2312" w:hAnsi="仿宋_GB2312" w:eastAsia="仿宋_GB2312" w:cs="仿宋_GB2312"/>
          <w:color w:val="auto"/>
          <w:kern w:val="2"/>
          <w:sz w:val="32"/>
          <w:szCs w:val="32"/>
          <w:highlight w:val="none"/>
          <w:lang w:val="zh-CN" w:eastAsia="zh-CN" w:bidi="ar-SA"/>
        </w:rPr>
        <w:t>预算相比</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zh-CN" w:eastAsia="zh-CN" w:bidi="ar-SA"/>
        </w:rPr>
        <w:t>财政拨款“三公”经费支出</w:t>
      </w:r>
      <w:r>
        <w:rPr>
          <w:rFonts w:hint="eastAsia" w:ascii="仿宋_GB2312" w:hAnsi="仿宋_GB2312" w:eastAsia="仿宋_GB2312" w:cs="仿宋_GB2312"/>
          <w:color w:val="auto"/>
          <w:kern w:val="2"/>
          <w:sz w:val="32"/>
          <w:szCs w:val="32"/>
          <w:highlight w:val="none"/>
          <w:lang w:val="en-US" w:eastAsia="zh-CN" w:bidi="ar-SA"/>
        </w:rPr>
        <w:t>全年</w:t>
      </w:r>
      <w:r>
        <w:rPr>
          <w:rFonts w:hint="eastAsia" w:ascii="仿宋_GB2312" w:hAnsi="仿宋_GB2312" w:eastAsia="仿宋_GB2312" w:cs="仿宋_GB2312"/>
          <w:color w:val="auto"/>
          <w:kern w:val="2"/>
          <w:sz w:val="32"/>
          <w:szCs w:val="32"/>
          <w:highlight w:val="none"/>
          <w:lang w:val="zh-CN" w:eastAsia="zh-CN" w:bidi="ar-SA"/>
        </w:rPr>
        <w:t>预算数0.00万元，决算数0.00万元，预决算差异率0.00%，主要原因是：</w:t>
      </w:r>
      <w:r>
        <w:rPr>
          <w:rFonts w:hint="eastAsia" w:ascii="仿宋_GB2312" w:hAnsi="仿宋_GB2312" w:eastAsia="仿宋_GB2312" w:cs="仿宋_GB2312"/>
          <w:color w:val="auto"/>
          <w:kern w:val="2"/>
          <w:sz w:val="32"/>
          <w:szCs w:val="32"/>
          <w:highlight w:val="none"/>
          <w:lang w:val="en-US" w:eastAsia="zh-CN" w:bidi="ar-SA"/>
        </w:rPr>
        <w:t>2023年我单位未安排财政拨款“三公”经费支出，预决算无差异</w:t>
      </w:r>
      <w:r>
        <w:rPr>
          <w:rFonts w:hint="eastAsia" w:ascii="仿宋_GB2312" w:hAnsi="仿宋_GB2312" w:eastAsia="仿宋_GB2312" w:cs="仿宋_GB2312"/>
          <w:color w:val="auto"/>
          <w:kern w:val="2"/>
          <w:sz w:val="32"/>
          <w:szCs w:val="32"/>
          <w:highlight w:val="none"/>
          <w:lang w:val="zh-CN" w:eastAsia="zh-CN" w:bidi="ar-SA"/>
        </w:rPr>
        <w:t>。其中：因公出国（境）费</w:t>
      </w:r>
      <w:r>
        <w:rPr>
          <w:rFonts w:hint="eastAsia" w:ascii="仿宋_GB2312" w:hAnsi="仿宋_GB2312" w:eastAsia="仿宋_GB2312" w:cs="仿宋_GB2312"/>
          <w:color w:val="auto"/>
          <w:kern w:val="2"/>
          <w:sz w:val="32"/>
          <w:szCs w:val="32"/>
          <w:highlight w:val="none"/>
          <w:lang w:val="en-US" w:eastAsia="zh-CN" w:bidi="ar-SA"/>
        </w:rPr>
        <w:t>全年预算数</w:t>
      </w:r>
      <w:r>
        <w:rPr>
          <w:rFonts w:hint="eastAsia" w:ascii="仿宋_GB2312" w:hAnsi="仿宋_GB2312" w:eastAsia="仿宋_GB2312" w:cs="仿宋_GB2312"/>
          <w:color w:val="auto"/>
          <w:kern w:val="2"/>
          <w:sz w:val="32"/>
          <w:szCs w:val="32"/>
          <w:highlight w:val="none"/>
          <w:lang w:val="zh-CN" w:eastAsia="zh-CN" w:bidi="ar-SA"/>
        </w:rPr>
        <w:t>0.00万元，决算数0.00万元，预决算差异率0.00%，主要原因是：</w:t>
      </w:r>
      <w:r>
        <w:rPr>
          <w:rFonts w:hint="eastAsia" w:ascii="仿宋_GB2312" w:hAnsi="仿宋_GB2312" w:eastAsia="仿宋_GB2312" w:cs="仿宋_GB2312"/>
          <w:color w:val="auto"/>
          <w:kern w:val="2"/>
          <w:sz w:val="32"/>
          <w:szCs w:val="32"/>
          <w:highlight w:val="none"/>
          <w:lang w:val="en-US" w:eastAsia="zh-CN" w:bidi="ar-SA"/>
        </w:rPr>
        <w:t>2023年我单位未安排因公出国（境）费，预决算无差异</w:t>
      </w:r>
      <w:r>
        <w:rPr>
          <w:rFonts w:hint="eastAsia" w:ascii="仿宋_GB2312" w:hAnsi="仿宋_GB2312" w:eastAsia="仿宋_GB2312" w:cs="仿宋_GB2312"/>
          <w:color w:val="auto"/>
          <w:kern w:val="2"/>
          <w:sz w:val="32"/>
          <w:szCs w:val="32"/>
          <w:highlight w:val="none"/>
          <w:lang w:val="zh-CN" w:eastAsia="zh-CN" w:bidi="ar-SA"/>
        </w:rPr>
        <w:t>；公务用车购置费</w:t>
      </w:r>
      <w:r>
        <w:rPr>
          <w:rFonts w:hint="eastAsia" w:ascii="仿宋_GB2312" w:hAnsi="仿宋_GB2312" w:eastAsia="仿宋_GB2312" w:cs="仿宋_GB2312"/>
          <w:color w:val="auto"/>
          <w:kern w:val="2"/>
          <w:sz w:val="32"/>
          <w:szCs w:val="32"/>
          <w:highlight w:val="none"/>
          <w:lang w:val="en-US" w:eastAsia="zh-CN" w:bidi="ar-SA"/>
        </w:rPr>
        <w:t>全年</w:t>
      </w:r>
      <w:r>
        <w:rPr>
          <w:rFonts w:hint="eastAsia" w:ascii="仿宋_GB2312" w:hAnsi="仿宋_GB2312" w:eastAsia="仿宋_GB2312" w:cs="仿宋_GB2312"/>
          <w:color w:val="auto"/>
          <w:kern w:val="2"/>
          <w:sz w:val="32"/>
          <w:szCs w:val="32"/>
          <w:highlight w:val="none"/>
          <w:lang w:val="zh-CN" w:eastAsia="zh-CN" w:bidi="ar-SA"/>
        </w:rPr>
        <w:t>预算数0.00万元，决算数0.00万元，预决算差异率0.00%，主要原因是：</w:t>
      </w:r>
      <w:r>
        <w:rPr>
          <w:rFonts w:hint="eastAsia" w:ascii="仿宋_GB2312" w:hAnsi="仿宋_GB2312" w:eastAsia="仿宋_GB2312" w:cs="仿宋_GB2312"/>
          <w:color w:val="auto"/>
          <w:kern w:val="2"/>
          <w:sz w:val="32"/>
          <w:szCs w:val="32"/>
          <w:highlight w:val="none"/>
          <w:lang w:val="en-US" w:eastAsia="zh-CN" w:bidi="ar-SA"/>
        </w:rPr>
        <w:t>2023年我单位未安排公务用车购置费，预决算无差异</w:t>
      </w:r>
      <w:r>
        <w:rPr>
          <w:rFonts w:hint="eastAsia" w:ascii="仿宋_GB2312" w:hAnsi="仿宋_GB2312" w:eastAsia="仿宋_GB2312" w:cs="仿宋_GB2312"/>
          <w:color w:val="auto"/>
          <w:kern w:val="2"/>
          <w:sz w:val="32"/>
          <w:szCs w:val="32"/>
          <w:highlight w:val="none"/>
          <w:lang w:val="zh-CN" w:eastAsia="zh-CN" w:bidi="ar-SA"/>
        </w:rPr>
        <w:t>；公务用车运行费</w:t>
      </w:r>
      <w:r>
        <w:rPr>
          <w:rFonts w:hint="eastAsia" w:ascii="仿宋_GB2312" w:hAnsi="仿宋_GB2312" w:eastAsia="仿宋_GB2312" w:cs="仿宋_GB2312"/>
          <w:color w:val="auto"/>
          <w:kern w:val="2"/>
          <w:sz w:val="32"/>
          <w:szCs w:val="32"/>
          <w:highlight w:val="none"/>
          <w:lang w:val="en-US" w:eastAsia="zh-CN" w:bidi="ar-SA"/>
        </w:rPr>
        <w:t>全年</w:t>
      </w:r>
      <w:r>
        <w:rPr>
          <w:rFonts w:hint="eastAsia" w:ascii="仿宋_GB2312" w:hAnsi="仿宋_GB2312" w:eastAsia="仿宋_GB2312" w:cs="仿宋_GB2312"/>
          <w:color w:val="auto"/>
          <w:kern w:val="2"/>
          <w:sz w:val="32"/>
          <w:szCs w:val="32"/>
          <w:highlight w:val="none"/>
          <w:lang w:val="zh-CN" w:eastAsia="zh-CN" w:bidi="ar-SA"/>
        </w:rPr>
        <w:t>预算数0.00万元，决算数0.00万元，预决算差异率0.00%，主要原因是：</w:t>
      </w:r>
      <w:r>
        <w:rPr>
          <w:rFonts w:hint="eastAsia" w:ascii="仿宋_GB2312" w:hAnsi="仿宋_GB2312" w:eastAsia="仿宋_GB2312" w:cs="仿宋_GB2312"/>
          <w:color w:val="auto"/>
          <w:kern w:val="2"/>
          <w:sz w:val="32"/>
          <w:szCs w:val="32"/>
          <w:highlight w:val="none"/>
          <w:lang w:val="en-US" w:eastAsia="zh-CN" w:bidi="ar-SA"/>
        </w:rPr>
        <w:t>2023年我单位未安排公务用车运行费，预决算无差异</w:t>
      </w:r>
      <w:r>
        <w:rPr>
          <w:rFonts w:hint="eastAsia" w:ascii="仿宋_GB2312" w:hAnsi="仿宋_GB2312" w:eastAsia="仿宋_GB2312" w:cs="仿宋_GB2312"/>
          <w:color w:val="auto"/>
          <w:kern w:val="2"/>
          <w:sz w:val="32"/>
          <w:szCs w:val="32"/>
          <w:highlight w:val="none"/>
          <w:lang w:val="zh-CN" w:eastAsia="zh-CN" w:bidi="ar-SA"/>
        </w:rPr>
        <w:t>；公务接待费</w:t>
      </w:r>
      <w:r>
        <w:rPr>
          <w:rFonts w:hint="eastAsia" w:ascii="仿宋_GB2312" w:hAnsi="仿宋_GB2312" w:eastAsia="仿宋_GB2312" w:cs="仿宋_GB2312"/>
          <w:color w:val="auto"/>
          <w:kern w:val="2"/>
          <w:sz w:val="32"/>
          <w:szCs w:val="32"/>
          <w:highlight w:val="none"/>
          <w:lang w:val="en-US" w:eastAsia="zh-CN" w:bidi="ar-SA"/>
        </w:rPr>
        <w:t>全年</w:t>
      </w:r>
      <w:r>
        <w:rPr>
          <w:rFonts w:hint="eastAsia" w:ascii="仿宋_GB2312" w:hAnsi="仿宋_GB2312" w:eastAsia="仿宋_GB2312" w:cs="仿宋_GB2312"/>
          <w:color w:val="auto"/>
          <w:kern w:val="2"/>
          <w:sz w:val="32"/>
          <w:szCs w:val="32"/>
          <w:highlight w:val="none"/>
          <w:lang w:val="zh-CN" w:eastAsia="zh-CN" w:bidi="ar-SA"/>
        </w:rPr>
        <w:t>预算数0.00万元，决算数0.00万元，预决算差异率0.00%，主要原因是：</w:t>
      </w:r>
      <w:r>
        <w:rPr>
          <w:rFonts w:hint="eastAsia" w:ascii="仿宋_GB2312" w:hAnsi="仿宋_GB2312" w:eastAsia="仿宋_GB2312" w:cs="仿宋_GB2312"/>
          <w:color w:val="auto"/>
          <w:kern w:val="2"/>
          <w:sz w:val="32"/>
          <w:szCs w:val="32"/>
          <w:highlight w:val="none"/>
          <w:lang w:val="en-US" w:eastAsia="zh-CN" w:bidi="ar-SA"/>
        </w:rPr>
        <w:t>2023年我单位未安排公务接待费，预决算无差异。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八、政府性基金预算财政拨款收入支出决算情况说明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20" w:name="_Toc7314"/>
      <w:bookmarkStart w:id="21" w:name="_Toc1235"/>
      <w:r>
        <w:rPr>
          <w:rFonts w:hint="eastAsia" w:ascii="仿宋_GB2312" w:eastAsia="仿宋_GB2312"/>
          <w:color w:val="auto"/>
          <w:sz w:val="32"/>
          <w:szCs w:val="32"/>
          <w:highlight w:val="none"/>
          <w:lang w:val="zh-CN" w:eastAsia="zh-CN"/>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bookmarkStart w:id="22" w:name="_Toc13105"/>
      <w:bookmarkStart w:id="23" w:name="_Toc14519"/>
      <w:r>
        <w:rPr>
          <w:rFonts w:hint="eastAsia" w:ascii="黑体" w:hAnsi="黑体" w:eastAsia="黑体"/>
          <w:color w:val="auto"/>
          <w:sz w:val="32"/>
          <w:szCs w:val="32"/>
          <w:highlight w:val="none"/>
          <w:lang w:eastAsia="zh-CN"/>
        </w:rPr>
        <w:t>（一）机关运行经费支出情况</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沙湾市老沙湾路双语幼儿园（事业单位）公用经费支出0.53万元，</w:t>
      </w:r>
      <w:r>
        <w:rPr>
          <w:rFonts w:hint="eastAsia" w:ascii="仿宋_GB2312" w:eastAsia="仿宋_GB2312"/>
          <w:color w:val="auto"/>
          <w:sz w:val="32"/>
          <w:szCs w:val="32"/>
          <w:highlight w:val="none"/>
          <w:lang w:val="zh-CN" w:eastAsia="zh-CN"/>
        </w:rPr>
        <w:t>比上年增加0.53万元，增长100.00%，主要原因是：本年公用经费支出为工会经费</w:t>
      </w:r>
      <w:r>
        <w:rPr>
          <w:rFonts w:hint="eastAsia" w:ascii="仿宋_GB2312" w:eastAsia="仿宋_GB2312"/>
          <w:color w:val="auto"/>
          <w:sz w:val="32"/>
          <w:szCs w:val="32"/>
          <w:highlight w:val="none"/>
          <w:lang w:val="en-US" w:eastAsia="zh-CN"/>
        </w:rPr>
        <w:t>0.53万元，2022年未支出工会经费，故增长率为100%</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2023年度政府采购支出总额9.50万元，其中：政府采购货物支出4.32万元、政府采购工程支出0.00万元、政府采购服务支出5.18万元。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授予中小企业合同金额9.50万元，占政府采购支出总额的100.00%，其中：授予小微企业合同金额9.50万元，占政府采购支出总额的100.00%</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689.75</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屋2,688.00平方米，价值596.77万元。车辆0辆，价值0.00万元，其中：副部（省）级及以上领导用车0辆、主要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用车0辆、其他用车0辆，其他用车主要是：202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年我单位无其他用车；单价100万元（含）以上设备（不含车辆）0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28" w:name="_Toc11283"/>
      <w:bookmarkStart w:id="29" w:name="_Toc435"/>
      <w:r>
        <w:rPr>
          <w:rFonts w:hint="eastAsia" w:ascii="黑体" w:hAnsi="黑体" w:eastAsia="黑体" w:cs="宋体"/>
          <w:bCs/>
          <w:color w:val="auto"/>
          <w:kern w:val="0"/>
          <w:sz w:val="32"/>
          <w:szCs w:val="32"/>
          <w:highlight w:val="none"/>
          <w:lang w:val="en-US" w:eastAsia="zh-CN"/>
        </w:rPr>
        <w:t>十一、预算绩效的情况说明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根据预算绩效管理要求，我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val="zh-CN" w:eastAsia="zh-CN"/>
        </w:rPr>
        <w:t>2023年度预算绩效管理整体</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lang w:val="zh-CN" w:eastAsia="zh-CN"/>
        </w:rPr>
        <w:t>绩效自评表</w:t>
      </w:r>
      <w:r>
        <w:rPr>
          <w:rFonts w:hint="eastAsia" w:ascii="仿宋_GB2312" w:hAnsi="仿宋_GB2312" w:eastAsia="仿宋_GB2312" w:cs="仿宋_GB2312"/>
          <w:color w:val="auto"/>
          <w:sz w:val="32"/>
          <w:szCs w:val="32"/>
          <w:highlight w:val="none"/>
          <w:lang w:val="en-US" w:eastAsia="zh-CN"/>
        </w:rPr>
        <w:t>1张，全年预算总额374.52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实际执行总额374.52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预算绩效评价项目</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CN" w:eastAsia="zh-CN"/>
        </w:rPr>
        <w:t>个，</w:t>
      </w:r>
      <w:r>
        <w:rPr>
          <w:rFonts w:hint="eastAsia" w:ascii="仿宋_GB2312" w:hAnsi="仿宋_GB2312" w:eastAsia="仿宋_GB2312" w:cs="仿宋_GB2312"/>
          <w:color w:val="auto"/>
          <w:sz w:val="32"/>
          <w:szCs w:val="32"/>
          <w:highlight w:val="none"/>
          <w:lang w:val="en-US" w:eastAsia="zh-CN"/>
        </w:rPr>
        <w:t>全年预算数126.82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全年执行数126.82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本单位sm项目1个，全年预算数9.57万元，全年执行数9.57万元，不予以公开。预算绩效管理取得的成效：一</w:t>
      </w:r>
      <w:bookmarkStart w:id="48" w:name="_GoBack"/>
      <w:bookmarkEnd w:id="48"/>
      <w:r>
        <w:rPr>
          <w:rFonts w:hint="eastAsia" w:ascii="仿宋_GB2312" w:hAnsi="仿宋_GB2312" w:eastAsia="仿宋_GB2312" w:cs="仿宋_GB2312"/>
          <w:color w:val="auto"/>
          <w:sz w:val="32"/>
          <w:szCs w:val="32"/>
          <w:highlight w:val="none"/>
          <w:lang w:val="zh-CN" w:eastAsia="zh-CN"/>
        </w:rPr>
        <w:t>是202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eastAsia="zh-CN"/>
        </w:rPr>
        <w:t>年度总体目标全完成，完善了幼儿园配套设施，保障了幼儿园正常运转，对基础设施的完善有一定的提升作用；二是改善幼儿园设施条件，提高幼儿园办学质量，树立良好形象。保障学校正常运转、完成教育教学活动和其他日常工作任务等方面的支出。发现的问题及原因：一是充分发挥好项目资金，改善办学条件，项目目标设置需要更加科学、合理，完整；二是项目实施跟踪监控还需加强，绩效跟着监控需要更加严格，规范。下一步改进措施：一是抓督查、实地查看进度，促进各项目顺利实施；二是要做好执行计划，资金拨付及时，确保项目管理制度健全，运行规范，确保安排资金足额到位，完成好项目、资金使用和项目实施上不能有违规违纪问题。做到手续完备、专账管理，专人负责、专户存储、账目清楚，充分发挥资金效益。以项目为核心管理，掌握工程情况消息，确保项目的日常运行和管理，要求将任务落实到具体项目明确责任主体，要抓督查，经常到实地开展调研、中期评估等有效管理措施，促进各项目顺利实施。具体</w:t>
      </w:r>
      <w:r>
        <w:rPr>
          <w:rFonts w:hint="eastAsia" w:ascii="仿宋_GB2312" w:hAnsi="仿宋_GB2312" w:eastAsia="仿宋_GB2312" w:cs="仿宋_GB2312"/>
          <w:color w:val="auto"/>
          <w:sz w:val="32"/>
          <w:szCs w:val="32"/>
          <w:highlight w:val="none"/>
          <w:lang w:val="zh-CN"/>
        </w:rPr>
        <w:t>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本单位sm项目1个，全年预算数9.57万元，全年执行数9.57万元，不予以公开绩效自评表。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bookmarkEnd w:id="30"/>
      <w:bookmarkEnd w:id="31"/>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N2IxYjA3ZTAzYjQyYmNlNmUwNjQ3NDM4YzkwNjcifQ=="/>
    <w:docVar w:name="KSO_WPS_MARK_KEY" w:val="41ee2a61-2d54-4f93-83be-afdb9a40d732"/>
  </w:docVars>
  <w:rsids>
    <w:rsidRoot w:val="00000000"/>
    <w:rsid w:val="00213C59"/>
    <w:rsid w:val="003210CE"/>
    <w:rsid w:val="00B70D59"/>
    <w:rsid w:val="00F52A8D"/>
    <w:rsid w:val="017253EF"/>
    <w:rsid w:val="019404F8"/>
    <w:rsid w:val="01C30B6B"/>
    <w:rsid w:val="01ED22F2"/>
    <w:rsid w:val="027345B1"/>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362EE5"/>
    <w:rsid w:val="0C5E519C"/>
    <w:rsid w:val="0C7227A7"/>
    <w:rsid w:val="0CA52EE8"/>
    <w:rsid w:val="0CBD6988"/>
    <w:rsid w:val="0CD208AC"/>
    <w:rsid w:val="0D172DAA"/>
    <w:rsid w:val="0D4903E8"/>
    <w:rsid w:val="0D7A4A46"/>
    <w:rsid w:val="0E640559"/>
    <w:rsid w:val="0F1113DA"/>
    <w:rsid w:val="0F554F51"/>
    <w:rsid w:val="0F6E51D6"/>
    <w:rsid w:val="0F78534A"/>
    <w:rsid w:val="0F89358A"/>
    <w:rsid w:val="0F8C6D51"/>
    <w:rsid w:val="105B0B5E"/>
    <w:rsid w:val="112E58D0"/>
    <w:rsid w:val="11731CAC"/>
    <w:rsid w:val="119500A0"/>
    <w:rsid w:val="11C0733B"/>
    <w:rsid w:val="11D50D17"/>
    <w:rsid w:val="120E0809"/>
    <w:rsid w:val="127F665A"/>
    <w:rsid w:val="12F7068C"/>
    <w:rsid w:val="13A6000E"/>
    <w:rsid w:val="14207DC0"/>
    <w:rsid w:val="14B932DA"/>
    <w:rsid w:val="14E32ED1"/>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172EC6"/>
    <w:rsid w:val="1D22799A"/>
    <w:rsid w:val="1D5C1A72"/>
    <w:rsid w:val="1D700B4D"/>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4B5F86"/>
    <w:rsid w:val="2380045B"/>
    <w:rsid w:val="23BC04D2"/>
    <w:rsid w:val="23EF1892"/>
    <w:rsid w:val="24417D79"/>
    <w:rsid w:val="2483647E"/>
    <w:rsid w:val="24A32D55"/>
    <w:rsid w:val="24CE6D9A"/>
    <w:rsid w:val="25292727"/>
    <w:rsid w:val="252E5CA9"/>
    <w:rsid w:val="256153BA"/>
    <w:rsid w:val="256F7692"/>
    <w:rsid w:val="25BA2154"/>
    <w:rsid w:val="25C8773F"/>
    <w:rsid w:val="25E90B11"/>
    <w:rsid w:val="26235823"/>
    <w:rsid w:val="264A7253"/>
    <w:rsid w:val="26F0170C"/>
    <w:rsid w:val="26FE3B9A"/>
    <w:rsid w:val="27201D62"/>
    <w:rsid w:val="27286E73"/>
    <w:rsid w:val="27C92A06"/>
    <w:rsid w:val="27CF2642"/>
    <w:rsid w:val="27E777F5"/>
    <w:rsid w:val="27EA1D4C"/>
    <w:rsid w:val="27EA2E41"/>
    <w:rsid w:val="282459E2"/>
    <w:rsid w:val="283A7FE5"/>
    <w:rsid w:val="28410920"/>
    <w:rsid w:val="285F51FF"/>
    <w:rsid w:val="2865164A"/>
    <w:rsid w:val="28DA4193"/>
    <w:rsid w:val="28DF2665"/>
    <w:rsid w:val="28F84B47"/>
    <w:rsid w:val="29072599"/>
    <w:rsid w:val="291029F3"/>
    <w:rsid w:val="298C1C70"/>
    <w:rsid w:val="29CB58F0"/>
    <w:rsid w:val="2A053397"/>
    <w:rsid w:val="2A145E96"/>
    <w:rsid w:val="2A2131BB"/>
    <w:rsid w:val="2AB60603"/>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5EC283D"/>
    <w:rsid w:val="36965B9D"/>
    <w:rsid w:val="36C549FD"/>
    <w:rsid w:val="37A755DD"/>
    <w:rsid w:val="37F33BFE"/>
    <w:rsid w:val="37F94FA0"/>
    <w:rsid w:val="380D3381"/>
    <w:rsid w:val="38115B1F"/>
    <w:rsid w:val="385E3AC3"/>
    <w:rsid w:val="387D6B9E"/>
    <w:rsid w:val="38B3714F"/>
    <w:rsid w:val="38B75FF0"/>
    <w:rsid w:val="38D45016"/>
    <w:rsid w:val="38D90432"/>
    <w:rsid w:val="3914510A"/>
    <w:rsid w:val="3926770B"/>
    <w:rsid w:val="39683767"/>
    <w:rsid w:val="3982065B"/>
    <w:rsid w:val="398D3668"/>
    <w:rsid w:val="39D737C4"/>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CF2F0D"/>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B226A"/>
    <w:rsid w:val="417C1CE7"/>
    <w:rsid w:val="41900018"/>
    <w:rsid w:val="41944406"/>
    <w:rsid w:val="41CE128F"/>
    <w:rsid w:val="41DA6F12"/>
    <w:rsid w:val="42171FB1"/>
    <w:rsid w:val="42C10D7B"/>
    <w:rsid w:val="434E6957"/>
    <w:rsid w:val="43BA0E31"/>
    <w:rsid w:val="43C15147"/>
    <w:rsid w:val="43E14DD2"/>
    <w:rsid w:val="43F800E9"/>
    <w:rsid w:val="443A7E4B"/>
    <w:rsid w:val="444A7D08"/>
    <w:rsid w:val="446A3176"/>
    <w:rsid w:val="44883D72"/>
    <w:rsid w:val="44E65F41"/>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3A1E8C"/>
    <w:rsid w:val="4A564F64"/>
    <w:rsid w:val="4A5C2BD7"/>
    <w:rsid w:val="4A7B2875"/>
    <w:rsid w:val="4A934476"/>
    <w:rsid w:val="4AAA220A"/>
    <w:rsid w:val="4AE12E67"/>
    <w:rsid w:val="4B4C0111"/>
    <w:rsid w:val="4B8553A9"/>
    <w:rsid w:val="4BDB3730"/>
    <w:rsid w:val="4C200F7A"/>
    <w:rsid w:val="4C20330F"/>
    <w:rsid w:val="4C8B08B5"/>
    <w:rsid w:val="4CEE3180"/>
    <w:rsid w:val="4D0F4AF6"/>
    <w:rsid w:val="4DF94F37"/>
    <w:rsid w:val="4E0A1DD5"/>
    <w:rsid w:val="4E3160E5"/>
    <w:rsid w:val="4E4D37AF"/>
    <w:rsid w:val="4E8C6496"/>
    <w:rsid w:val="4EFD18DE"/>
    <w:rsid w:val="4EFE0F12"/>
    <w:rsid w:val="4F144236"/>
    <w:rsid w:val="4F663C87"/>
    <w:rsid w:val="4F7E29A8"/>
    <w:rsid w:val="4F9E1FFC"/>
    <w:rsid w:val="4FFF5935"/>
    <w:rsid w:val="50447CC2"/>
    <w:rsid w:val="50874A7C"/>
    <w:rsid w:val="50895EE7"/>
    <w:rsid w:val="50921B9D"/>
    <w:rsid w:val="50D16158"/>
    <w:rsid w:val="50DB5F45"/>
    <w:rsid w:val="51025EB1"/>
    <w:rsid w:val="51141503"/>
    <w:rsid w:val="513C450E"/>
    <w:rsid w:val="518D0ED5"/>
    <w:rsid w:val="525C687F"/>
    <w:rsid w:val="52A3740A"/>
    <w:rsid w:val="52F647F7"/>
    <w:rsid w:val="52F7327B"/>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8D123B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44728A"/>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101933"/>
    <w:rsid w:val="637D586B"/>
    <w:rsid w:val="63A5560B"/>
    <w:rsid w:val="63E9091F"/>
    <w:rsid w:val="640A1440"/>
    <w:rsid w:val="64322AF9"/>
    <w:rsid w:val="64B11A2F"/>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1F1E88"/>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8D33F8"/>
    <w:rsid w:val="70AA6621"/>
    <w:rsid w:val="7111480F"/>
    <w:rsid w:val="71261F49"/>
    <w:rsid w:val="712E6956"/>
    <w:rsid w:val="71473612"/>
    <w:rsid w:val="71504F32"/>
    <w:rsid w:val="7152309F"/>
    <w:rsid w:val="718F7F65"/>
    <w:rsid w:val="71DA6992"/>
    <w:rsid w:val="727B234E"/>
    <w:rsid w:val="728A58B0"/>
    <w:rsid w:val="72C62D8B"/>
    <w:rsid w:val="72D068C7"/>
    <w:rsid w:val="72E42ED8"/>
    <w:rsid w:val="72FC34C3"/>
    <w:rsid w:val="735F4CB9"/>
    <w:rsid w:val="73674C62"/>
    <w:rsid w:val="73845865"/>
    <w:rsid w:val="739B6D9E"/>
    <w:rsid w:val="73BC1D76"/>
    <w:rsid w:val="73FB6630"/>
    <w:rsid w:val="7453626E"/>
    <w:rsid w:val="748D790E"/>
    <w:rsid w:val="749820CC"/>
    <w:rsid w:val="74CE04EC"/>
    <w:rsid w:val="74E76DCD"/>
    <w:rsid w:val="751D7C0A"/>
    <w:rsid w:val="75722D56"/>
    <w:rsid w:val="75DB5477"/>
    <w:rsid w:val="75FC6AC3"/>
    <w:rsid w:val="7616619B"/>
    <w:rsid w:val="761C4762"/>
    <w:rsid w:val="76660D7C"/>
    <w:rsid w:val="766C5968"/>
    <w:rsid w:val="76BE0C8F"/>
    <w:rsid w:val="76CD53B2"/>
    <w:rsid w:val="76E6594C"/>
    <w:rsid w:val="770719AC"/>
    <w:rsid w:val="771B13B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3B2CAD"/>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5192</Words>
  <Characters>5827</Characters>
  <Lines>0</Lines>
  <Paragraphs>0</Paragraphs>
  <TotalTime>3</TotalTime>
  <ScaleCrop>false</ScaleCrop>
  <LinksUpToDate>false</LinksUpToDate>
  <CharactersWithSpaces>5838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pc4</cp:lastModifiedBy>
  <dcterms:modified xsi:type="dcterms:W3CDTF">2024-11-13T09:50:07Z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E50B0A1C6B0E48828DEED5B876201384</vt:lpwstr>
  </property>
</Properties>
</file>