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883" w:firstLineChars="200"/>
        <w:jc w:val="center"/>
        <w:textAlignment w:val="auto"/>
        <w:rPr>
          <w:rFonts w:hint="eastAsia" w:ascii="方正小标宋简体" w:hAnsi="方正小标宋简体" w:eastAsia="方正小标宋简体" w:cs="方正小标宋简体"/>
          <w:b/>
          <w:kern w:val="0"/>
          <w:sz w:val="44"/>
          <w:szCs w:val="44"/>
        </w:rPr>
      </w:pPr>
    </w:p>
    <w:p>
      <w:pPr>
        <w:keepNext w:val="0"/>
        <w:keepLines w:val="0"/>
        <w:pageBreakBefore w:val="0"/>
        <w:widowControl w:val="0"/>
        <w:kinsoku/>
        <w:wordWrap/>
        <w:overflowPunct/>
        <w:topLinePunct w:val="0"/>
        <w:autoSpaceDE/>
        <w:autoSpaceDN/>
        <w:bidi w:val="0"/>
        <w:adjustRightInd/>
        <w:snapToGrid/>
        <w:spacing w:line="540" w:lineRule="exact"/>
        <w:ind w:firstLine="883" w:firstLineChars="200"/>
        <w:jc w:val="center"/>
        <w:textAlignment w:val="auto"/>
        <w:rPr>
          <w:rFonts w:ascii="方正小标宋_GBK" w:hAnsi="华文中宋" w:eastAsia="方正小标宋_GBK" w:cs="宋体"/>
          <w:b/>
          <w:kern w:val="0"/>
          <w:sz w:val="48"/>
          <w:szCs w:val="48"/>
        </w:rPr>
      </w:pPr>
      <w:r>
        <w:rPr>
          <w:rFonts w:hint="eastAsia" w:ascii="方正小标宋简体" w:hAnsi="方正小标宋简体" w:eastAsia="方正小标宋简体" w:cs="方正小标宋简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ascii="方正小标宋简体" w:hAnsi="方正小标宋简体" w:eastAsia="方正小标宋简体" w:cs="方正小标宋简体"/>
          <w:b/>
          <w:kern w:val="0"/>
          <w:sz w:val="44"/>
          <w:szCs w:val="44"/>
        </w:rPr>
        <w:t>（   2023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b/>
          <w:kern w:val="0"/>
          <w:sz w:val="32"/>
          <w:szCs w:val="32"/>
        </w:rPr>
      </w:pPr>
      <w:r>
        <w:rPr>
          <w:rFonts w:hint="eastAsia" w:hAnsi="宋体" w:eastAsia="仿宋_GB2312" w:cs="宋体"/>
          <w:b/>
          <w:kern w:val="0"/>
          <w:sz w:val="32"/>
          <w:szCs w:val="32"/>
        </w:rPr>
        <w:t>项目名称：柳毛湾镇中心学校2023年义务教育资金项目</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b/>
          <w:kern w:val="0"/>
          <w:sz w:val="32"/>
          <w:szCs w:val="32"/>
        </w:rPr>
      </w:pPr>
      <w:r>
        <w:rPr>
          <w:rFonts w:hint="eastAsia" w:hAnsi="宋体" w:eastAsia="仿宋_GB2312" w:cs="宋体"/>
          <w:b/>
          <w:kern w:val="0"/>
          <w:sz w:val="32"/>
          <w:szCs w:val="32"/>
        </w:rPr>
        <w:t>实施单位（公章）：沙湾市柳毛湾镇中心学校</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b/>
          <w:kern w:val="0"/>
          <w:sz w:val="32"/>
          <w:szCs w:val="32"/>
        </w:rPr>
      </w:pPr>
      <w:r>
        <w:rPr>
          <w:rFonts w:hint="eastAsia" w:hAnsi="宋体" w:eastAsia="仿宋_GB2312" w:cs="宋体"/>
          <w:b/>
          <w:kern w:val="0"/>
          <w:sz w:val="32"/>
          <w:szCs w:val="32"/>
        </w:rPr>
        <w:t>主管部门（公章）：沙湾市柳毛湾镇中心学校</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b/>
          <w:kern w:val="0"/>
          <w:sz w:val="32"/>
          <w:szCs w:val="32"/>
        </w:rPr>
      </w:pPr>
      <w:r>
        <w:rPr>
          <w:rFonts w:hint="eastAsia" w:hAnsi="宋体" w:eastAsia="仿宋_GB2312" w:cs="宋体"/>
          <w:b/>
          <w:kern w:val="0"/>
          <w:sz w:val="32"/>
          <w:szCs w:val="32"/>
        </w:rPr>
        <w:t>项目负责人（签章）：魏红英</w:t>
      </w:r>
    </w:p>
    <w:p>
      <w:pPr>
        <w:keepNext w:val="0"/>
        <w:keepLines w:val="0"/>
        <w:pageBreakBefore w:val="0"/>
        <w:widowControl w:val="0"/>
        <w:kinsoku/>
        <w:wordWrap/>
        <w:overflowPunct/>
        <w:topLinePunct w:val="0"/>
        <w:autoSpaceDE/>
        <w:autoSpaceDN/>
        <w:bidi w:val="0"/>
        <w:adjustRightInd/>
        <w:snapToGrid/>
        <w:spacing w:line="700" w:lineRule="exact"/>
        <w:ind w:firstLine="803" w:firstLineChars="250"/>
        <w:jc w:val="left"/>
        <w:textAlignment w:val="auto"/>
        <w:rPr>
          <w:rFonts w:hint="eastAsia" w:hAnsi="宋体" w:eastAsia="仿宋_GB2312" w:cs="宋体"/>
          <w:b/>
          <w:kern w:val="0"/>
          <w:sz w:val="32"/>
          <w:szCs w:val="32"/>
        </w:rPr>
      </w:pPr>
      <w:r>
        <w:rPr>
          <w:rFonts w:hint="eastAsia" w:hAnsi="宋体" w:eastAsia="仿宋_GB2312" w:cs="宋体"/>
          <w:b/>
          <w:kern w:val="0"/>
          <w:sz w:val="32"/>
          <w:szCs w:val="32"/>
        </w:rPr>
        <w:t>填报时间：2024年05月17日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国家为支持城乡义务教育发展而设立的专项资金，用于支付学校日常运行所需的水费、电费、取暖费、培训费、邮电费、办公费等公用经费开支。城乡义务教育补助经费教育资金（公用经费）是支持城乡义务教育发展的重要举措，需要各级政府和教育部门加强监管和优化资源配置，同时加强信息化建设和社会宣传，确保资金使用效益的最大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保障义务教育学校正常运转：公用经费是学校日常运转的重要资金来源，可以保障学校的基本运行，包括教学设备维护、水电费支出、信息化设备更新等。通过公用经费的投入，可以改善学校的教学环境，提高教学质量，促进教育公平。城乡义务教育补助经费教育资金有助于缩小城乡差距，促进资源的均衡配置，推动教育事业的均衡发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柳毛湾镇中心学校，根据地区财政局塔地财教[2023]45号-关于下达2023年城乡义务教育补助经费预算中央直达资金（小学经费）;塔地财教[2022]56号-关于下达2023年自治区教育项目资金（班主任津贴）；沙财字[2023]6号-2020-2022年学前教育县市配套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要求，积极开展了2023年城乡义务教育资金项目，以加强对公用经费使用的监管，确保资金用于学校日常运转和教育教学活动，防止资金挪用和浪费。科学合理分配资金，确保城乡学校都能够得到相应的支持，促进教育资源的均衡配置。加大对信息化设备的投入，提高学校信息化水平，提高教育教学效率和质量。加强对城乡义务教育补助经费教育资金的宣传，提高学校和家长对资金的认知和使用意识，引导社会各界共同关注和支持教育事业发展。</w:t>
      </w:r>
      <w:r>
        <w:rPr>
          <w:rStyle w:val="18"/>
          <w:rFonts w:hint="eastAsia" w:ascii="楷体" w:hAnsi="楷体" w:eastAsia="楷体"/>
          <w:b w:val="0"/>
          <w:bCs w:val="0"/>
          <w:spacing w:val="-4"/>
          <w:sz w:val="32"/>
          <w:szCs w:val="32"/>
        </w:rPr>
        <w:br w:type="textWrapping"/>
      </w:r>
      <w:r>
        <w:rPr>
          <w:rStyle w:val="18"/>
          <w:rFonts w:hint="eastAsia" w:ascii="楷体_GB2312" w:hAnsi="楷体_GB2312" w:eastAsia="楷体_GB2312" w:cs="楷体_GB2312"/>
          <w:spacing w:val="-4"/>
          <w:sz w:val="32"/>
          <w:szCs w:val="32"/>
        </w:rPr>
        <w:t>2.项目主要内容及实施情况</w:t>
      </w:r>
      <w:r>
        <w:rPr>
          <w:rStyle w:val="18"/>
          <w:rFonts w:hint="eastAsia" w:ascii="楷体_GB2312" w:hAnsi="楷体_GB2312" w:eastAsia="楷体_GB2312" w:cs="楷体_GB2312"/>
          <w:spacing w:val="-4"/>
          <w:sz w:val="32"/>
          <w:szCs w:val="32"/>
        </w:rPr>
        <w:br w:type="textWrapping"/>
      </w:r>
      <w:r>
        <w:rPr>
          <w:rStyle w:val="18"/>
          <w:rFonts w:hint="eastAsia" w:ascii="楷体_GB2312" w:hAnsi="楷体_GB2312" w:eastAsia="楷体_GB2312" w:cs="楷体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主要内容为：根据塔地财教[2023]45号-关于下达2023年城乡义务教育补助经费预算中央直达资金（小学经费）;塔地财教[2022]56号-关于下达2023年自治区教育项目资金（班主任津贴）；沙财字[2023]6号-2020-2022年学前教育县市配套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要求，本项目实施内容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（1）用于支付为保障正常教育教学产生的办公费用、维修费用、培训费用等；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（2）实施完成维持保障学校正常运转产生费用的支付，改善了学校的办学条件；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（3）完成保障学校日常运转和教育教学活动的顺利开展；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（4）通过项目实施，旨在增强经费保障力度，有效改善学校办学条件，提高学生及教师的幸福感，加大对教育惠民工作的推进力度。</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于2023年1月开始实施，截至2023年12月，该项目已实施完成，各项任务指标全部完成。通过本项目的实施有效解决了保障学校运转产生费用，对水费、电费、电话费、办公费、培训费等进行及时支付，确保资金用于学校日常运转和教育教学活动，提升了办学条件，增强了师生幸福感。</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spacing w:val="-4"/>
          <w:sz w:val="32"/>
          <w:szCs w:val="32"/>
        </w:rPr>
        <w:t>3.项目实施主体</w:t>
      </w:r>
      <w:r>
        <w:rPr>
          <w:rStyle w:val="18"/>
          <w:rFonts w:hint="eastAsia" w:ascii="楷体_GB2312" w:hAnsi="楷体_GB2312" w:eastAsia="楷体_GB2312" w:cs="楷体_GB2312"/>
          <w:spacing w:val="-4"/>
          <w:sz w:val="32"/>
          <w:szCs w:val="32"/>
        </w:rPr>
        <w:br w:type="textWrapping"/>
      </w:r>
      <w:r>
        <w:rPr>
          <w:rStyle w:val="18"/>
          <w:rFonts w:hint="eastAsia" w:ascii="楷体_GB2312" w:hAnsi="楷体_GB2312" w:eastAsia="楷体_GB2312" w:cs="楷体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2023年城乡义务教育资金项目的实施主体为沙湾市柳毛湾镇中心学校。</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spacing w:val="-4"/>
          <w:sz w:val="32"/>
          <w:szCs w:val="32"/>
        </w:rPr>
        <w:t>4.资金投入和使用情况</w:t>
      </w:r>
      <w:r>
        <w:rPr>
          <w:rStyle w:val="18"/>
          <w:rFonts w:hint="eastAsia" w:ascii="楷体_GB2312" w:hAnsi="楷体_GB2312" w:eastAsia="楷体_GB2312" w:cs="楷体_GB2312"/>
          <w:spacing w:val="-4"/>
          <w:sz w:val="32"/>
          <w:szCs w:val="32"/>
        </w:rPr>
        <w:br w:type="textWrapping"/>
      </w:r>
      <w:r>
        <w:rPr>
          <w:rStyle w:val="18"/>
          <w:rFonts w:hint="eastAsia" w:ascii="楷体" w:hAnsi="楷体" w:eastAsia="楷体"/>
          <w:b/>
          <w:bCs/>
          <w:spacing w:val="-4"/>
          <w:sz w:val="32"/>
          <w:szCs w:val="32"/>
        </w:rPr>
        <w:t>（1）项目资金安排落实、总投入情况</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根据地区财政局塔地财教[2023]45号-关于下达2023年城乡义务教育补助经费预算中央直达资金（小学经费）;塔地财教[2022]56号-关于下达2023年自治区教育项目资金（班主任津贴）；沙财字[2023]6号-2020-2022年学前教育县市配套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2023年城乡义务教育资金项目预算安排资金总额44.44万元，其中财政资金44.44万元、其他资金0万元；2023年实际收到预算资金44.44万元，预算资金到位率为100.0%。</w:t>
      </w:r>
      <w:r>
        <w:rPr>
          <w:rStyle w:val="18"/>
          <w:rFonts w:hint="eastAsia" w:ascii="楷体" w:hAnsi="楷体" w:eastAsia="楷体"/>
          <w:b w:val="0"/>
          <w:bCs w:val="0"/>
          <w:spacing w:val="-4"/>
          <w:sz w:val="32"/>
          <w:szCs w:val="32"/>
        </w:rPr>
        <w:br w:type="textWrapping"/>
      </w:r>
      <w:r>
        <w:rPr>
          <w:rStyle w:val="18"/>
          <w:rFonts w:hint="eastAsia" w:ascii="楷体" w:hAnsi="楷体" w:eastAsia="楷体"/>
          <w:b/>
          <w:bCs/>
          <w:spacing w:val="-4"/>
          <w:sz w:val="32"/>
          <w:szCs w:val="32"/>
        </w:rPr>
        <w:t>（2）项目资金实际使用情况</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截至2023年12月25日，本项目实际支付资金44.44万元，预算执行率100%。项目资金主要用于支付办公费用及培训费1.1万元、班主任津贴补助0.57万元、</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补助1.67万元、办公费及伙食补助41.02万元、邮电费0.08万元。</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Style w:val="18"/>
          <w:rFonts w:hint="eastAsia" w:ascii="仿宋_GB2312" w:hAnsi="仿宋_GB2312" w:eastAsia="仿宋_GB2312" w:cs="仿宋_GB2312"/>
          <w:b w:val="0"/>
          <w:bCs w:val="0"/>
          <w:spacing w:val="-4"/>
          <w:sz w:val="32"/>
          <w:szCs w:val="32"/>
        </w:rPr>
      </w:pPr>
      <w:r>
        <w:rPr>
          <w:rStyle w:val="18"/>
          <w:rFonts w:hint="eastAsia" w:ascii="楷体_GB2312" w:hAnsi="楷体_GB2312" w:eastAsia="楷体_GB2312" w:cs="楷体_GB2312"/>
          <w:spacing w:val="-4"/>
          <w:sz w:val="32"/>
          <w:szCs w:val="32"/>
        </w:rPr>
        <w:t>1.总体目标</w:t>
      </w:r>
      <w:r>
        <w:rPr>
          <w:rStyle w:val="18"/>
          <w:rFonts w:hint="eastAsia" w:ascii="楷体_GB2312" w:hAnsi="楷体_GB2312" w:eastAsia="楷体_GB2312" w:cs="楷体_GB2312"/>
          <w:spacing w:val="-4"/>
          <w:sz w:val="32"/>
          <w:szCs w:val="32"/>
        </w:rPr>
        <w:br w:type="textWrapping"/>
      </w:r>
      <w:r>
        <w:rPr>
          <w:rStyle w:val="18"/>
          <w:rFonts w:hint="eastAsia" w:ascii="楷体_GB2312" w:hAnsi="楷体_GB2312" w:eastAsia="楷体_GB2312" w:cs="楷体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城乡义务教育资金项目的设立，是以解决保障学校日常运转和教育教学活动的顺利开展，提升办学条件，增强了师生幸福感。全年项目计划实现目标如下：“目标1：保障在籍学生经费的正常使用，提高学校的教学设施和设备水平，改善学生的学习环境，提高教学质量。目标2：保障学校基本的教学需要，包括图书、教学仪器、实验设备等，为学生提供更好的学习条件。目标3：优化教师队伍，增加教师外出学习和培训机会，提高教师队伍的业务水平和整体素质。计划通过本项目的实施，为学校提供更好的教学设施和设备，为学生提供良好的学生生活环境；加大教师外出培训和学习力度，提高教师队伍素质水平，提高教学质量和办学实力，为义务教育学校的发展和社会进步做出积极贡献。</w:t>
      </w:r>
      <w:r>
        <w:rPr>
          <w:rStyle w:val="18"/>
          <w:rFonts w:hint="eastAsia" w:ascii="仿宋_GB2312" w:hAnsi="仿宋_GB2312" w:eastAsia="仿宋_GB2312" w:cs="仿宋_GB2312"/>
          <w:b w:val="0"/>
          <w:bCs w:val="0"/>
          <w:spacing w:val="-4"/>
          <w:sz w:val="32"/>
          <w:szCs w:val="32"/>
        </w:rPr>
        <w:br w:type="textWrapping"/>
      </w:r>
      <w:r>
        <w:rPr>
          <w:rStyle w:val="18"/>
          <w:rFonts w:hint="eastAsia" w:ascii="楷体_GB2312" w:hAnsi="楷体_GB2312" w:eastAsia="楷体_GB2312" w:cs="楷体_GB2312"/>
          <w:spacing w:val="-4"/>
          <w:sz w:val="32"/>
          <w:szCs w:val="32"/>
        </w:rPr>
        <w:t>2.阶段性目标</w:t>
      </w:r>
      <w:r>
        <w:rPr>
          <w:rStyle w:val="18"/>
          <w:rFonts w:hint="eastAsia" w:ascii="楷体_GB2312" w:hAnsi="楷体_GB2312" w:eastAsia="楷体_GB2312" w:cs="楷体_GB2312"/>
          <w:spacing w:val="-4"/>
          <w:sz w:val="32"/>
          <w:szCs w:val="32"/>
        </w:rPr>
        <w:br w:type="textWrapping"/>
      </w:r>
      <w:r>
        <w:rPr>
          <w:rStyle w:val="18"/>
          <w:rFonts w:hint="eastAsia" w:ascii="楷体_GB2312" w:hAnsi="楷体_GB2312" w:eastAsia="楷体_GB2312" w:cs="楷体_GB2312"/>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bCs/>
          <w:spacing w:val="-4"/>
          <w:sz w:val="32"/>
          <w:szCs w:val="32"/>
        </w:rPr>
        <w:t>（1）项目产出指标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①数量指标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“班主任津贴补助人数（人）”指标，预期指标值为“大于等于6人”；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“支付培训费及办公费笔数（笔）”指标，预期指标值为“大于等于10笔”；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补助人数（人）”指标，预期指标值为“大于等于24人”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“支付历年保教费及伙食补助费项目笔数（笔）”指标，预期指标值为“大于等于9笔”；</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“支付邮电费次数（次）”指标，预期指标值为“大于等于1次”。</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②质量指标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“资金使用规范率（%）”指标，预期指标值为“等于100%”；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③时效指标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“项目完成时间（年月日）”指标，预期指标值为“2023年12月20日前”；</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（2）项目成本指标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经济成本指标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“邮电费支出金额（万元）”指标，预期指标值为“大于等于0.08万元”；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“支付历年保教费及伙食补助费项目金额（万元）”指标，预期指标值为“大于等于41.02万元”；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“班主任津贴补助金额（万元）”指标，预期指标值为“大于等于0.57万元”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“小学</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补助资金（万元）”指标，预期指标值为“大于等于1.67万元”；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“支付培训费及办公费金额（万元）”指标，预期指标值为“大于等于1.1万元”。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（3）项目效益指标</w:t>
      </w:r>
      <w:r>
        <w:rPr>
          <w:rStyle w:val="18"/>
          <w:rFonts w:hint="eastAsia" w:ascii="楷体" w:hAnsi="楷体" w:eastAsia="楷体"/>
          <w:b/>
          <w:bCs/>
          <w:spacing w:val="-4"/>
          <w:sz w:val="32"/>
          <w:szCs w:val="32"/>
        </w:rPr>
        <w:br w:type="textWrapping"/>
      </w:r>
      <w:r>
        <w:rPr>
          <w:rStyle w:val="18"/>
          <w:rFonts w:hint="eastAsia" w:ascii="楷体" w:hAnsi="楷体" w:eastAsia="楷体"/>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①经济效益指标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②社会效益指标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“提高学生的生活条件”指标，预期指标值为“有效提高”；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“提高政府公信度”指标，预期指标值为“有效提高”；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“提高班主任工作积极性”指标，预期指标值为“有效提高”。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③生态效益指标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无此项指标。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（1）相关满意度目标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“班主任满意度（%）”指标，预期指标值为“大于等于95%”；</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“支付单位满意度（%）”指标，预期指标值为“大于等于100%”；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“学生满意度（%）”指标，预期指标值为“大于等于95%”。</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1.绩效评价的目的</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2.绩效评价的对象和范围</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2023年义务教育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义务教育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根据以上原则，绩效评价遵循如下具体要求：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（2）保证评价结果的真实性、公正性，提高评价报告的公信力。</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2.绩效评价指标体系及绩效评价标准</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一级指标为：决策、过程、产出、成本、效益。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二级指标为：项目立项、绩效目标、资金投入、资金管理、组织实施、产出数量、产出质量、产出时效、经济成本、项目效益。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3.评价方法</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4.评价标准</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第一阶段：前期准备。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魏红英任评价组组长，绩效评价工作职责为检查项目绩效指标完成情况、审定项目支出绩效评价结果及项目支出绩效评价报告。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潘建江评价组副组长，绩效评价工作职责为组织和协调项目工作人员采取实地调查、资料检查等方式，核实项目绩效指标完成情况；组织受益对象对项目工作进行评价等。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富沛年、李彦青、米热爱任评价组成员，绩效评价工作职责为做好项目支出绩效评价工作的沟通协调工作，对项目实施情况进行实地调查，编写项目支出绩效评价报告。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第二阶段：组织实施。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第三阶段：分析评价。</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第四阶段：撰写与提交评价报告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第五阶段：归集档案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（一）综合评价情况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通过2023年义务教育资金项目的实施，解决了学校日常正常运转、改善办学条件、减轻困难家庭负担问题，实现了提高广大师生及人民群众的获得感和幸福感，加大党的惠民政策入人心的效益，该项目预算执行率达100%，项目预期绩效目标及各项具体指标均已全部达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（二）综合评价结论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次评价采取定量与定性评价相结合的方式，对2023年城乡义务教育资金项目的绩效目标和各项具体绩效指标实现情况进行了客观评价，最终评分为100.00分。绩效评级为“优”，具体得分情况为：项目决策15分、项目过程15分、项目产出40分、项目效益20分、项目满意度10分。</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（二）项目管理情况分析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1.立项依据充分性：本项目是由沙湾市柳毛湾镇中心学校提出申报，于2023年2月批复设立，2023年我单位根据塔地财教[2022]56号-关于下达2023年自治区教育项目资金（班主任津贴）；塔地财教[2023]45号-关于下达2023年城乡义务教育补助经费预算中央直达资金；沙财字[2023]6号-2020-2022年学前教育县市配套资金；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2023年义务教育补助教育项目资金项目文件要求组织实施该项目。项目立项符合国家法律法规、自治区和地区行业发展规划和政策要求，属于本部门履职所需。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 xml:space="preserve">四、项目绩效情况 </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lang w:val="en-US" w:eastAsia="zh-CN"/>
        </w:rPr>
        <w:t xml:space="preserve"> </w:t>
      </w:r>
      <w:r>
        <w:rPr>
          <w:rStyle w:val="18"/>
          <w:rFonts w:hint="eastAsia" w:ascii="楷体_GB2312" w:hAnsi="楷体_GB2312" w:eastAsia="楷体_GB2312" w:cs="楷体_GB2312"/>
          <w:spacing w:val="-4"/>
          <w:sz w:val="32"/>
          <w:szCs w:val="32"/>
        </w:rPr>
        <w:t>（一）项目绩效目标完成情况分析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2.预算执行率：本项目预算编制较为详细，预算资金44.44万元，实际执行44.44万元，预算执行率为100.0%，项目资金支出总体能够按照预算执行；根据评分标准，该指标2分，得2分。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3.资金使用合规性：项目任务下达后，我单位制定了《财务管理制度》制度和管理规定对经费使用进行规范管理，财务制度健全、执行严格；根据评分标准，该指标3分，得3分。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4.管理制度健全性：我单位制定了相关项目管理办法，同时对财政专项资金进行严格管理，基本做到了专款专用，根据评分标准，该指标4分，得4分。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5.制度执行有效性：由部门提出经费预算支出可行性方案，经过与市政府分管领导沟通后，报党委会议研究执行，财务对资金的使用合法合规性进行监督，年底对资金使用效果进行自评，根据评分标准，该指标4分，得4分。</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（二）项目绩效目标未完成原因分析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项目产出类指标包括产出数量、产出质量、产出时效、产出成本共四方面的内容，由18个三级指标构成，权重分为40分，本项目实际得分40分，得分率为100%。具体各项指标得分如下：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津贴补助人数（人）”指标，预期指标值为“大于等于6人”；塔地财教[2022]56号-关于下达2023年自治区教育项目资金（班主任津贴），2023年决算报表可知，实际完成公用经费补助学生人数为6人，与预期目标一致。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培训费及办公费笔数（笔）”指标，预期指标值为“大于等于10笔”，塔地财教[2023]45号-关于下达2023年城乡义务教育补助经费预算中央直达资金，2023年决算报表可知，实际完成公用经费笔数10笔，与预期目标一致。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人数（人）”指标，预期指标值为“大于等于24人”，上年专项一塔地财教[2022]27号-教育直达资金（家庭经济困难学生生活补助）；上年专项一塔地财教[2021]79号-教育直达资金（家庭经济困难学生生活补助市配资金）；上年专项一塔地财教[2021]48号-2021年自治区城乡义务教育家庭经济困难学生县配资金文件，实际完成公用经费补助学生人数为24人，与预期目标一致。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历年保教费及伙食补助费项目笔数（笔）”指标，预期指标值为“大于等于9笔”，根据沙财字[2023]6号-2020-2022年学前教育县市配套资金，2023年决算报表可知，实际完成公用经费笔数9笔，与预期目标一致。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邮电费次数（次）”指标，预期指标值为“大于等于1次”根据塔地财教[2023]45号-关于下达2023年城乡义务教育补助经费预算中央直达资金，2023年决算报表可知，实际完成公用经费支出邮电费1次，与预期目标一致。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资金使用规范率”指标，预期指标值为“等于100%”，根据资金拨付情况及银行支付回单，拨付资金全部用于保障学校正常教育教学工作，资金支付规范率达100%，与预期目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完成时间（年月日）”指标，预期指标值为“2023年12月20日前”；根据资金支付凭证显示，该项目于2023年12月20日前完成采购验收，按合同约定，资金已于2023年12月全部支付完毕，与预期目标指标一致，根据评分标准，该指标10分，得10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邮电费支出金额（万元）”指标，预期指标值为“大于等于0.08万元”，根据上级拨付资金文件显示，本项目2023年共计支付2023年城乡义务教育资金0.08万元，经费支出能够控制在年度计划成本范围内，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支付历年保教费及伙食补助费项目金额（万元）”指标，预期指标值为“大于等于41.02万元”，根据上级拨付资金文件显示，本项目2023年共计支付2023年城乡义务教育资金41.02万元，经费支出能够控制在年度计划成本范围内，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“班主任津贴补助金额（万元）”指标，预期指标值为“大于等于0.57万元” ，根据上级拨付资金文件显示，本项目2023年共计支付2023年城乡义务教育资金0.57万元，经费支出能够控制在年度计划成本范围内，根据评分标准，该指标2分，得2分。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“小学</w:t>
      </w:r>
      <w:r>
        <w:rPr>
          <w:rStyle w:val="18"/>
          <w:rFonts w:hint="eastAsia" w:ascii="仿宋_GB2312" w:hAnsi="仿宋_GB2312" w:eastAsia="仿宋_GB2312" w:cs="仿宋_GB2312"/>
          <w:b w:val="0"/>
          <w:bCs w:val="0"/>
          <w:spacing w:val="-4"/>
          <w:sz w:val="32"/>
          <w:szCs w:val="32"/>
          <w:lang w:eastAsia="zh-CN"/>
        </w:rPr>
        <w:t>生活</w:t>
      </w:r>
      <w:r>
        <w:rPr>
          <w:rStyle w:val="18"/>
          <w:rFonts w:hint="eastAsia" w:ascii="仿宋_GB2312" w:hAnsi="仿宋_GB2312" w:eastAsia="仿宋_GB2312" w:cs="仿宋_GB2312"/>
          <w:b w:val="0"/>
          <w:bCs w:val="0"/>
          <w:spacing w:val="-4"/>
          <w:sz w:val="32"/>
          <w:szCs w:val="32"/>
        </w:rPr>
        <w:t>补助资金（万元）”指标，预期指标值为“大于等于1.67万元”，根据上级拨付资金文件显示，本项目2023年共计支付2023年城乡义务教育资金1.67万元，经费支出能够控制在年度计划成本范围内，根据评分标准，该指标2分，得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培训费及办公费金额（万元）”指标，预期指标值为“大于等于1.1万元”。根据上级拨付资金文件显示，本项目2023年共计支付2023年城乡义务教育资金1.1万元，经费支出能够控制在年度计划成本范围内，根据评分标准，该指标2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（一）后续工作计划</w:t>
      </w:r>
    </w:p>
    <w:p>
      <w:pPr>
        <w:spacing w:line="540" w:lineRule="exact"/>
        <w:rPr>
          <w:rFonts w:ascii="楷体" w:hAnsi="楷体" w:eastAsia="楷体"/>
          <w:b/>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项目效益类指标由社会效益1个二级指标和3个三级指标构成，权重分为20分，本项目实际得分20分，得分率为20%。具体各项指标得分如下：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1.社会效益指标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“提高学生的生活条件”指标，预期指标值为“有效提高”，根据本单位年度考核情况，实际完成值为“基本达成目标”，根据评分标准，该指标8分，得8分；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“提高政府公信度”指标，预期指标值为“有效提高”；根据本单位年度考核情况，实际完成值为“基本达成目标”，根据评分标准，该指标6分，得6分；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“提高班主任工作积极性”指标，预期指标值为“有效提高”。根据本单位年度考核情况，实际完成值为“基本达成目标”，根据评分标准，该指标6分，得6分。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2.经济效益指标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3.生态效益指标</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本项目无该项指标</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（二）主要经验及做法、存在问题和建议</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“班主任满意度（%）”指标，预期指标值为“大于等于95%”，根据对在校的学生进行满意度问卷调查的结果可知，学生满意度达95%，根据评分标准，该指标3分,得3分；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“支付单位满意度（%）”指标，预期指标值为“大于等于100%”；根据对在校的学生进行满意度问卷调查的结果可知，学生满意度达95%，根据评分标准，该指标3分,得3分；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“学生满意度（%）”指标，预期指标值为“大于等于95%”。根据对在校的学生进行满意度问卷调查的结果可知，学生满意度达95%，根据评分标准，该指标4分,得4分。</w:t>
      </w:r>
    </w:p>
    <w:p>
      <w:pPr>
        <w:spacing w:line="540" w:lineRule="exact"/>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（三）其他</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bCs/>
          <w:spacing w:val="-4"/>
          <w:sz w:val="32"/>
          <w:szCs w:val="32"/>
        </w:rPr>
        <w:t>（一）预算执行进度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2023年城乡义务教育资金项目预算金额44.44万元，实际到位44.44万元，全年项目实际支出44.44万元，预算执行率为100.0%。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bCs/>
          <w:spacing w:val="-4"/>
          <w:sz w:val="32"/>
          <w:szCs w:val="32"/>
        </w:rPr>
        <w:t>（二）绩效指标偏差情况</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2023年本单位负责实施的22023年城乡义务教育资金项目的绩效目标及指标已经全部达成，不存在偏差情况。</w:t>
      </w:r>
    </w:p>
    <w:p>
      <w:pPr>
        <w:spacing w:line="540" w:lineRule="exact"/>
        <w:ind w:firstLine="567" w:firstLineChars="181"/>
        <w:rPr>
          <w:rFonts w:ascii="楷体" w:hAnsi="楷体" w:eastAsia="楷体"/>
          <w:b/>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center"/>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rPr>
          <w:rFonts w:ascii="仿宋_GB2312" w:eastAsia="仿宋_GB2312"/>
          <w:spacing w:val="-4"/>
          <w:sz w:val="32"/>
          <w:szCs w:val="32"/>
        </w:rPr>
      </w:pPr>
      <w:r>
        <w:rPr>
          <w:rFonts w:hint="eastAsia" w:ascii="仿宋_GB2312" w:eastAsia="仿宋_GB2312"/>
          <w:spacing w:val="-4"/>
          <w:sz w:val="32"/>
          <w:szCs w:val="32"/>
          <w:lang w:val="en-US" w:eastAsia="zh-CN"/>
        </w:rPr>
        <w:t xml:space="preserve">  </w:t>
      </w: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rPr>
          <w:rFonts w:hint="eastAsia" w:ascii="仿宋_GB2312" w:eastAsia="仿宋_GB2312"/>
          <w:spacing w:val="-4"/>
          <w:sz w:val="32"/>
          <w:szCs w:val="32"/>
        </w:rPr>
      </w:pPr>
      <w:r>
        <w:rPr>
          <w:rStyle w:val="18"/>
          <w:rFonts w:hint="eastAsia" w:ascii="仿宋_GB2312" w:hAnsi="仿宋_GB2312" w:eastAsia="仿宋_GB2312" w:cs="仿宋_GB2312"/>
          <w:b/>
          <w:bCs/>
          <w:spacing w:val="-4"/>
          <w:sz w:val="32"/>
          <w:szCs w:val="32"/>
        </w:rPr>
        <w:t>（</w:t>
      </w:r>
      <w:r>
        <w:rPr>
          <w:rStyle w:val="18"/>
          <w:rFonts w:hint="eastAsia" w:ascii="仿宋_GB2312" w:hAnsi="仿宋_GB2312" w:eastAsia="仿宋_GB2312" w:cs="仿宋_GB2312"/>
          <w:b/>
          <w:bCs/>
          <w:spacing w:val="-4"/>
          <w:sz w:val="32"/>
          <w:szCs w:val="32"/>
          <w:lang w:eastAsia="zh-CN"/>
        </w:rPr>
        <w:t>一</w:t>
      </w:r>
      <w:r>
        <w:rPr>
          <w:rStyle w:val="18"/>
          <w:rFonts w:hint="eastAsia" w:ascii="仿宋_GB2312" w:hAnsi="仿宋_GB2312" w:eastAsia="仿宋_GB2312" w:cs="仿宋_GB2312"/>
          <w:b/>
          <w:bCs/>
          <w:spacing w:val="-4"/>
          <w:sz w:val="32"/>
          <w:szCs w:val="32"/>
        </w:rPr>
        <w:t>）强化绩效目标刚性约束，及时对项目进行跟踪问效</w:t>
      </w:r>
      <w:r>
        <w:rPr>
          <w:rStyle w:val="18"/>
          <w:rFonts w:hint="eastAsia" w:ascii="仿宋_GB2312" w:hAnsi="仿宋_GB2312" w:eastAsia="仿宋_GB2312" w:cs="仿宋_GB2312"/>
          <w:b/>
          <w:bCs/>
          <w:spacing w:val="-4"/>
          <w:sz w:val="32"/>
          <w:szCs w:val="32"/>
        </w:rPr>
        <w:br w:type="textWrapping"/>
      </w:r>
      <w:r>
        <w:rPr>
          <w:rStyle w:val="18"/>
          <w:rFonts w:hint="eastAsia" w:ascii="仿宋_GB2312" w:hAnsi="仿宋_GB2312" w:eastAsia="仿宋_GB2312" w:cs="仿宋_GB2312"/>
          <w:b/>
          <w:bCs/>
          <w:spacing w:val="-4"/>
          <w:sz w:val="32"/>
          <w:szCs w:val="32"/>
          <w:lang w:val="en-US" w:eastAsia="zh-CN"/>
        </w:rPr>
        <w:t xml:space="preserve">  </w:t>
      </w:r>
      <w:r>
        <w:rPr>
          <w:rFonts w:hint="eastAsia" w:ascii="仿宋_GB2312" w:eastAsia="仿宋_GB2312"/>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hint="eastAsia" w:ascii="仿宋_GB2312" w:eastAsia="仿宋_GB2312"/>
          <w:spacing w:val="-4"/>
          <w:sz w:val="32"/>
          <w:szCs w:val="32"/>
        </w:rPr>
        <w:br w:type="textWrapping"/>
      </w:r>
      <w:r>
        <w:rPr>
          <w:rStyle w:val="18"/>
          <w:rFonts w:hint="eastAsia" w:ascii="仿宋_GB2312" w:hAnsi="仿宋_GB2312" w:eastAsia="仿宋_GB2312" w:cs="仿宋_GB2312"/>
          <w:b/>
          <w:bCs/>
          <w:spacing w:val="-4"/>
          <w:sz w:val="32"/>
          <w:szCs w:val="32"/>
        </w:rPr>
        <w:t>（二）存在问题及原因分析</w:t>
      </w:r>
      <w:r>
        <w:rPr>
          <w:rStyle w:val="18"/>
          <w:rFonts w:hint="eastAsia" w:ascii="楷体" w:hAnsi="楷体" w:eastAsia="楷体"/>
          <w:spacing w:val="-4"/>
          <w:sz w:val="32"/>
          <w:szCs w:val="32"/>
        </w:rPr>
        <w:br w:type="textWrapping"/>
      </w:r>
      <w:r>
        <w:rPr>
          <w:rFonts w:hint="eastAsia" w:ascii="仿宋_GB2312" w:eastAsia="仿宋_GB2312"/>
          <w:b/>
          <w:bCs/>
          <w:spacing w:val="-4"/>
          <w:sz w:val="32"/>
          <w:szCs w:val="32"/>
        </w:rPr>
        <w:t>1.绩效预算认识不够充分，绩效理念有待进一步强化</w:t>
      </w:r>
      <w:r>
        <w:rPr>
          <w:rFonts w:hint="eastAsia" w:ascii="仿宋_GB2312" w:eastAsia="仿宋_GB2312"/>
          <w:b/>
          <w:bCs/>
          <w:spacing w:val="-4"/>
          <w:sz w:val="32"/>
          <w:szCs w:val="32"/>
        </w:rPr>
        <w:br w:type="textWrapping"/>
      </w:r>
      <w:r>
        <w:rPr>
          <w:rFonts w:hint="eastAsia" w:ascii="仿宋_GB2312" w:eastAsia="仿宋_GB2312"/>
          <w:b/>
          <w:bCs/>
          <w:spacing w:val="-4"/>
          <w:sz w:val="32"/>
          <w:szCs w:val="32"/>
          <w:lang w:val="en-US" w:eastAsia="zh-CN"/>
        </w:rPr>
        <w:t xml:space="preserve">  </w:t>
      </w:r>
      <w:r>
        <w:rPr>
          <w:rFonts w:hint="eastAsia" w:ascii="仿宋_GB2312" w:eastAsia="仿宋_GB2312"/>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hint="eastAsia" w:ascii="仿宋_GB2312" w:eastAsia="仿宋_GB2312"/>
          <w:spacing w:val="-4"/>
          <w:sz w:val="32"/>
          <w:szCs w:val="32"/>
        </w:rPr>
        <w:br w:type="textWrapping"/>
      </w:r>
      <w:r>
        <w:rPr>
          <w:rFonts w:hint="eastAsia" w:ascii="仿宋_GB2312" w:eastAsia="仿宋_GB2312"/>
          <w:b/>
          <w:bCs/>
          <w:spacing w:val="-4"/>
          <w:sz w:val="32"/>
          <w:szCs w:val="32"/>
        </w:rPr>
        <w:t>2.绩效档案归档工作有待提高</w:t>
      </w:r>
      <w:r>
        <w:rPr>
          <w:rFonts w:hint="eastAsia" w:ascii="仿宋_GB2312" w:eastAsia="仿宋_GB2312"/>
          <w:b/>
          <w:bCs/>
          <w:spacing w:val="-4"/>
          <w:sz w:val="32"/>
          <w:szCs w:val="32"/>
        </w:rPr>
        <w:br w:type="textWrapping"/>
      </w:r>
      <w:r>
        <w:rPr>
          <w:rFonts w:hint="eastAsia" w:ascii="仿宋_GB2312" w:eastAsia="仿宋_GB2312"/>
          <w:b/>
          <w:bCs/>
          <w:spacing w:val="-4"/>
          <w:sz w:val="32"/>
          <w:szCs w:val="32"/>
          <w:lang w:val="en-US" w:eastAsia="zh-CN"/>
        </w:rPr>
        <w:t xml:space="preserve"> </w:t>
      </w:r>
      <w:r>
        <w:rPr>
          <w:rFonts w:hint="eastAsia" w:ascii="仿宋_GB2312" w:eastAsia="仿宋_GB2312"/>
          <w:spacing w:val="-4"/>
          <w:sz w:val="32"/>
          <w:szCs w:val="32"/>
        </w:rPr>
        <w:t>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1278311A"/>
    <w:rsid w:val="2F1B0756"/>
    <w:rsid w:val="459C17AB"/>
    <w:rsid w:val="4D2606A1"/>
    <w:rsid w:val="5C652885"/>
    <w:rsid w:val="5C7E2CDC"/>
    <w:rsid w:val="62CD3D26"/>
    <w:rsid w:val="7AF953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alloon Text"/>
    <w:basedOn w:val="1"/>
    <w:link w:val="45"/>
    <w:semiHidden/>
    <w:unhideWhenUsed/>
    <w:qFormat/>
    <w:uiPriority w:val="99"/>
    <w:rPr>
      <w:sz w:val="18"/>
      <w:szCs w:val="18"/>
    </w:rPr>
  </w:style>
  <w:style w:type="paragraph" w:styleId="13">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3"/>
    <w:qFormat/>
    <w:uiPriority w:val="9"/>
    <w:rPr>
      <w:rFonts w:asciiTheme="majorHAnsi" w:hAnsiTheme="majorHAnsi" w:eastAsiaTheme="majorEastAsia"/>
      <w:b/>
      <w:bCs/>
      <w:kern w:val="32"/>
      <w:sz w:val="32"/>
      <w:szCs w:val="32"/>
    </w:rPr>
  </w:style>
  <w:style w:type="character" w:customStyle="1" w:styleId="21">
    <w:name w:val="标题 2 字符"/>
    <w:basedOn w:val="17"/>
    <w:link w:val="4"/>
    <w:semiHidden/>
    <w:qFormat/>
    <w:uiPriority w:val="9"/>
    <w:rPr>
      <w:rFonts w:asciiTheme="majorHAnsi" w:hAnsiTheme="majorHAnsi" w:eastAsiaTheme="majorEastAsia"/>
      <w:b/>
      <w:bCs/>
      <w:i/>
      <w:iCs/>
      <w:sz w:val="28"/>
      <w:szCs w:val="28"/>
    </w:rPr>
  </w:style>
  <w:style w:type="character" w:customStyle="1" w:styleId="22">
    <w:name w:val="标题 3 字符"/>
    <w:basedOn w:val="17"/>
    <w:link w:val="5"/>
    <w:semiHidden/>
    <w:qFormat/>
    <w:uiPriority w:val="9"/>
    <w:rPr>
      <w:rFonts w:asciiTheme="majorHAnsi" w:hAnsiTheme="majorHAnsi" w:eastAsiaTheme="majorEastAsia"/>
      <w:b/>
      <w:bCs/>
      <w:sz w:val="26"/>
      <w:szCs w:val="26"/>
    </w:rPr>
  </w:style>
  <w:style w:type="character" w:customStyle="1" w:styleId="23">
    <w:name w:val="标题 4 字符"/>
    <w:basedOn w:val="17"/>
    <w:link w:val="6"/>
    <w:semiHidden/>
    <w:qFormat/>
    <w:uiPriority w:val="9"/>
    <w:rPr>
      <w:b/>
      <w:bCs/>
      <w:sz w:val="28"/>
      <w:szCs w:val="28"/>
    </w:rPr>
  </w:style>
  <w:style w:type="character" w:customStyle="1" w:styleId="24">
    <w:name w:val="标题 5 字符"/>
    <w:basedOn w:val="17"/>
    <w:link w:val="7"/>
    <w:semiHidden/>
    <w:qFormat/>
    <w:uiPriority w:val="9"/>
    <w:rPr>
      <w:b/>
      <w:bCs/>
      <w:i/>
      <w:iCs/>
      <w:sz w:val="26"/>
      <w:szCs w:val="26"/>
    </w:rPr>
  </w:style>
  <w:style w:type="character" w:customStyle="1" w:styleId="25">
    <w:name w:val="标题 6 字符"/>
    <w:basedOn w:val="17"/>
    <w:link w:val="8"/>
    <w:semiHidden/>
    <w:qFormat/>
    <w:uiPriority w:val="9"/>
    <w:rPr>
      <w:b/>
      <w:bCs/>
    </w:rPr>
  </w:style>
  <w:style w:type="character" w:customStyle="1" w:styleId="26">
    <w:name w:val="标题 7 字符"/>
    <w:basedOn w:val="17"/>
    <w:link w:val="9"/>
    <w:semiHidden/>
    <w:qFormat/>
    <w:uiPriority w:val="9"/>
    <w:rPr>
      <w:sz w:val="24"/>
      <w:szCs w:val="24"/>
    </w:rPr>
  </w:style>
  <w:style w:type="character" w:customStyle="1" w:styleId="27">
    <w:name w:val="标题 8 字符"/>
    <w:basedOn w:val="17"/>
    <w:link w:val="10"/>
    <w:semiHidden/>
    <w:qFormat/>
    <w:uiPriority w:val="9"/>
    <w:rPr>
      <w:i/>
      <w:iCs/>
      <w:sz w:val="24"/>
      <w:szCs w:val="24"/>
    </w:rPr>
  </w:style>
  <w:style w:type="character" w:customStyle="1" w:styleId="28">
    <w:name w:val="标题 9 字符"/>
    <w:basedOn w:val="17"/>
    <w:link w:val="11"/>
    <w:semiHidden/>
    <w:qFormat/>
    <w:uiPriority w:val="9"/>
    <w:rPr>
      <w:rFonts w:asciiTheme="majorHAnsi" w:hAnsiTheme="majorHAnsi" w:eastAsiaTheme="majorEastAsia"/>
    </w:rPr>
  </w:style>
  <w:style w:type="character" w:customStyle="1" w:styleId="29">
    <w:name w:val="标题 字符"/>
    <w:basedOn w:val="17"/>
    <w:link w:val="2"/>
    <w:qFormat/>
    <w:uiPriority w:val="10"/>
    <w:rPr>
      <w:rFonts w:asciiTheme="majorHAnsi" w:hAnsiTheme="majorHAnsi" w:eastAsiaTheme="majorEastAsia"/>
      <w:b/>
      <w:bCs/>
      <w:kern w:val="28"/>
      <w:sz w:val="32"/>
      <w:szCs w:val="32"/>
    </w:rPr>
  </w:style>
  <w:style w:type="character" w:customStyle="1" w:styleId="30">
    <w:name w:val="副标题 字符"/>
    <w:basedOn w:val="17"/>
    <w:link w:val="15"/>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字符"/>
    <w:basedOn w:val="17"/>
    <w:link w:val="14"/>
    <w:qFormat/>
    <w:uiPriority w:val="99"/>
    <w:rPr>
      <w:rFonts w:ascii="Calibri" w:hAnsi="Calibri" w:eastAsia="宋体"/>
      <w:kern w:val="2"/>
      <w:sz w:val="18"/>
      <w:szCs w:val="18"/>
    </w:rPr>
  </w:style>
  <w:style w:type="character" w:customStyle="1" w:styleId="44">
    <w:name w:val="页脚 字符"/>
    <w:basedOn w:val="17"/>
    <w:link w:val="13"/>
    <w:qFormat/>
    <w:uiPriority w:val="99"/>
    <w:rPr>
      <w:rFonts w:ascii="Calibri" w:hAnsi="Calibri" w:eastAsia="宋体"/>
      <w:kern w:val="2"/>
      <w:sz w:val="18"/>
      <w:szCs w:val="18"/>
    </w:rPr>
  </w:style>
  <w:style w:type="character" w:customStyle="1" w:styleId="45">
    <w:name w:val="批注框文本 字符"/>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33</TotalTime>
  <ScaleCrop>false</ScaleCrop>
  <LinksUpToDate>false</LinksUpToDate>
  <CharactersWithSpaces>718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2024-11-08T12:12:51Z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