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沙湾市教育和科学技术局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pageBreakBefore w:val="0"/>
        <w:kinsoku/>
        <w:wordWrap/>
        <w:overflowPunct/>
        <w:topLinePunct w:val="0"/>
        <w:bidi w:val="0"/>
        <w:adjustRightInd/>
        <w:snapToGrid/>
        <w:spacing w:line="240" w:lineRule="auto"/>
        <w:textAlignment w:val="auto"/>
        <w:rPr>
          <w:rFonts w:hint="eastAsia" w:ascii="仿宋_GB2312" w:hAnsi="仿宋_GB2312" w:eastAsia="仿宋_GB2312" w:cs="仿宋_GB2312"/>
          <w:b/>
          <w:bCs w:val="0"/>
          <w:color w:val="auto"/>
          <w:kern w:val="0"/>
          <w:sz w:val="36"/>
          <w:szCs w:val="36"/>
          <w:highlight w:val="none"/>
        </w:rPr>
      </w:pPr>
      <w:r>
        <w:rPr>
          <w:rFonts w:hint="eastAsia" w:ascii="仿宋_GB2312" w:hAnsi="仿宋_GB2312" w:eastAsia="仿宋_GB2312" w:cs="仿宋_GB2312"/>
          <w:b/>
          <w:bCs w:val="0"/>
          <w:color w:val="auto"/>
          <w:kern w:val="0"/>
          <w:sz w:val="36"/>
          <w:szCs w:val="36"/>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OLE_LINK35"/>
      <w:bookmarkStart w:id="5" w:name="OLE_LINK1"/>
      <w:bookmarkStart w:id="6" w:name="OLE_LINK2"/>
      <w:bookmarkStart w:id="7" w:name="OLE_LINK33"/>
      <w:r>
        <w:rPr>
          <w:rFonts w:hint="eastAsia" w:ascii="仿宋_GB2312" w:eastAsia="仿宋_GB2312"/>
          <w:color w:val="auto"/>
          <w:sz w:val="32"/>
          <w:szCs w:val="32"/>
          <w:highlight w:val="none"/>
          <w:lang w:val="en-US" w:eastAsia="zh-CN"/>
        </w:rPr>
        <w:t>沙湾市教育和科学技术局要</w:t>
      </w:r>
      <w:bookmarkEnd w:id="4"/>
      <w:r>
        <w:rPr>
          <w:rFonts w:hint="eastAsia" w:ascii="仿宋_GB2312" w:eastAsia="仿宋_GB2312"/>
          <w:color w:val="auto"/>
          <w:sz w:val="32"/>
          <w:szCs w:val="32"/>
          <w:highlight w:val="none"/>
          <w:lang w:val="en-US" w:eastAsia="zh-CN"/>
        </w:rPr>
        <w:t>加快推动健全新型举国体制，优化科技创新全链条管理、促进科技成果转化、促进科技和经济社会发展相结合，加强统筹，形成科技力量在关键核心技术上攻坚克难的合力。加强、优化、转变政府科技管理和服务职能，完善科技创新制度和组织体系，加强宏观管理和统筹协调，加强事中事后监管和科研诚信建设。从研发管理向创新服务转变，深入推进科技计划管理改革，减少科技计划项目重复、分散、封闭、低效和资源配置“碎片化”的现象。对一般性出国（境）培训项目和其他培训项目不再进行审批审核，由各部门结合本行业本领域实际安排。对科研机构组建和调整事项不再进行审核，重在加强规划布局和绩效评价。进一步改进科技人才评价机制，建立健全以创新能力、质量、</w:t>
      </w:r>
      <w:bookmarkStart w:id="8" w:name="OLE_LINK5"/>
      <w:r>
        <w:rPr>
          <w:rFonts w:hint="eastAsia" w:ascii="仿宋_GB2312" w:eastAsia="仿宋_GB2312"/>
          <w:color w:val="auto"/>
          <w:sz w:val="32"/>
          <w:szCs w:val="32"/>
          <w:highlight w:val="none"/>
          <w:lang w:val="en-US" w:eastAsia="zh-CN"/>
        </w:rPr>
        <w:t>贡献、绩效为导向的科技人才评价体系和激</w:t>
      </w:r>
      <w:bookmarkEnd w:id="8"/>
      <w:r>
        <w:rPr>
          <w:rFonts w:hint="eastAsia" w:ascii="仿宋_GB2312" w:eastAsia="仿宋_GB2312"/>
          <w:color w:val="auto"/>
          <w:sz w:val="32"/>
          <w:szCs w:val="32"/>
          <w:highlight w:val="none"/>
          <w:lang w:val="en-US" w:eastAsia="zh-CN"/>
        </w:rPr>
        <w:t>励政策，统筹市域科技人才队伍建设和引进国外智力工作。</w:t>
      </w:r>
      <w:bookmarkEnd w:id="5"/>
      <w:bookmarkEnd w:id="6"/>
    </w:p>
    <w:bookmarkEnd w:id="7"/>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9" w:name="_Toc31238"/>
      <w:bookmarkStart w:id="10"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9"/>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1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11" w:name="OLE_LINK39"/>
      <w:r>
        <w:rPr>
          <w:rFonts w:hint="eastAsia" w:ascii="仿宋_GB2312" w:eastAsia="仿宋_GB2312"/>
          <w:color w:val="auto"/>
          <w:sz w:val="32"/>
          <w:szCs w:val="32"/>
          <w:highlight w:val="none"/>
          <w:lang w:val="en-US" w:eastAsia="zh-CN"/>
        </w:rPr>
        <w:t>沙湾市教育和科学技术局2023年度，实有人数</w:t>
      </w:r>
      <w:r>
        <w:rPr>
          <w:rFonts w:hint="eastAsia" w:ascii="仿宋_GB2312" w:eastAsia="仿宋_GB2312"/>
          <w:color w:val="auto"/>
          <w:sz w:val="32"/>
          <w:szCs w:val="32"/>
          <w:highlight w:val="none"/>
          <w:lang w:val="zh-CN" w:eastAsia="zh-CN"/>
        </w:rPr>
        <w:t>113</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54</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58</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12" w:name="_Toc29374"/>
      <w:bookmarkStart w:id="13" w:name="_Toc3092"/>
      <w:r>
        <w:rPr>
          <w:rFonts w:hint="eastAsia" w:ascii="仿宋_GB2312" w:eastAsia="仿宋_GB2312"/>
          <w:color w:val="auto"/>
          <w:sz w:val="32"/>
          <w:szCs w:val="32"/>
          <w:highlight w:val="none"/>
          <w:lang w:val="en-US" w:eastAsia="zh-CN"/>
        </w:rPr>
        <w:t>单位无下属预算单位，下设9个处室，分</w:t>
      </w:r>
      <w:bookmarkStart w:id="14" w:name="OLE_LINK13"/>
      <w:r>
        <w:rPr>
          <w:rFonts w:hint="eastAsia" w:ascii="仿宋_GB2312" w:eastAsia="仿宋_GB2312"/>
          <w:color w:val="auto"/>
          <w:sz w:val="32"/>
          <w:szCs w:val="32"/>
          <w:highlight w:val="none"/>
          <w:lang w:val="en-US" w:eastAsia="zh-CN"/>
        </w:rPr>
        <w:t>别</w:t>
      </w:r>
      <w:bookmarkEnd w:id="14"/>
      <w:r>
        <w:rPr>
          <w:rFonts w:hint="eastAsia" w:ascii="仿宋_GB2312" w:eastAsia="仿宋_GB2312"/>
          <w:color w:val="auto"/>
          <w:sz w:val="32"/>
          <w:szCs w:val="32"/>
          <w:highlight w:val="none"/>
          <w:lang w:val="en-US" w:eastAsia="zh-CN"/>
        </w:rPr>
        <w:t>是：</w:t>
      </w:r>
      <w:bookmarkStart w:id="15" w:name="OLE_LINK9"/>
      <w:bookmarkStart w:id="16" w:name="OLE_LINK34"/>
      <w:r>
        <w:rPr>
          <w:rFonts w:hint="eastAsia" w:ascii="仿宋_GB2312" w:eastAsia="仿宋_GB2312"/>
          <w:color w:val="auto"/>
          <w:sz w:val="32"/>
          <w:szCs w:val="32"/>
          <w:highlight w:val="none"/>
          <w:lang w:val="en-US" w:eastAsia="zh-CN"/>
        </w:rPr>
        <w:t>政府教育督导室、教育工会、教育教学研究中心、基础教育中心、成教职教中心、教育信息技术中心、学生资助管理中心、“双语”教学研究中心、教育经费核算中心</w:t>
      </w:r>
      <w:bookmarkEnd w:id="15"/>
      <w:r>
        <w:rPr>
          <w:rFonts w:hint="eastAsia" w:ascii="仿宋_GB2312" w:eastAsia="仿宋_GB2312"/>
          <w:color w:val="auto"/>
          <w:sz w:val="32"/>
          <w:szCs w:val="32"/>
          <w:highlight w:val="none"/>
          <w:lang w:val="en-US" w:eastAsia="zh-CN"/>
        </w:rPr>
        <w:t>。</w:t>
      </w:r>
    </w:p>
    <w:p>
      <w:pPr>
        <w:pageBreakBefore w:val="0"/>
        <w:kinsoku/>
        <w:wordWrap/>
        <w:overflowPunct/>
        <w:topLinePunct w:val="0"/>
        <w:bidi w:val="0"/>
        <w:adjustRightInd/>
        <w:snapToGrid/>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pStyle w:val="2"/>
        <w:pageBreakBefore w:val="0"/>
        <w:kinsoku/>
        <w:wordWrap/>
        <w:overflowPunct/>
        <w:topLinePunct w:val="0"/>
        <w:bidi w:val="0"/>
        <w:adjustRightInd/>
        <w:snapToGrid/>
        <w:textAlignment w:val="auto"/>
        <w:rPr>
          <w:rFonts w:hint="eastAsia"/>
          <w:lang w:val="en-US" w:eastAsia="zh-CN"/>
        </w:rPr>
      </w:pPr>
    </w:p>
    <w:bookmarkEnd w:id="11"/>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7" w:name="_Toc12566"/>
      <w:bookmarkStart w:id="18" w:name="_Toc25314"/>
      <w:r>
        <w:rPr>
          <w:rFonts w:hint="eastAsia" w:ascii="黑体" w:hAnsi="黑体" w:eastAsia="黑体" w:cs="宋体"/>
          <w:bCs/>
          <w:color w:val="auto"/>
          <w:kern w:val="0"/>
          <w:sz w:val="32"/>
          <w:szCs w:val="32"/>
          <w:highlight w:val="none"/>
        </w:rPr>
        <w:t>一、收入支出决算总体情况说明</w:t>
      </w:r>
      <w:bookmarkEnd w:id="17"/>
      <w:bookmarkEnd w:id="1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2023年度收入总计11,399.47万元，其中：本年收入合计11,399.47万元，使用非财政拨款结余0.00万元，年初结转和结余0.00万元。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bookmarkStart w:id="19" w:name="OLE_LINK3"/>
      <w:r>
        <w:rPr>
          <w:rFonts w:hint="eastAsia" w:ascii="仿宋_GB2312" w:eastAsia="仿宋_GB2312"/>
          <w:color w:val="auto"/>
          <w:spacing w:val="0"/>
          <w:sz w:val="32"/>
          <w:szCs w:val="32"/>
          <w:highlight w:val="none"/>
          <w:lang w:val="en-US" w:eastAsia="zh-CN"/>
        </w:rPr>
        <w:t>2023年度支出总计11,399.47万元，其中：本年支出合计11,399.47万元，结余分配0.00万元，年末结转和结余</w:t>
      </w:r>
      <w:bookmarkEnd w:id="19"/>
      <w:r>
        <w:rPr>
          <w:rFonts w:hint="eastAsia" w:ascii="仿宋_GB2312" w:eastAsia="仿宋_GB2312"/>
          <w:color w:val="auto"/>
          <w:spacing w:val="0"/>
          <w:sz w:val="32"/>
          <w:szCs w:val="32"/>
          <w:highlight w:val="none"/>
          <w:lang w:val="en-US" w:eastAsia="zh-CN"/>
        </w:rPr>
        <w:t>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bookmarkStart w:id="20" w:name="OLE_LINK41"/>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增加434.05万元</w:t>
      </w:r>
      <w:r>
        <w:rPr>
          <w:rFonts w:hint="eastAsia" w:ascii="仿宋_GB2312" w:eastAsia="仿宋_GB2312"/>
          <w:color w:val="auto"/>
          <w:spacing w:val="0"/>
          <w:sz w:val="32"/>
          <w:szCs w:val="32"/>
          <w:highlight w:val="none"/>
          <w:lang w:val="en-US" w:eastAsia="zh-CN"/>
        </w:rPr>
        <w:t>，增长3.96%，主要原因是：2023年在职人员基本工资、绩效工资增加，新增考试考务经费、视频设备采购项目监理费、基础设施维修工程、儿童口罩采购经费、</w:t>
      </w:r>
      <w:bookmarkStart w:id="21" w:name="OLE_LINK48"/>
      <w:r>
        <w:rPr>
          <w:rFonts w:hint="eastAsia" w:ascii="仿宋_GB2312" w:eastAsia="仿宋_GB2312"/>
          <w:color w:val="auto"/>
          <w:spacing w:val="0"/>
          <w:sz w:val="32"/>
          <w:szCs w:val="32"/>
          <w:highlight w:val="none"/>
          <w:lang w:val="en-US" w:eastAsia="zh-CN"/>
        </w:rPr>
        <w:t>教育系统录播课堂及云阅卷系统采购项目款、</w:t>
      </w:r>
      <w:bookmarkEnd w:id="21"/>
      <w:r>
        <w:rPr>
          <w:rFonts w:hint="eastAsia" w:ascii="仿宋_GB2312" w:eastAsia="仿宋_GB2312"/>
          <w:color w:val="auto"/>
          <w:spacing w:val="0"/>
          <w:sz w:val="32"/>
          <w:szCs w:val="32"/>
          <w:highlight w:val="none"/>
          <w:lang w:val="en-US" w:eastAsia="zh-CN"/>
        </w:rPr>
        <w:t>激励科技人员创新创业奖励金、高新技术企业奖励专项资金等。</w:t>
      </w:r>
    </w:p>
    <w:bookmarkEnd w:id="20"/>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12142"/>
      <w:bookmarkStart w:id="23" w:name="_Toc1979"/>
      <w:bookmarkStart w:id="24" w:name="OLE_LINK36"/>
      <w:r>
        <w:rPr>
          <w:rFonts w:hint="eastAsia" w:ascii="黑体" w:hAnsi="黑体" w:eastAsia="黑体" w:cs="宋体"/>
          <w:bCs/>
          <w:color w:val="auto"/>
          <w:kern w:val="0"/>
          <w:sz w:val="32"/>
          <w:szCs w:val="32"/>
          <w:highlight w:val="none"/>
          <w:lang w:eastAsia="zh-CN"/>
        </w:rPr>
        <w:t>二、收入决算情况说明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25" w:name="OLE_LINK40"/>
      <w:r>
        <w:rPr>
          <w:rFonts w:hint="eastAsia" w:ascii="仿宋_GB2312" w:eastAsia="仿宋_GB2312"/>
          <w:color w:val="auto"/>
          <w:sz w:val="32"/>
          <w:szCs w:val="32"/>
          <w:highlight w:val="none"/>
          <w:lang w:val="en-US" w:eastAsia="zh-CN"/>
        </w:rPr>
        <w:t>本年收入11,399.47万元，其中：财政拨款收入</w:t>
      </w:r>
      <w:r>
        <w:rPr>
          <w:rFonts w:hint="eastAsia" w:ascii="仿宋_GB2312" w:eastAsia="仿宋_GB2312"/>
          <w:color w:val="auto"/>
          <w:sz w:val="32"/>
          <w:szCs w:val="32"/>
          <w:highlight w:val="none"/>
          <w:lang w:val="zh-CN" w:eastAsia="zh-CN"/>
        </w:rPr>
        <w:t>11,365.38</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99.70%</w:t>
      </w:r>
      <w:r>
        <w:rPr>
          <w:rFonts w:hint="eastAsia" w:ascii="仿宋_GB2312" w:eastAsia="仿宋_GB2312"/>
          <w:color w:val="auto"/>
          <w:sz w:val="32"/>
          <w:szCs w:val="32"/>
          <w:highlight w:val="none"/>
          <w:lang w:val="en-US" w:eastAsia="zh-CN"/>
        </w:rPr>
        <w:t>；上级补助收入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；事业收入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；经营收入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w:t>
      </w:r>
      <w:bookmarkEnd w:id="24"/>
      <w:r>
        <w:rPr>
          <w:rFonts w:hint="eastAsia" w:ascii="仿宋_GB2312" w:eastAsia="仿宋_GB2312"/>
          <w:color w:val="auto"/>
          <w:sz w:val="32"/>
          <w:szCs w:val="32"/>
          <w:highlight w:val="none"/>
          <w:lang w:val="en-US" w:eastAsia="zh-CN"/>
        </w:rPr>
        <w:t>，</w:t>
      </w:r>
      <w:bookmarkStart w:id="26" w:name="OLE_LINK37"/>
      <w:bookmarkStart w:id="27" w:name="OLE_LINK38"/>
      <w:r>
        <w:rPr>
          <w:rFonts w:hint="eastAsia" w:ascii="仿宋_GB2312" w:eastAsia="仿宋_GB2312"/>
          <w:color w:val="auto"/>
          <w:sz w:val="32"/>
          <w:szCs w:val="32"/>
          <w:highlight w:val="none"/>
          <w:lang w:val="en-US" w:eastAsia="zh-CN"/>
        </w:rPr>
        <w:t>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；附属单位上缴收入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；其</w:t>
      </w:r>
      <w:bookmarkEnd w:id="26"/>
      <w:r>
        <w:rPr>
          <w:rFonts w:hint="eastAsia" w:ascii="仿宋_GB2312" w:eastAsia="仿宋_GB2312"/>
          <w:color w:val="auto"/>
          <w:sz w:val="32"/>
          <w:szCs w:val="32"/>
          <w:highlight w:val="none"/>
          <w:lang w:val="en-US" w:eastAsia="zh-CN"/>
        </w:rPr>
        <w:t>他收</w:t>
      </w:r>
      <w:bookmarkEnd w:id="27"/>
      <w:r>
        <w:rPr>
          <w:rFonts w:hint="eastAsia" w:ascii="仿宋_GB2312" w:eastAsia="仿宋_GB2312"/>
          <w:color w:val="auto"/>
          <w:sz w:val="32"/>
          <w:szCs w:val="32"/>
          <w:highlight w:val="none"/>
          <w:lang w:val="en-US" w:eastAsia="zh-CN"/>
        </w:rPr>
        <w:t>入</w:t>
      </w:r>
      <w:r>
        <w:rPr>
          <w:rFonts w:hint="eastAsia" w:ascii="仿宋_GB2312" w:eastAsia="仿宋_GB2312"/>
          <w:color w:val="auto"/>
          <w:sz w:val="32"/>
          <w:szCs w:val="32"/>
          <w:highlight w:val="none"/>
          <w:lang w:val="zh-CN" w:eastAsia="zh-CN"/>
        </w:rPr>
        <w:t>34.09</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0.30%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27961"/>
      <w:bookmarkStart w:id="29" w:name="_Toc13201"/>
      <w:r>
        <w:rPr>
          <w:rFonts w:hint="eastAsia" w:ascii="黑体" w:hAnsi="黑体" w:eastAsia="黑体" w:cs="宋体"/>
          <w:bCs/>
          <w:color w:val="auto"/>
          <w:kern w:val="0"/>
          <w:sz w:val="32"/>
          <w:szCs w:val="32"/>
          <w:highlight w:val="none"/>
          <w:lang w:eastAsia="zh-CN"/>
        </w:rPr>
        <w:t>三、支出决算情况说明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本年支出11,399.47万元，其中：基本支出1,197.69万元，占10.51%；项目支出10,201.78万元，占89.49%；上缴上级支出0.00万元，占0.00%；经营支出0.00万元，占0.00%；对附属单位补助支出0.00万元，占0.00%。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0" w:name="_Toc4393"/>
      <w:bookmarkStart w:id="31" w:name="_Toc26564"/>
      <w:r>
        <w:rPr>
          <w:rFonts w:hint="eastAsia" w:ascii="黑体" w:hAnsi="黑体" w:eastAsia="黑体" w:cs="宋体"/>
          <w:bCs/>
          <w:color w:val="auto"/>
          <w:kern w:val="0"/>
          <w:sz w:val="32"/>
          <w:szCs w:val="32"/>
          <w:highlight w:val="none"/>
          <w:lang w:eastAsia="zh-CN"/>
        </w:rPr>
        <w:t>四、财政拨款收入支出决算总体情况说明</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2023年度财政拨款收入</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11,365.38万元，</w:t>
      </w:r>
      <w:r>
        <w:rPr>
          <w:rFonts w:hint="eastAsia" w:ascii="仿宋_GB2312" w:hAnsi="仿宋_GB2312" w:eastAsia="仿宋_GB2312" w:cs="仿宋_GB2312"/>
          <w:color w:val="auto"/>
          <w:sz w:val="32"/>
          <w:szCs w:val="32"/>
          <w:highlight w:val="none"/>
          <w:lang w:val="en-US" w:eastAsia="zh-CN"/>
        </w:rPr>
        <w:t>其中：年初财政拨款结转和结余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本年财政拨款收入</w:t>
      </w:r>
      <w:r>
        <w:rPr>
          <w:rFonts w:hint="eastAsia" w:ascii="仿宋_GB2312" w:hAnsi="仿宋_GB2312" w:eastAsia="仿宋_GB2312" w:cs="仿宋_GB2312"/>
          <w:color w:val="auto"/>
          <w:sz w:val="32"/>
          <w:szCs w:val="32"/>
          <w:highlight w:val="none"/>
          <w:lang w:val="zh-CN" w:eastAsia="zh-CN"/>
        </w:rPr>
        <w:t>11,365.38万元。财政拨款支出</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11,365.38万元，</w:t>
      </w:r>
      <w:r>
        <w:rPr>
          <w:rFonts w:hint="eastAsia" w:ascii="仿宋_GB2312" w:hAnsi="仿宋_GB2312" w:eastAsia="仿宋_GB2312" w:cs="仿宋_GB2312"/>
          <w:color w:val="auto"/>
          <w:sz w:val="32"/>
          <w:szCs w:val="32"/>
          <w:highlight w:val="none"/>
          <w:lang w:val="en-US" w:eastAsia="zh-CN"/>
        </w:rPr>
        <w:t>其中：年末财政拨款结转和结余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本年财政拨款支出</w:t>
      </w:r>
      <w:r>
        <w:rPr>
          <w:rFonts w:hint="eastAsia" w:ascii="仿宋_GB2312" w:hAnsi="仿宋_GB2312" w:eastAsia="仿宋_GB2312" w:cs="仿宋_GB2312"/>
          <w:color w:val="auto"/>
          <w:sz w:val="32"/>
          <w:szCs w:val="32"/>
          <w:highlight w:val="none"/>
          <w:lang w:val="zh-CN" w:eastAsia="zh-CN"/>
        </w:rPr>
        <w:t>11,365.38万元。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32" w:name="OLE_LINK42"/>
      <w:r>
        <w:rPr>
          <w:rFonts w:hint="eastAsia" w:ascii="仿宋_GB2312" w:hAnsi="仿宋_GB2312" w:eastAsia="仿宋_GB2312" w:cs="仿宋_GB2312"/>
          <w:color w:val="auto"/>
          <w:sz w:val="32"/>
          <w:szCs w:val="32"/>
          <w:highlight w:val="none"/>
          <w:lang w:val="zh-CN" w:eastAsia="zh-CN"/>
        </w:rPr>
        <w:t>财政拨款收入支出总体与上年相比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增加429.81万元，</w:t>
      </w:r>
      <w:r>
        <w:rPr>
          <w:rFonts w:hint="eastAsia" w:ascii="仿宋_GB2312" w:hAnsi="仿宋_GB2312" w:eastAsia="仿宋_GB2312" w:cs="仿宋_GB2312"/>
          <w:color w:val="auto"/>
          <w:sz w:val="32"/>
          <w:szCs w:val="32"/>
          <w:highlight w:val="none"/>
          <w:lang w:val="en-US" w:eastAsia="zh-CN"/>
        </w:rPr>
        <w:t>增长3.93%，</w:t>
      </w:r>
      <w:r>
        <w:rPr>
          <w:rFonts w:hint="eastAsia" w:ascii="仿宋_GB2312" w:hAnsi="仿宋_GB2312" w:eastAsia="仿宋_GB2312" w:cs="仿宋_GB2312"/>
          <w:color w:val="auto"/>
          <w:sz w:val="32"/>
          <w:szCs w:val="32"/>
          <w:highlight w:val="none"/>
          <w:lang w:val="zh-CN" w:eastAsia="zh-CN"/>
        </w:rPr>
        <w:t>主要原因是：</w:t>
      </w:r>
      <w:bookmarkStart w:id="33" w:name="OLE_LINK6"/>
      <w:r>
        <w:rPr>
          <w:rFonts w:hint="eastAsia" w:ascii="仿宋_GB2312" w:hAnsi="仿宋_GB2312" w:eastAsia="仿宋_GB2312" w:cs="仿宋_GB2312"/>
          <w:color w:val="auto"/>
          <w:sz w:val="32"/>
          <w:szCs w:val="32"/>
          <w:highlight w:val="none"/>
          <w:lang w:val="en-US" w:eastAsia="zh-CN"/>
        </w:rPr>
        <w:t>2023年在职人员基本工资、绩效工资增加，新增考试考务经费、视频设备采购项目监理费、基础设施维修工程、儿童口罩采购经费、教育系统录播课堂</w:t>
      </w:r>
      <w:bookmarkEnd w:id="32"/>
      <w:r>
        <w:rPr>
          <w:rFonts w:hint="eastAsia" w:ascii="仿宋_GB2312" w:hAnsi="仿宋_GB2312" w:eastAsia="仿宋_GB2312" w:cs="仿宋_GB2312"/>
          <w:color w:val="auto"/>
          <w:sz w:val="32"/>
          <w:szCs w:val="32"/>
          <w:highlight w:val="none"/>
          <w:lang w:val="en-US" w:eastAsia="zh-CN"/>
        </w:rPr>
        <w:t>及云阅卷系统采购项目款、激励科技人员创新创业奖励金、高新技术企业奖励专项等资金</w:t>
      </w:r>
      <w:bookmarkEnd w:id="33"/>
      <w:r>
        <w:rPr>
          <w:rFonts w:hint="eastAsia" w:ascii="仿宋_GB2312" w:hAnsi="仿宋_GB2312" w:eastAsia="仿宋_GB2312" w:cs="仿宋_GB2312"/>
          <w:color w:val="auto"/>
          <w:sz w:val="32"/>
          <w:szCs w:val="32"/>
          <w:highlight w:val="none"/>
          <w:lang w:val="zh-CN" w:eastAsia="zh-CN"/>
        </w:rPr>
        <w:t>。与年初预算相比，年初预算数10,452.63万元，决算数11,365.38万元，预决算差异率8.73%，主要原因是：</w:t>
      </w:r>
      <w:bookmarkStart w:id="34" w:name="OLE_LINK51"/>
      <w:r>
        <w:rPr>
          <w:rFonts w:hint="eastAsia" w:ascii="仿宋_GB2312" w:hAnsi="仿宋_GB2312" w:eastAsia="仿宋_GB2312" w:cs="仿宋_GB2312"/>
          <w:color w:val="auto"/>
          <w:sz w:val="32"/>
          <w:szCs w:val="32"/>
          <w:highlight w:val="none"/>
          <w:lang w:val="en-US" w:eastAsia="zh-CN"/>
        </w:rPr>
        <w:t>2023年在职人员基本工资、绩效工资增加，追加考试考务经费、视频设备采购项目监理费、基础设施维修工程、儿童口罩采购经费、教育系统录播课堂及云阅卷系统采购项目款、激励科技人员创新创业奖励金、高新技术企业奖励专项等资金</w:t>
      </w:r>
      <w:r>
        <w:rPr>
          <w:rFonts w:hint="eastAsia" w:ascii="仿宋_GB2312" w:hAnsi="仿宋_GB2312" w:eastAsia="仿宋_GB2312" w:cs="仿宋_GB2312"/>
          <w:color w:val="auto"/>
          <w:sz w:val="32"/>
          <w:szCs w:val="32"/>
          <w:highlight w:val="none"/>
          <w:lang w:val="zh-CN" w:eastAsia="zh-CN"/>
        </w:rPr>
        <w:t>。</w:t>
      </w:r>
    </w:p>
    <w:bookmarkEnd w:id="34"/>
    <w:p>
      <w:pPr>
        <w:pStyle w:val="2"/>
        <w:pageBreakBefore w:val="0"/>
        <w:kinsoku/>
        <w:wordWrap/>
        <w:overflowPunct/>
        <w:topLinePunct w:val="0"/>
        <w:bidi w:val="0"/>
        <w:adjustRightInd/>
        <w:snapToGrid/>
        <w:spacing w:line="240" w:lineRule="auto"/>
        <w:textAlignment w:val="auto"/>
        <w:rPr>
          <w:rFonts w:hint="eastAsia"/>
          <w:lang w:val="en-US" w:eastAsia="zh-CN"/>
        </w:rPr>
        <w:sectPr>
          <w:footerReference r:id="rId3" w:type="default"/>
          <w:pgSz w:w="11906" w:h="16838"/>
          <w:pgMar w:top="1440" w:right="1800" w:bottom="1440" w:left="1800" w:header="851" w:footer="992" w:gutter="0"/>
          <w:cols w:space="720" w:num="1"/>
          <w:docGrid w:type="lines" w:linePitch="312" w:charSpace="0"/>
        </w:sectPr>
      </w:pPr>
    </w:p>
    <w:bookmarkEnd w:id="12"/>
    <w:bookmarkEnd w:id="13"/>
    <w:bookmarkEnd w:id="16"/>
    <w:bookmarkEnd w:id="25"/>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5" w:name="_Toc13833"/>
      <w:bookmarkStart w:id="36"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2023年度一般公共预算财政拨款支出8,510.3</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万元，占本年支出合计的74.66%。与上年相比，减少2,425.19万元，</w:t>
      </w:r>
      <w:r>
        <w:rPr>
          <w:rFonts w:hint="eastAsia" w:ascii="仿宋_GB2312" w:eastAsia="仿宋_GB2312"/>
          <w:color w:val="auto"/>
          <w:spacing w:val="0"/>
          <w:sz w:val="32"/>
          <w:szCs w:val="32"/>
          <w:highlight w:val="none"/>
          <w:lang w:val="en-US" w:eastAsia="zh-CN"/>
        </w:rPr>
        <w:t>下降22.18%,</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2023年教师节活动资金、南疆支教教师各项补贴项目资金、新疆班学生暑运工作项目经费、高中城PPP项目本金及运营费项目资金投入减少</w:t>
      </w:r>
      <w:r>
        <w:rPr>
          <w:rFonts w:hint="eastAsia" w:ascii="仿宋_GB2312" w:eastAsia="仿宋_GB2312"/>
          <w:color w:val="auto"/>
          <w:spacing w:val="0"/>
          <w:sz w:val="32"/>
          <w:szCs w:val="32"/>
          <w:highlight w:val="none"/>
          <w:lang w:val="zh-CN" w:eastAsia="zh-CN"/>
        </w:rPr>
        <w:t>。与年初预算相比，年初预算数10,452.63万元，决算数8,510.3</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万元，预决算差异率-18.58%，主要原因是：</w:t>
      </w:r>
      <w:r>
        <w:rPr>
          <w:rFonts w:hint="eastAsia" w:ascii="仿宋_GB2312" w:eastAsia="仿宋_GB2312"/>
          <w:color w:val="auto"/>
          <w:spacing w:val="0"/>
          <w:sz w:val="32"/>
          <w:szCs w:val="32"/>
          <w:highlight w:val="none"/>
          <w:lang w:val="en-US" w:eastAsia="zh-CN"/>
        </w:rPr>
        <w:t>2023年高中城PPP项目本金及运营费项目资金投入减少</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8,358.84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98.22%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117.9</w:t>
      </w: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1.39%</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33.62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1.教育支出（类）教育费附加安排的支出（款）其他教育费附加安排的支出（项）:支出决算数为93.00万元，比上年决算增加93.00万元，增长100%，主要原因是</w:t>
      </w:r>
      <w:bookmarkStart w:id="37" w:name="OLE_LINK7"/>
      <w:r>
        <w:rPr>
          <w:rFonts w:hint="eastAsia" w:ascii="仿宋_GB2312" w:hAnsi="仿宋_GB2312" w:eastAsia="仿宋_GB2312" w:cs="仿宋_GB2312"/>
          <w:color w:val="auto"/>
          <w:kern w:val="2"/>
          <w:sz w:val="32"/>
          <w:szCs w:val="32"/>
          <w:highlight w:val="none"/>
          <w:lang w:val="en-US" w:eastAsia="zh-CN" w:bidi="ar-SA"/>
        </w:rPr>
        <w:t>：</w:t>
      </w:r>
      <w:bookmarkEnd w:id="37"/>
      <w:r>
        <w:rPr>
          <w:rFonts w:hint="eastAsia" w:ascii="仿宋_GB2312" w:hAnsi="仿宋_GB2312" w:eastAsia="仿宋_GB2312" w:cs="仿宋_GB2312"/>
          <w:color w:val="auto"/>
          <w:kern w:val="2"/>
          <w:sz w:val="32"/>
          <w:szCs w:val="32"/>
          <w:highlight w:val="none"/>
          <w:lang w:val="en-US" w:eastAsia="zh-CN" w:bidi="ar-SA"/>
        </w:rPr>
        <w:t>2023年新增</w:t>
      </w:r>
      <w:r>
        <w:rPr>
          <w:rFonts w:hint="eastAsia" w:ascii="仿宋_GB2312" w:hAnsi="仿宋_GB2312" w:eastAsia="仿宋_GB2312" w:cs="仿宋_GB2312"/>
          <w:color w:val="auto"/>
          <w:kern w:val="2"/>
          <w:sz w:val="32"/>
          <w:szCs w:val="32"/>
          <w:highlight w:val="none"/>
          <w:lang w:val="zh-CN" w:eastAsia="zh-CN" w:bidi="ar-SA"/>
        </w:rPr>
        <w:t>教育系统录播课堂及云阅卷系统采购项目，</w:t>
      </w:r>
      <w:r>
        <w:rPr>
          <w:rFonts w:hint="eastAsia" w:ascii="仿宋_GB2312" w:hAnsi="仿宋_GB2312" w:eastAsia="仿宋_GB2312" w:cs="仿宋_GB2312"/>
          <w:color w:val="auto"/>
          <w:kern w:val="2"/>
          <w:sz w:val="32"/>
          <w:szCs w:val="32"/>
          <w:highlight w:val="none"/>
          <w:lang w:val="en-US" w:eastAsia="zh-CN" w:bidi="ar-SA"/>
        </w:rPr>
        <w:t>项目资金支出增加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2.科学技术支出（类）科技条件与服务（款）其他科技条件与服务支出（项）:支出决算数为60.93万元，比上年决算增加53.28万元，增长696.47%，主要原因是：2023年新增</w:t>
      </w:r>
      <w:r>
        <w:rPr>
          <w:rFonts w:hint="eastAsia" w:ascii="仿宋_GB2312" w:hAnsi="仿宋_GB2312" w:eastAsia="仿宋_GB2312" w:cs="仿宋_GB2312"/>
          <w:color w:val="auto"/>
          <w:kern w:val="2"/>
          <w:sz w:val="32"/>
          <w:szCs w:val="32"/>
          <w:highlight w:val="none"/>
          <w:lang w:val="zh-CN" w:eastAsia="zh-CN" w:bidi="ar-SA"/>
        </w:rPr>
        <w:t>激励科技人员创新创业奖励金</w:t>
      </w:r>
      <w:r>
        <w:rPr>
          <w:rFonts w:hint="eastAsia" w:ascii="仿宋_GB2312" w:hAnsi="仿宋_GB2312" w:eastAsia="仿宋_GB2312" w:cs="仿宋_GB2312"/>
          <w:color w:val="auto"/>
          <w:kern w:val="2"/>
          <w:sz w:val="32"/>
          <w:szCs w:val="32"/>
          <w:highlight w:val="none"/>
          <w:lang w:val="en-US" w:eastAsia="zh-CN" w:bidi="ar-SA"/>
        </w:rPr>
        <w:t>项目</w:t>
      </w:r>
      <w:r>
        <w:rPr>
          <w:rFonts w:hint="eastAsia" w:ascii="仿宋_GB2312" w:hAnsi="仿宋_GB2312" w:eastAsia="仿宋_GB2312" w:cs="仿宋_GB2312"/>
          <w:color w:val="auto"/>
          <w:kern w:val="2"/>
          <w:sz w:val="32"/>
          <w:szCs w:val="32"/>
          <w:highlight w:val="none"/>
          <w:lang w:val="zh-CN" w:eastAsia="zh-CN" w:bidi="ar-SA"/>
        </w:rPr>
        <w:t>、高新技术企业奖励专项资金</w:t>
      </w:r>
      <w:r>
        <w:rPr>
          <w:rFonts w:hint="eastAsia" w:ascii="仿宋_GB2312" w:hAnsi="仿宋_GB2312" w:eastAsia="仿宋_GB2312" w:cs="仿宋_GB2312"/>
          <w:color w:val="auto"/>
          <w:kern w:val="2"/>
          <w:sz w:val="32"/>
          <w:szCs w:val="32"/>
          <w:highlight w:val="none"/>
          <w:lang w:val="en-US" w:eastAsia="zh-CN" w:bidi="ar-SA"/>
        </w:rPr>
        <w:t>项目，项目资金支出增加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3.教育支出（类）教育管理事务（款）行政运行（项）:支出决算数为395.61万元，比上年决算减少799.10万元，下降66.89%，主要原因是：</w:t>
      </w:r>
      <w:bookmarkStart w:id="38" w:name="OLE_LINK8"/>
      <w:r>
        <w:rPr>
          <w:rFonts w:hint="eastAsia" w:ascii="仿宋_GB2312" w:hAnsi="仿宋_GB2312" w:eastAsia="仿宋_GB2312" w:cs="仿宋_GB2312"/>
          <w:color w:val="auto"/>
          <w:kern w:val="2"/>
          <w:sz w:val="32"/>
          <w:szCs w:val="32"/>
          <w:highlight w:val="none"/>
          <w:lang w:val="en-US" w:eastAsia="zh-CN" w:bidi="ar-SA"/>
        </w:rPr>
        <w:t>2023年事业人员工资不在此科目中。而是在其他教育管理事务支出中体现</w:t>
      </w:r>
      <w:bookmarkEnd w:id="38"/>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教育支出（类）教育管理事务（款）其他教育管理事务支出（项）:支出决算数为821.28万元，比上年决算增加790.71万元，增长2586.56%，主要原因是：2023年事业人员工资在其他教育管理事务支出中体现，新增视频设备采购项目监理费、基础设施维修工程款、援疆经费、人才发展专项资金等</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5.教育支出（类）普通教育（款）小学教育（项）:支出决算数为622.03万元，比上年决算增加141.28万元，增长29.39%，主要原因是：2023年</w:t>
      </w:r>
      <w:r>
        <w:rPr>
          <w:rFonts w:hint="eastAsia" w:ascii="仿宋_GB2312" w:hAnsi="仿宋_GB2312" w:eastAsia="仿宋_GB2312" w:cs="仿宋_GB2312"/>
          <w:color w:val="auto"/>
          <w:kern w:val="2"/>
          <w:sz w:val="32"/>
          <w:szCs w:val="32"/>
          <w:highlight w:val="none"/>
          <w:lang w:val="zh-CN" w:eastAsia="zh-CN" w:bidi="ar-SA"/>
        </w:rPr>
        <w:t>义务教育薄弱环节改善与能力提升补助</w:t>
      </w:r>
      <w:r>
        <w:rPr>
          <w:rFonts w:hint="eastAsia" w:ascii="仿宋_GB2312" w:hAnsi="仿宋_GB2312" w:eastAsia="仿宋_GB2312" w:cs="仿宋_GB2312"/>
          <w:color w:val="auto"/>
          <w:kern w:val="2"/>
          <w:sz w:val="32"/>
          <w:szCs w:val="32"/>
          <w:highlight w:val="none"/>
          <w:lang w:val="en-US" w:eastAsia="zh-CN" w:bidi="ar-SA"/>
        </w:rPr>
        <w:t>项目资金投入增加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6.教育支出（类）教育管理事务（款）一般行政管理事务（项）:支出决算数为4.55万元，比上年决算减少1.83万元，下降28.68%，主要原因是：2023年</w:t>
      </w:r>
      <w:r>
        <w:rPr>
          <w:rFonts w:hint="eastAsia" w:ascii="仿宋_GB2312" w:hAnsi="仿宋_GB2312" w:eastAsia="仿宋_GB2312" w:cs="仿宋_GB2312"/>
          <w:color w:val="auto"/>
          <w:kern w:val="2"/>
          <w:sz w:val="32"/>
          <w:szCs w:val="32"/>
          <w:highlight w:val="none"/>
          <w:lang w:val="zh-CN" w:eastAsia="zh-CN" w:bidi="ar-SA"/>
        </w:rPr>
        <w:t>教育考试考务经费</w:t>
      </w:r>
      <w:r>
        <w:rPr>
          <w:rFonts w:hint="eastAsia" w:ascii="仿宋_GB2312" w:hAnsi="仿宋_GB2312" w:eastAsia="仿宋_GB2312" w:cs="仿宋_GB2312"/>
          <w:color w:val="auto"/>
          <w:kern w:val="2"/>
          <w:sz w:val="32"/>
          <w:szCs w:val="32"/>
          <w:highlight w:val="none"/>
          <w:lang w:val="en-US" w:eastAsia="zh-CN" w:bidi="ar-SA"/>
        </w:rPr>
        <w:t>项目资金投入减少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7.教育支出（类）普通教育（款）学前教育（项）:支出决算数为815.33万元，比上年决算增加815.33万元，增长100%，主要原因是：2023年新增儿童口罩采购</w:t>
      </w:r>
      <w:bookmarkStart w:id="39" w:name="OLE_LINK50"/>
      <w:r>
        <w:rPr>
          <w:rFonts w:hint="eastAsia" w:ascii="仿宋_GB2312" w:hAnsi="仿宋_GB2312" w:eastAsia="仿宋_GB2312" w:cs="仿宋_GB2312"/>
          <w:color w:val="auto"/>
          <w:kern w:val="2"/>
          <w:sz w:val="32"/>
          <w:szCs w:val="32"/>
          <w:highlight w:val="none"/>
          <w:lang w:val="en-US" w:eastAsia="zh-CN" w:bidi="ar-SA"/>
        </w:rPr>
        <w:t>经费</w:t>
      </w:r>
      <w:bookmarkEnd w:id="39"/>
      <w:r>
        <w:rPr>
          <w:rFonts w:hint="eastAsia" w:ascii="仿宋_GB2312" w:hAnsi="仿宋_GB2312" w:eastAsia="仿宋_GB2312" w:cs="仿宋_GB2312"/>
          <w:color w:val="auto"/>
          <w:kern w:val="2"/>
          <w:sz w:val="32"/>
          <w:szCs w:val="32"/>
          <w:highlight w:val="none"/>
          <w:lang w:val="en-US" w:eastAsia="zh-CN" w:bidi="ar-SA"/>
        </w:rPr>
        <w:t>、高中城PPP项目运营费用，项目资金支出增加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8.科学技术支出（类）其他科学技术支出（款）其他科学技术支出（项）:支出决算数为55.00万元，比上年决算增加55.00万元，增长100%，主要原因是：2023年新增高新技术企业奖励专项</w:t>
      </w:r>
      <w:bookmarkStart w:id="40" w:name="OLE_LINK49"/>
      <w:r>
        <w:rPr>
          <w:rFonts w:hint="eastAsia" w:ascii="仿宋_GB2312" w:hAnsi="仿宋_GB2312" w:eastAsia="仿宋_GB2312" w:cs="仿宋_GB2312"/>
          <w:color w:val="auto"/>
          <w:kern w:val="2"/>
          <w:sz w:val="32"/>
          <w:szCs w:val="32"/>
          <w:highlight w:val="none"/>
          <w:lang w:val="en-US" w:eastAsia="zh-CN" w:bidi="ar-SA"/>
        </w:rPr>
        <w:t>资金</w:t>
      </w:r>
      <w:bookmarkEnd w:id="40"/>
      <w:r>
        <w:rPr>
          <w:rFonts w:hint="eastAsia" w:ascii="仿宋_GB2312" w:hAnsi="仿宋_GB2312" w:eastAsia="仿宋_GB2312" w:cs="仿宋_GB2312"/>
          <w:color w:val="auto"/>
          <w:kern w:val="2"/>
          <w:sz w:val="32"/>
          <w:szCs w:val="32"/>
          <w:highlight w:val="none"/>
          <w:lang w:val="en-US" w:eastAsia="zh-CN" w:bidi="ar-SA"/>
        </w:rPr>
        <w:t>，项目资金支出增加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9.教育支出（类）普通教育（款）高中教育（项）:支出决算数为4,862.16万元，比上年决算减少3,532.12万元，下降42.08%，主要原因是：2023年</w:t>
      </w:r>
      <w:r>
        <w:rPr>
          <w:rFonts w:hint="eastAsia" w:ascii="仿宋_GB2312" w:hAnsi="仿宋_GB2312" w:eastAsia="仿宋_GB2312" w:cs="仿宋_GB2312"/>
          <w:color w:val="auto"/>
          <w:kern w:val="2"/>
          <w:sz w:val="32"/>
          <w:szCs w:val="32"/>
          <w:highlight w:val="none"/>
          <w:lang w:val="zh-CN" w:eastAsia="zh-CN" w:bidi="ar-SA"/>
        </w:rPr>
        <w:t>高中城PPP项目运营费用</w:t>
      </w:r>
      <w:r>
        <w:rPr>
          <w:rFonts w:hint="eastAsia" w:ascii="仿宋_GB2312" w:hAnsi="仿宋_GB2312" w:eastAsia="仿宋_GB2312" w:cs="仿宋_GB2312"/>
          <w:color w:val="auto"/>
          <w:kern w:val="2"/>
          <w:sz w:val="32"/>
          <w:szCs w:val="32"/>
          <w:highlight w:val="none"/>
          <w:lang w:val="en-US" w:eastAsia="zh-CN" w:bidi="ar-SA"/>
        </w:rPr>
        <w:t>投入减少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10.教育支出（类）普通教育（款）初中教育（项）:支出决算数为744.89万元，比上年决算减少40.95万元，下降5.21%，主要原因是：2023年</w:t>
      </w:r>
      <w:r>
        <w:rPr>
          <w:rFonts w:hint="eastAsia" w:ascii="仿宋_GB2312" w:hAnsi="仿宋_GB2312" w:eastAsia="仿宋_GB2312" w:cs="仿宋_GB2312"/>
          <w:color w:val="auto"/>
          <w:kern w:val="2"/>
          <w:sz w:val="32"/>
          <w:szCs w:val="32"/>
          <w:highlight w:val="none"/>
          <w:lang w:val="zh-CN" w:eastAsia="zh-CN" w:bidi="ar-SA"/>
        </w:rPr>
        <w:t>新疆班学生暑运工作项目经费、教育系统录播课堂及云阅卷系统采购项目资金</w:t>
      </w:r>
      <w:r>
        <w:rPr>
          <w:rFonts w:hint="eastAsia" w:ascii="仿宋_GB2312" w:hAnsi="仿宋_GB2312" w:eastAsia="仿宋_GB2312" w:cs="仿宋_GB2312"/>
          <w:color w:val="auto"/>
          <w:kern w:val="2"/>
          <w:sz w:val="32"/>
          <w:szCs w:val="32"/>
          <w:highlight w:val="none"/>
          <w:lang w:val="en-US" w:eastAsia="zh-CN" w:bidi="ar-SA"/>
        </w:rPr>
        <w:t>投入减少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11.其他支出（类）其他支出（款）其他支出（项）:支出决算数为33.62万元，比上年决算增加7.24万元，增长27.45%，主要原因是：2023年支付了2022年为民办实事经费3.62万元，与上年对比，为民办实事经费支出增加。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12.科学技术支出（类）技术研究与开发（款）科技成果转化与扩散（项）:支出决算数为2.00万元，比上年决算增加0.00万元，增长0.00%，主要原因是</w:t>
      </w:r>
      <w:bookmarkStart w:id="41" w:name="OLE_LINK10"/>
      <w:r>
        <w:rPr>
          <w:rFonts w:hint="eastAsia" w:ascii="仿宋_GB2312" w:hAnsi="仿宋_GB2312" w:eastAsia="仿宋_GB2312" w:cs="仿宋_GB2312"/>
          <w:color w:val="auto"/>
          <w:kern w:val="2"/>
          <w:sz w:val="32"/>
          <w:szCs w:val="32"/>
          <w:highlight w:val="none"/>
          <w:lang w:val="en-US" w:eastAsia="zh-CN" w:bidi="ar-SA"/>
        </w:rPr>
        <w:t>：</w:t>
      </w:r>
      <w:bookmarkEnd w:id="41"/>
      <w:r>
        <w:rPr>
          <w:rFonts w:hint="eastAsia" w:ascii="仿宋_GB2312" w:hAnsi="仿宋_GB2312" w:eastAsia="仿宋_GB2312" w:cs="仿宋_GB2312"/>
          <w:color w:val="auto"/>
          <w:kern w:val="2"/>
          <w:sz w:val="32"/>
          <w:szCs w:val="32"/>
          <w:highlight w:val="none"/>
          <w:lang w:val="en-US" w:eastAsia="zh-CN" w:bidi="ar-SA"/>
        </w:rPr>
        <w:t>2023年新增自治区科技计划专项资金，项目资金支出增加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bookmarkStart w:id="42" w:name="OLE_LINK43"/>
      <w:r>
        <w:rPr>
          <w:rFonts w:hint="eastAsia" w:ascii="仿宋_GB2312" w:hAnsi="仿宋_GB2312" w:eastAsia="仿宋_GB2312" w:cs="仿宋_GB2312"/>
          <w:color w:val="auto"/>
          <w:kern w:val="2"/>
          <w:sz w:val="32"/>
          <w:szCs w:val="32"/>
          <w:highlight w:val="none"/>
          <w:lang w:val="en-US" w:eastAsia="zh-CN" w:bidi="ar-SA"/>
        </w:rPr>
        <w:t>13.科学技术支出（类）基础研究（款）自然科学基金（项）:支出决算数为0.00万元，比上年决算减少7.00万元，下降100%，主要原因是：2023年</w:t>
      </w:r>
      <w:r>
        <w:rPr>
          <w:rFonts w:hint="eastAsia" w:ascii="仿宋_GB2312" w:hAnsi="仿宋_GB2312" w:eastAsia="仿宋_GB2312" w:cs="仿宋_GB2312"/>
          <w:color w:val="auto"/>
          <w:kern w:val="2"/>
          <w:sz w:val="32"/>
          <w:szCs w:val="32"/>
          <w:highlight w:val="none"/>
          <w:lang w:val="zh-CN" w:eastAsia="zh-CN" w:bidi="ar-SA"/>
        </w:rPr>
        <w:t>科技自然科学专项资金</w:t>
      </w:r>
      <w:r>
        <w:rPr>
          <w:rFonts w:hint="eastAsia" w:ascii="仿宋_GB2312" w:hAnsi="仿宋_GB2312" w:eastAsia="仿宋_GB2312" w:cs="仿宋_GB2312"/>
          <w:color w:val="auto"/>
          <w:kern w:val="2"/>
          <w:sz w:val="32"/>
          <w:szCs w:val="32"/>
          <w:highlight w:val="none"/>
          <w:lang w:val="en-US" w:eastAsia="zh-CN" w:bidi="ar-SA"/>
        </w:rPr>
        <w:t>投入减少</w:t>
      </w:r>
      <w:r>
        <w:rPr>
          <w:rFonts w:hint="eastAsia" w:ascii="仿宋_GB2312" w:hAnsi="仿宋_GB2312" w:eastAsia="仿宋_GB2312" w:cs="仿宋_GB2312"/>
          <w:color w:val="auto"/>
          <w:kern w:val="2"/>
          <w:sz w:val="32"/>
          <w:szCs w:val="32"/>
          <w:highlight w:val="none"/>
          <w:lang w:val="zh-CN" w:eastAsia="zh-CN" w:bidi="ar-SA"/>
        </w:rPr>
        <w:t>。</w:t>
      </w:r>
    </w:p>
    <w:bookmarkEnd w:id="42"/>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2023年度一般公共预算财政拨款基本支出1,163.61万元，其中：人员经费1,110.81万元，包括：基本工资、津贴补贴、奖金、绩效工资、机关事业单位基本养老保险缴费、职业年金缴费、职工基本医疗保险缴费、公务员医疗补助缴费、其他社会保障缴费、住房公积金、离休费、退休费、生活补助、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bookmarkStart w:id="43" w:name="OLE_LINK44"/>
      <w:r>
        <w:rPr>
          <w:rFonts w:hint="eastAsia" w:ascii="仿宋_GB2312" w:eastAsia="仿宋_GB2312"/>
          <w:color w:val="auto"/>
          <w:spacing w:val="0"/>
          <w:sz w:val="32"/>
          <w:szCs w:val="32"/>
          <w:highlight w:val="none"/>
          <w:lang w:val="en-US" w:eastAsia="zh-CN"/>
        </w:rPr>
        <w:t>公用经费52.80万元，包括：办公费、水费、电费、邮电费、差旅费、维修（护）费、租赁费、培训费、工会经费、公务用车运行维护费、其他交通费用、其他商品和服务支出、办公设备购置</w:t>
      </w:r>
      <w:bookmarkStart w:id="44" w:name="OLE_LINK11"/>
      <w:r>
        <w:rPr>
          <w:rFonts w:hint="eastAsia" w:ascii="仿宋_GB2312" w:eastAsia="仿宋_GB2312"/>
          <w:color w:val="auto"/>
          <w:spacing w:val="0"/>
          <w:sz w:val="32"/>
          <w:szCs w:val="32"/>
          <w:highlight w:val="none"/>
          <w:lang w:val="en-US" w:eastAsia="zh-CN"/>
        </w:rPr>
        <w:t>。</w:t>
      </w:r>
    </w:p>
    <w:bookmarkEnd w:id="43"/>
    <w:bookmarkEnd w:id="44"/>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七、财政拨款“三公”经费支出决算情况说明</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增加5.00万元，</w:t>
      </w:r>
      <w:r>
        <w:rPr>
          <w:rFonts w:hint="eastAsia" w:ascii="仿宋_GB2312" w:eastAsia="仿宋_GB2312"/>
          <w:color w:val="auto"/>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bookmarkStart w:id="45" w:name="OLE_LINK12"/>
      <w:r>
        <w:rPr>
          <w:rFonts w:hint="eastAsia" w:ascii="仿宋_GB2312" w:eastAsia="仿宋_GB2312"/>
          <w:color w:val="auto"/>
          <w:sz w:val="32"/>
          <w:szCs w:val="32"/>
          <w:highlight w:val="none"/>
          <w:lang w:val="en-US" w:eastAsia="zh-CN"/>
        </w:rPr>
        <w:t>2023年领导、干部下乡检查、外出开会、运送试卷等次数增多，公务用车使用频繁，产生的通行费、加油费、车辆维修维护费等支出增加</w:t>
      </w:r>
      <w:r>
        <w:rPr>
          <w:rFonts w:hint="eastAsia" w:ascii="仿宋_GB2312" w:eastAsia="仿宋_GB2312"/>
          <w:color w:val="auto"/>
          <w:sz w:val="32"/>
          <w:szCs w:val="32"/>
          <w:highlight w:val="none"/>
          <w:lang w:val="zh-CN" w:eastAsia="zh-CN"/>
        </w:rPr>
        <w:t>。</w:t>
      </w:r>
      <w:bookmarkEnd w:id="45"/>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因公出国（境）费支出；</w:t>
      </w:r>
      <w:bookmarkStart w:id="46" w:name="OLE_LINK17"/>
      <w:r>
        <w:rPr>
          <w:rFonts w:hint="eastAsia" w:ascii="仿宋_GB2312" w:eastAsia="仿宋_GB2312"/>
          <w:color w:val="auto"/>
          <w:sz w:val="32"/>
          <w:szCs w:val="32"/>
          <w:highlight w:val="none"/>
          <w:lang w:val="zh-CN" w:eastAsia="zh-CN"/>
        </w:rPr>
        <w:t>公务用车购置及运行维护费支出</w:t>
      </w:r>
      <w:bookmarkEnd w:id="46"/>
      <w:r>
        <w:rPr>
          <w:rFonts w:hint="eastAsia" w:ascii="仿宋_GB2312" w:eastAsia="仿宋_GB2312"/>
          <w:color w:val="auto"/>
          <w:sz w:val="32"/>
          <w:szCs w:val="32"/>
          <w:highlight w:val="none"/>
          <w:lang w:val="zh-CN" w:eastAsia="zh-CN"/>
        </w:rPr>
        <w:t>5.00万元，占100.00%，比上年增加5.00万元，</w:t>
      </w:r>
      <w:r>
        <w:rPr>
          <w:rFonts w:hint="eastAsia" w:ascii="仿宋_GB2312" w:eastAsia="仿宋_GB2312"/>
          <w:color w:val="auto"/>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bookmarkStart w:id="47" w:name="OLE_LINK15"/>
      <w:bookmarkStart w:id="48" w:name="OLE_LINK16"/>
      <w:r>
        <w:rPr>
          <w:rFonts w:hint="eastAsia" w:ascii="仿宋_GB2312" w:eastAsia="仿宋_GB2312"/>
          <w:color w:val="auto"/>
          <w:sz w:val="32"/>
          <w:szCs w:val="32"/>
          <w:highlight w:val="none"/>
          <w:lang w:val="zh-CN" w:eastAsia="zh-CN"/>
        </w:rPr>
        <w:t>：</w:t>
      </w:r>
      <w:bookmarkEnd w:id="47"/>
      <w:bookmarkEnd w:id="48"/>
      <w:r>
        <w:rPr>
          <w:rFonts w:hint="eastAsia" w:ascii="仿宋_GB2312" w:eastAsia="仿宋_GB2312"/>
          <w:color w:val="auto"/>
          <w:sz w:val="32"/>
          <w:szCs w:val="32"/>
          <w:highlight w:val="none"/>
          <w:lang w:val="en-US" w:eastAsia="zh-CN"/>
        </w:rPr>
        <w:t>2023年领导、干部下乡检查、外出开会、运送试卷等次数增多，公务用车使用频繁，产生的通行费、加油费、车辆维修维护费等支出增加</w:t>
      </w:r>
      <w:r>
        <w:rPr>
          <w:rFonts w:hint="eastAsia" w:ascii="仿宋_GB2312" w:eastAsia="仿宋_GB2312"/>
          <w:color w:val="auto"/>
          <w:sz w:val="32"/>
          <w:szCs w:val="32"/>
          <w:highlight w:val="none"/>
          <w:lang w:val="zh-CN" w:eastAsia="zh-CN"/>
        </w:rPr>
        <w:t>；公务接待费</w:t>
      </w:r>
      <w:bookmarkStart w:id="49" w:name="OLE_LINK21"/>
      <w:r>
        <w:rPr>
          <w:rFonts w:hint="eastAsia" w:ascii="仿宋_GB2312" w:eastAsia="仿宋_GB2312"/>
          <w:color w:val="auto"/>
          <w:sz w:val="32"/>
          <w:szCs w:val="32"/>
          <w:highlight w:val="none"/>
          <w:lang w:val="zh-CN" w:eastAsia="zh-CN"/>
        </w:rPr>
        <w:t>支出</w:t>
      </w:r>
      <w:bookmarkEnd w:id="49"/>
      <w:r>
        <w:rPr>
          <w:rFonts w:hint="eastAsia" w:ascii="仿宋_GB2312" w:eastAsia="仿宋_GB2312"/>
          <w:color w:val="auto"/>
          <w:sz w:val="32"/>
          <w:szCs w:val="32"/>
          <w:highlight w:val="none"/>
          <w:lang w:val="zh-CN" w:eastAsia="zh-CN"/>
        </w:rPr>
        <w:t>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公务接待费支出。</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bookmarkStart w:id="50" w:name="OLE_LINK22"/>
      <w:r>
        <w:rPr>
          <w:rFonts w:hint="eastAsia" w:ascii="仿宋_GB2312" w:eastAsia="仿宋_GB2312"/>
          <w:color w:val="auto"/>
          <w:sz w:val="32"/>
          <w:szCs w:val="32"/>
          <w:highlight w:val="none"/>
          <w:lang w:val="zh-CN" w:eastAsia="zh-CN"/>
        </w:rPr>
        <w:t>因公出国（境）费支出</w:t>
      </w:r>
      <w:bookmarkEnd w:id="50"/>
      <w:r>
        <w:rPr>
          <w:rFonts w:hint="eastAsia" w:ascii="仿宋_GB2312" w:eastAsia="仿宋_GB2312"/>
          <w:color w:val="auto"/>
          <w:sz w:val="32"/>
          <w:szCs w:val="32"/>
          <w:highlight w:val="none"/>
          <w:lang w:val="zh-CN" w:eastAsia="zh-CN"/>
        </w:rPr>
        <w:t>0.00万元，开支内容包括</w:t>
      </w:r>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公务用车购置及运行维护费5.00万元，其中：公务用车购置费0.00万元，公务用车运行维护费5.00万元。公务用车运行维护费开支内容包括</w:t>
      </w:r>
      <w:bookmarkStart w:id="51" w:name="OLE_LINK32"/>
      <w:r>
        <w:rPr>
          <w:rFonts w:hint="eastAsia" w:ascii="仿宋_GB2312" w:eastAsia="仿宋_GB2312"/>
          <w:color w:val="auto"/>
          <w:sz w:val="32"/>
          <w:szCs w:val="32"/>
          <w:highlight w:val="none"/>
          <w:lang w:val="en-US" w:eastAsia="zh-CN"/>
        </w:rPr>
        <w:t>车辆保险费、车辆检测费及车辆维修费，外出开会、下乡检查、运送试卷</w:t>
      </w:r>
      <w:bookmarkEnd w:id="51"/>
      <w:r>
        <w:rPr>
          <w:rFonts w:hint="eastAsia" w:ascii="仿宋_GB2312" w:eastAsia="仿宋_GB2312"/>
          <w:color w:val="auto"/>
          <w:sz w:val="32"/>
          <w:szCs w:val="32"/>
          <w:highlight w:val="none"/>
          <w:lang w:val="en-US" w:eastAsia="zh-CN"/>
        </w:rPr>
        <w:t>等产生的通行费、加油费</w:t>
      </w:r>
      <w:r>
        <w:rPr>
          <w:rFonts w:hint="eastAsia" w:ascii="仿宋_GB2312" w:eastAsia="仿宋_GB2312"/>
          <w:color w:val="auto"/>
          <w:sz w:val="32"/>
          <w:szCs w:val="32"/>
          <w:highlight w:val="none"/>
          <w:lang w:val="zh-CN" w:eastAsia="zh-CN"/>
        </w:rPr>
        <w:t>。</w:t>
      </w:r>
      <w:bookmarkStart w:id="52" w:name="OLE_LINK24"/>
      <w:r>
        <w:rPr>
          <w:rFonts w:hint="eastAsia" w:ascii="仿宋_GB2312" w:eastAsia="仿宋_GB2312"/>
          <w:color w:val="auto"/>
          <w:sz w:val="32"/>
          <w:szCs w:val="32"/>
          <w:highlight w:val="none"/>
          <w:lang w:val="zh-CN" w:eastAsia="zh-CN"/>
        </w:rPr>
        <w:t>公务用车购置数</w:t>
      </w:r>
      <w:bookmarkEnd w:id="52"/>
      <w:r>
        <w:rPr>
          <w:rFonts w:hint="eastAsia" w:ascii="仿宋_GB2312" w:eastAsia="仿宋_GB2312"/>
          <w:color w:val="auto"/>
          <w:sz w:val="32"/>
          <w:szCs w:val="32"/>
          <w:highlight w:val="none"/>
          <w:lang w:val="zh-CN" w:eastAsia="zh-CN"/>
        </w:rPr>
        <w:t>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我单位1辆车为机关事务服务中心车辆</w:t>
      </w:r>
      <w:r>
        <w:rPr>
          <w:rFonts w:hint="eastAsia" w:ascii="仿宋_GB2312" w:eastAsia="仿宋_GB2312"/>
          <w:color w:val="auto"/>
          <w:sz w:val="32"/>
          <w:szCs w:val="32"/>
          <w:highlight w:val="none"/>
          <w:lang w:val="zh-CN" w:eastAsia="zh-CN"/>
        </w:rPr>
        <w:t>。</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w:t>
      </w:r>
      <w:bookmarkStart w:id="53" w:name="OLE_LINK52"/>
      <w:r>
        <w:rPr>
          <w:rFonts w:hint="eastAsia" w:ascii="仿宋_GB2312" w:eastAsia="仿宋_GB2312"/>
          <w:color w:val="auto"/>
          <w:sz w:val="32"/>
          <w:szCs w:val="32"/>
          <w:highlight w:val="none"/>
          <w:lang w:val="zh-CN" w:eastAsia="zh-CN"/>
        </w:rPr>
        <w:t>包括</w:t>
      </w:r>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公务接待费</w:t>
      </w:r>
      <w:bookmarkEnd w:id="53"/>
      <w:r>
        <w:rPr>
          <w:rFonts w:hint="eastAsia" w:ascii="仿宋_GB2312" w:eastAsia="仿宋_GB2312"/>
          <w:color w:val="auto"/>
          <w:sz w:val="32"/>
          <w:szCs w:val="32"/>
          <w:highlight w:val="none"/>
          <w:lang w:val="zh-CN" w:eastAsia="zh-CN"/>
        </w:rPr>
        <w:t>。单位全年安排的国内公务接待0批次，0人次。</w:t>
      </w:r>
    </w:p>
    <w:p>
      <w:pPr>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w:t>
      </w:r>
      <w:bookmarkStart w:id="54" w:name="OLE_LINK25"/>
      <w:r>
        <w:rPr>
          <w:rFonts w:hint="eastAsia" w:ascii="仿宋_GB2312" w:eastAsia="仿宋_GB2312"/>
          <w:color w:val="auto"/>
          <w:sz w:val="32"/>
          <w:szCs w:val="32"/>
          <w:highlight w:val="none"/>
          <w:lang w:val="zh-CN" w:eastAsia="zh-CN"/>
        </w:rPr>
        <w:t>5.00</w:t>
      </w:r>
      <w:bookmarkEnd w:id="54"/>
      <w:r>
        <w:rPr>
          <w:rFonts w:hint="eastAsia" w:ascii="仿宋_GB2312" w:eastAsia="仿宋_GB2312"/>
          <w:color w:val="auto"/>
          <w:sz w:val="32"/>
          <w:szCs w:val="32"/>
          <w:highlight w:val="none"/>
          <w:lang w:val="zh-CN" w:eastAsia="zh-CN"/>
        </w:rPr>
        <w:t>万元，预决算差异率0.00%，主要原因是：</w:t>
      </w:r>
      <w:bookmarkStart w:id="55" w:name="OLE_LINK29"/>
      <w:r>
        <w:rPr>
          <w:rFonts w:hint="eastAsia" w:ascii="仿宋_GB2312" w:eastAsia="仿宋_GB2312"/>
          <w:color w:val="auto"/>
          <w:sz w:val="32"/>
          <w:szCs w:val="32"/>
          <w:highlight w:val="none"/>
          <w:lang w:val="en-US" w:eastAsia="zh-CN"/>
        </w:rPr>
        <w:t>2023年我单位公务用车运行维护费预算数</w:t>
      </w:r>
      <w:r>
        <w:rPr>
          <w:rFonts w:hint="eastAsia" w:ascii="仿宋_GB2312" w:eastAsia="仿宋_GB2312"/>
          <w:color w:val="auto"/>
          <w:sz w:val="32"/>
          <w:szCs w:val="32"/>
          <w:highlight w:val="none"/>
          <w:lang w:val="zh-CN" w:eastAsia="zh-CN"/>
        </w:rPr>
        <w:t>5.00</w:t>
      </w:r>
      <w:r>
        <w:rPr>
          <w:rFonts w:hint="eastAsia" w:ascii="仿宋_GB2312" w:eastAsia="仿宋_GB2312"/>
          <w:color w:val="auto"/>
          <w:sz w:val="32"/>
          <w:szCs w:val="32"/>
          <w:highlight w:val="none"/>
          <w:lang w:val="en-US" w:eastAsia="zh-CN"/>
        </w:rPr>
        <w:t>万元，决算数</w:t>
      </w:r>
      <w:r>
        <w:rPr>
          <w:rFonts w:hint="eastAsia" w:ascii="仿宋_GB2312" w:eastAsia="仿宋_GB2312"/>
          <w:color w:val="auto"/>
          <w:sz w:val="32"/>
          <w:szCs w:val="32"/>
          <w:highlight w:val="none"/>
          <w:lang w:val="zh-CN" w:eastAsia="zh-CN"/>
        </w:rPr>
        <w:t>5.00</w:t>
      </w:r>
      <w:r>
        <w:rPr>
          <w:rFonts w:hint="eastAsia" w:ascii="仿宋_GB2312" w:eastAsia="仿宋_GB2312"/>
          <w:color w:val="auto"/>
          <w:sz w:val="32"/>
          <w:szCs w:val="32"/>
          <w:highlight w:val="none"/>
          <w:lang w:val="en-US" w:eastAsia="zh-CN"/>
        </w:rPr>
        <w:t>万元，预决算无差异</w:t>
      </w:r>
      <w:bookmarkEnd w:id="55"/>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bookmarkStart w:id="56" w:name="OLE_LINK53"/>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因公出国（境）费</w:t>
      </w:r>
      <w:bookmarkEnd w:id="56"/>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w:t>
      </w:r>
      <w:bookmarkStart w:id="57" w:name="OLE_LINK26"/>
      <w:r>
        <w:rPr>
          <w:rFonts w:hint="eastAsia" w:ascii="仿宋_GB2312" w:eastAsia="仿宋_GB2312"/>
          <w:color w:val="auto"/>
          <w:sz w:val="32"/>
          <w:szCs w:val="32"/>
          <w:highlight w:val="none"/>
          <w:lang w:val="zh-CN" w:eastAsia="zh-CN"/>
        </w:rPr>
        <w:t>公务用车购置费</w:t>
      </w:r>
      <w:bookmarkEnd w:id="57"/>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bookmarkStart w:id="58" w:name="OLE_LINK54"/>
      <w:r>
        <w:rPr>
          <w:rFonts w:hint="eastAsia" w:ascii="仿宋_GB2312" w:eastAsia="仿宋_GB2312"/>
          <w:color w:val="auto"/>
          <w:sz w:val="32"/>
          <w:szCs w:val="32"/>
          <w:highlight w:val="none"/>
          <w:lang w:val="en-US" w:eastAsia="zh-CN"/>
        </w:rPr>
        <w:t>2023年我单位</w:t>
      </w:r>
      <w:bookmarkStart w:id="59" w:name="OLE_LINK27"/>
      <w:r>
        <w:rPr>
          <w:rFonts w:hint="eastAsia" w:ascii="仿宋_GB2312" w:eastAsia="仿宋_GB2312"/>
          <w:color w:val="auto"/>
          <w:sz w:val="32"/>
          <w:szCs w:val="32"/>
          <w:highlight w:val="none"/>
          <w:lang w:val="en-US" w:eastAsia="zh-CN"/>
        </w:rPr>
        <w:t>无</w:t>
      </w:r>
      <w:bookmarkEnd w:id="59"/>
      <w:r>
        <w:rPr>
          <w:rFonts w:hint="eastAsia" w:ascii="仿宋_GB2312" w:eastAsia="仿宋_GB2312"/>
          <w:color w:val="auto"/>
          <w:sz w:val="32"/>
          <w:szCs w:val="32"/>
          <w:highlight w:val="none"/>
          <w:lang w:val="zh-CN" w:eastAsia="zh-CN"/>
        </w:rPr>
        <w:t>公务用车购置费</w:t>
      </w:r>
      <w:bookmarkEnd w:id="58"/>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预算数5.00万元，决算数5.00万元，预决算差异率0.00%，主要原因是：</w:t>
      </w:r>
      <w:bookmarkStart w:id="60" w:name="OLE_LINK55"/>
      <w:r>
        <w:rPr>
          <w:rFonts w:hint="eastAsia" w:ascii="仿宋_GB2312" w:eastAsia="仿宋_GB2312"/>
          <w:color w:val="auto"/>
          <w:sz w:val="32"/>
          <w:szCs w:val="32"/>
          <w:highlight w:val="none"/>
          <w:lang w:val="en-US" w:eastAsia="zh-CN"/>
        </w:rPr>
        <w:t>2023年我单位公务用车运行维护费预算数</w:t>
      </w:r>
      <w:r>
        <w:rPr>
          <w:rFonts w:hint="eastAsia" w:ascii="仿宋_GB2312" w:eastAsia="仿宋_GB2312"/>
          <w:color w:val="auto"/>
          <w:sz w:val="32"/>
          <w:szCs w:val="32"/>
          <w:highlight w:val="none"/>
          <w:lang w:val="zh-CN" w:eastAsia="zh-CN"/>
        </w:rPr>
        <w:t>5.00</w:t>
      </w:r>
      <w:r>
        <w:rPr>
          <w:rFonts w:hint="eastAsia" w:ascii="仿宋_GB2312" w:eastAsia="仿宋_GB2312"/>
          <w:color w:val="auto"/>
          <w:sz w:val="32"/>
          <w:szCs w:val="32"/>
          <w:highlight w:val="none"/>
          <w:lang w:val="en-US" w:eastAsia="zh-CN"/>
        </w:rPr>
        <w:t>万元，决算数</w:t>
      </w:r>
      <w:r>
        <w:rPr>
          <w:rFonts w:hint="eastAsia" w:ascii="仿宋_GB2312" w:eastAsia="仿宋_GB2312"/>
          <w:color w:val="auto"/>
          <w:sz w:val="32"/>
          <w:szCs w:val="32"/>
          <w:highlight w:val="none"/>
          <w:lang w:val="zh-CN" w:eastAsia="zh-CN"/>
        </w:rPr>
        <w:t>5.00</w:t>
      </w:r>
      <w:r>
        <w:rPr>
          <w:rFonts w:hint="eastAsia" w:ascii="仿宋_GB2312" w:eastAsia="仿宋_GB2312"/>
          <w:color w:val="auto"/>
          <w:sz w:val="32"/>
          <w:szCs w:val="32"/>
          <w:highlight w:val="none"/>
          <w:lang w:val="en-US" w:eastAsia="zh-CN"/>
        </w:rPr>
        <w:t>万元，预决算无差异</w:t>
      </w:r>
      <w:bookmarkEnd w:id="60"/>
      <w:r>
        <w:rPr>
          <w:rFonts w:hint="eastAsia" w:ascii="仿宋_GB2312" w:eastAsia="仿宋_GB2312"/>
          <w:color w:val="auto"/>
          <w:sz w:val="32"/>
          <w:szCs w:val="32"/>
          <w:highlight w:val="none"/>
          <w:lang w:val="zh-CN" w:eastAsia="zh-CN"/>
        </w:rPr>
        <w:t>；</w:t>
      </w:r>
      <w:bookmarkStart w:id="61" w:name="OLE_LINK28"/>
      <w:r>
        <w:rPr>
          <w:rFonts w:hint="eastAsia" w:ascii="仿宋_GB2312" w:eastAsia="仿宋_GB2312"/>
          <w:color w:val="auto"/>
          <w:sz w:val="32"/>
          <w:szCs w:val="32"/>
          <w:highlight w:val="none"/>
          <w:lang w:val="zh-CN" w:eastAsia="zh-CN"/>
        </w:rPr>
        <w:t>公务接待费</w:t>
      </w:r>
      <w:bookmarkEnd w:id="61"/>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bookmarkStart w:id="62" w:name="OLE_LINK56"/>
      <w:r>
        <w:rPr>
          <w:rFonts w:hint="eastAsia" w:ascii="仿宋_GB2312" w:eastAsia="仿宋_GB2312"/>
          <w:color w:val="auto"/>
          <w:sz w:val="32"/>
          <w:szCs w:val="32"/>
          <w:highlight w:val="none"/>
          <w:lang w:val="en-US" w:eastAsia="zh-CN"/>
        </w:rPr>
        <w:t>2023年我单位无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w:t>
      </w:r>
    </w:p>
    <w:bookmarkEnd w:id="62"/>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63" w:name="_Toc5810"/>
      <w:bookmarkStart w:id="64" w:name="_Toc7927"/>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63"/>
      <w:bookmarkEnd w:id="6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总计2,855.00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本年收入2,855.00</w:t>
      </w:r>
      <w:r>
        <w:rPr>
          <w:rFonts w:hint="eastAsia" w:ascii="仿宋_GB2312" w:hAnsi="仿宋_GB2312" w:eastAsia="仿宋_GB2312" w:cs="仿宋_GB2312"/>
          <w:color w:val="auto"/>
          <w:sz w:val="32"/>
          <w:szCs w:val="32"/>
          <w:highlight w:val="none"/>
          <w:lang w:val="zh-CN" w:eastAsia="zh-CN"/>
        </w:rPr>
        <w:t>万元。政府性基金预算财政拨款支出</w:t>
      </w:r>
      <w:r>
        <w:rPr>
          <w:rFonts w:hint="eastAsia" w:ascii="仿宋_GB2312" w:hAnsi="仿宋_GB2312" w:eastAsia="仿宋_GB2312" w:cs="仿宋_GB2312"/>
          <w:color w:val="auto"/>
          <w:sz w:val="32"/>
          <w:szCs w:val="32"/>
          <w:highlight w:val="none"/>
          <w:lang w:val="en-US" w:eastAsia="zh-CN"/>
        </w:rPr>
        <w:t>总计2,855.00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本年支出2,855.00</w:t>
      </w:r>
      <w:r>
        <w:rPr>
          <w:rFonts w:hint="eastAsia" w:ascii="仿宋_GB2312" w:hAnsi="仿宋_GB2312" w:eastAsia="仿宋_GB2312" w:cs="仿宋_GB2312"/>
          <w:color w:val="auto"/>
          <w:sz w:val="32"/>
          <w:szCs w:val="32"/>
          <w:highlight w:val="none"/>
          <w:lang w:val="zh-CN" w:eastAsia="zh-CN"/>
        </w:rPr>
        <w:t>万元。</w:t>
      </w:r>
    </w:p>
    <w:p>
      <w:pPr>
        <w:pageBreakBefore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与上年相比，增加2,855.00万元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bookmarkStart w:id="65" w:name="OLE_LINK30"/>
      <w:r>
        <w:rPr>
          <w:rFonts w:hint="eastAsia" w:ascii="仿宋_GB2312" w:hAnsi="仿宋_GB2312" w:eastAsia="仿宋_GB2312" w:cs="仿宋_GB2312"/>
          <w:color w:val="auto"/>
          <w:sz w:val="32"/>
          <w:szCs w:val="32"/>
          <w:highlight w:val="none"/>
          <w:lang w:val="en-US" w:eastAsia="zh-CN"/>
        </w:rPr>
        <w:t>2023年新增</w:t>
      </w:r>
      <w:r>
        <w:rPr>
          <w:rFonts w:hint="eastAsia" w:ascii="仿宋_GB2312" w:hAnsi="仿宋_GB2312" w:eastAsia="仿宋_GB2312" w:cs="仿宋_GB2312"/>
          <w:color w:val="auto"/>
          <w:sz w:val="32"/>
          <w:szCs w:val="32"/>
          <w:highlight w:val="none"/>
          <w:lang w:val="zh-CN" w:eastAsia="zh-CN"/>
        </w:rPr>
        <w:t>高中城PPP项目运营费用</w:t>
      </w:r>
      <w:bookmarkEnd w:id="65"/>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上年度无此项目</w:t>
      </w:r>
      <w:r>
        <w:rPr>
          <w:rFonts w:hint="eastAsia" w:ascii="仿宋_GB2312" w:hAnsi="仿宋_GB2312" w:eastAsia="仿宋_GB2312" w:cs="仿宋_GB2312"/>
          <w:color w:val="auto"/>
          <w:sz w:val="32"/>
          <w:szCs w:val="32"/>
          <w:highlight w:val="none"/>
          <w:lang w:val="zh-CN" w:eastAsia="zh-CN"/>
        </w:rPr>
        <w:t>。与年初预算相比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2,855.00</w:t>
      </w:r>
      <w:r>
        <w:rPr>
          <w:rFonts w:hint="eastAsia" w:ascii="仿宋_GB2312" w:hAnsi="仿宋_GB2312" w:eastAsia="仿宋_GB2312" w:cs="仿宋_GB2312"/>
          <w:color w:val="auto"/>
          <w:sz w:val="32"/>
          <w:szCs w:val="32"/>
          <w:highlight w:val="none"/>
          <w:lang w:val="zh-CN" w:eastAsia="zh-CN"/>
        </w:rPr>
        <w:t>万元，预决算差异率100.00%，主要原因是：</w:t>
      </w:r>
      <w:r>
        <w:rPr>
          <w:rFonts w:hint="eastAsia" w:ascii="仿宋_GB2312" w:hAnsi="仿宋_GB2312" w:eastAsia="仿宋_GB2312" w:cs="仿宋_GB2312"/>
          <w:color w:val="auto"/>
          <w:sz w:val="32"/>
          <w:szCs w:val="32"/>
          <w:highlight w:val="none"/>
          <w:lang w:val="en-US" w:eastAsia="zh-CN"/>
        </w:rPr>
        <w:t>2023年追加</w:t>
      </w:r>
      <w:r>
        <w:rPr>
          <w:rFonts w:hint="eastAsia" w:ascii="仿宋_GB2312" w:hAnsi="仿宋_GB2312" w:eastAsia="仿宋_GB2312" w:cs="仿宋_GB2312"/>
          <w:color w:val="auto"/>
          <w:sz w:val="32"/>
          <w:szCs w:val="32"/>
          <w:highlight w:val="none"/>
          <w:lang w:val="zh-CN" w:eastAsia="zh-CN"/>
        </w:rPr>
        <w:t>高中城PPP项目运营费</w:t>
      </w:r>
      <w:r>
        <w:rPr>
          <w:rFonts w:hint="eastAsia" w:ascii="仿宋_GB2312" w:hAnsi="仿宋_GB2312" w:eastAsia="仿宋_GB2312" w:cs="仿宋_GB2312"/>
          <w:color w:val="auto"/>
          <w:sz w:val="32"/>
          <w:szCs w:val="32"/>
          <w:highlight w:val="none"/>
          <w:lang w:val="en-US" w:eastAsia="zh-CN"/>
        </w:rPr>
        <w:t>预算项目</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政府性基金预算财政拨款支出2,855.00万元。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1.城乡社区支出（类）国有土地使用权出让收入安排的支出（款）其他国有土地使用权出让收入安排的支出（项）:支出决算数为2,855.00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eastAsia="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eastAsia="zh-CN"/>
        </w:rPr>
        <w:t>2,855.00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eastAsia="zh-CN"/>
        </w:rPr>
        <w:t>100%，主要原因是：</w:t>
      </w:r>
      <w:r>
        <w:rPr>
          <w:rFonts w:hint="eastAsia" w:ascii="仿宋_GB2312" w:hAnsi="仿宋_GB2312" w:eastAsia="仿宋_GB2312" w:cs="仿宋_GB2312"/>
          <w:color w:val="auto"/>
          <w:sz w:val="32"/>
          <w:szCs w:val="32"/>
          <w:highlight w:val="none"/>
          <w:lang w:val="en-US" w:eastAsia="zh-CN"/>
        </w:rPr>
        <w:t>2023年新增</w:t>
      </w:r>
      <w:r>
        <w:rPr>
          <w:rFonts w:hint="eastAsia" w:ascii="仿宋_GB2312" w:hAnsi="仿宋_GB2312" w:eastAsia="仿宋_GB2312" w:cs="仿宋_GB2312"/>
          <w:color w:val="auto"/>
          <w:sz w:val="32"/>
          <w:szCs w:val="32"/>
          <w:highlight w:val="none"/>
          <w:lang w:val="zh-CN" w:eastAsia="zh-CN"/>
        </w:rPr>
        <w:t>高中城PPP项目运营费用，</w:t>
      </w:r>
      <w:r>
        <w:rPr>
          <w:rFonts w:hint="eastAsia" w:ascii="仿宋_GB2312" w:hAnsi="仿宋_GB2312" w:eastAsia="仿宋_GB2312" w:cs="仿宋_GB2312"/>
          <w:color w:val="auto"/>
          <w:sz w:val="32"/>
          <w:szCs w:val="32"/>
          <w:highlight w:val="none"/>
          <w:lang w:val="en-US" w:eastAsia="zh-CN"/>
        </w:rPr>
        <w:t>上年度无此项目</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val="zh-CN" w:eastAsia="zh-CN"/>
        </w:rPr>
        <w:t>本年度无国有资本经营预算财政拨款收入、支出</w:t>
      </w:r>
      <w:r>
        <w:rPr>
          <w:rFonts w:hint="eastAsia" w:ascii="仿宋_GB2312" w:hAnsi="仿宋_GB2312" w:eastAsia="仿宋_GB2312" w:cs="仿宋_GB2312"/>
          <w:color w:val="auto"/>
          <w:sz w:val="32"/>
          <w:szCs w:val="32"/>
          <w:highlight w:val="none"/>
          <w:lang w:val="en-US" w:eastAsia="zh-CN"/>
        </w:rPr>
        <w:t>及结转和结余</w:t>
      </w:r>
      <w:r>
        <w:rPr>
          <w:rFonts w:hint="eastAsia" w:ascii="仿宋_GB2312" w:hAnsi="仿宋_GB2312" w:eastAsia="仿宋_GB2312" w:cs="仿宋_GB2312"/>
          <w:color w:val="auto"/>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66" w:name="_Toc7314"/>
      <w:bookmarkStart w:id="67" w:name="_Toc1235"/>
      <w:r>
        <w:rPr>
          <w:rFonts w:hint="eastAsia" w:ascii="黑体" w:hAnsi="黑体" w:eastAsia="黑体" w:cs="宋体"/>
          <w:bCs/>
          <w:color w:val="auto"/>
          <w:kern w:val="0"/>
          <w:sz w:val="32"/>
          <w:szCs w:val="32"/>
          <w:highlight w:val="none"/>
          <w:lang w:eastAsia="zh-CN"/>
        </w:rPr>
        <w:t>十、其他重要事项的情况说明</w:t>
      </w:r>
      <w:bookmarkEnd w:id="66"/>
      <w:bookmarkEnd w:id="6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bookmarkStart w:id="68" w:name="_Toc13105"/>
      <w:bookmarkStart w:id="69" w:name="_Toc14519"/>
      <w:r>
        <w:rPr>
          <w:rFonts w:hint="eastAsia" w:ascii="黑体" w:hAnsi="黑体" w:eastAsia="黑体"/>
          <w:color w:val="auto"/>
          <w:sz w:val="32"/>
          <w:szCs w:val="32"/>
          <w:highlight w:val="none"/>
          <w:lang w:eastAsia="zh-CN"/>
        </w:rPr>
        <w:t>（一）机关运行经费支出情况</w:t>
      </w:r>
      <w:bookmarkEnd w:id="68"/>
      <w:bookmarkEnd w:id="6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70" w:name="OLE_LINK45"/>
      <w:bookmarkStart w:id="71" w:name="_Toc227"/>
      <w:bookmarkStart w:id="72"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沙湾市教育和科学技术局（行政单位和参照公务员法管理事业单位）机关运行经费支出52.80万元，</w:t>
      </w:r>
      <w:r>
        <w:rPr>
          <w:rFonts w:hint="eastAsia" w:ascii="仿宋_GB2312" w:hAnsi="仿宋_GB2312" w:eastAsia="仿宋_GB2312" w:cs="仿宋_GB2312"/>
          <w:color w:val="auto"/>
          <w:sz w:val="32"/>
          <w:szCs w:val="32"/>
          <w:highlight w:val="none"/>
          <w:lang w:val="zh-CN" w:eastAsia="zh-CN"/>
        </w:rPr>
        <w:t>比上年减少32.84万元，下降38.35%，主要原因是：</w:t>
      </w:r>
      <w:bookmarkStart w:id="73" w:name="OLE_LINK31"/>
      <w:r>
        <w:rPr>
          <w:rFonts w:hint="eastAsia" w:ascii="仿宋_GB2312" w:hAnsi="仿宋_GB2312" w:eastAsia="仿宋_GB2312" w:cs="仿宋_GB2312"/>
          <w:color w:val="auto"/>
          <w:sz w:val="32"/>
          <w:szCs w:val="32"/>
          <w:highlight w:val="none"/>
          <w:lang w:val="en-US" w:eastAsia="zh-CN"/>
        </w:rPr>
        <w:t>2023年取暖费、其他交通费</w:t>
      </w:r>
      <w:bookmarkStart w:id="98" w:name="_GoBack"/>
      <w:bookmarkEnd w:id="98"/>
      <w:r>
        <w:rPr>
          <w:rFonts w:hint="eastAsia" w:ascii="仿宋_GB2312" w:hAnsi="仿宋_GB2312" w:eastAsia="仿宋_GB2312" w:cs="仿宋_GB2312"/>
          <w:color w:val="auto"/>
          <w:sz w:val="32"/>
          <w:szCs w:val="32"/>
          <w:highlight w:val="none"/>
          <w:lang w:val="en-US" w:eastAsia="zh-CN"/>
        </w:rPr>
        <w:t>、劳务费</w:t>
      </w:r>
      <w:bookmarkEnd w:id="73"/>
      <w:r>
        <w:rPr>
          <w:rFonts w:hint="eastAsia" w:ascii="仿宋_GB2312" w:hAnsi="仿宋_GB2312" w:eastAsia="仿宋_GB2312" w:cs="仿宋_GB2312"/>
          <w:color w:val="auto"/>
          <w:sz w:val="32"/>
          <w:szCs w:val="32"/>
          <w:highlight w:val="none"/>
          <w:lang w:val="en-US" w:eastAsia="zh-CN"/>
        </w:rPr>
        <w:t>投入减少</w:t>
      </w:r>
      <w:r>
        <w:rPr>
          <w:rFonts w:hint="eastAsia" w:ascii="仿宋_GB2312" w:hAnsi="仿宋_GB2312" w:eastAsia="仿宋_GB2312" w:cs="仿宋_GB2312"/>
          <w:color w:val="auto"/>
          <w:sz w:val="32"/>
          <w:szCs w:val="32"/>
          <w:highlight w:val="none"/>
          <w:lang w:val="zh-CN" w:eastAsia="zh-CN"/>
        </w:rPr>
        <w:t>。</w:t>
      </w:r>
    </w:p>
    <w:bookmarkEnd w:id="70"/>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74" w:name="OLE_LINK46"/>
      <w:r>
        <w:rPr>
          <w:rFonts w:hint="eastAsia" w:ascii="Times New Roman" w:hAnsi="Times New Roman" w:eastAsia="黑体" w:cs="Times New Roman"/>
          <w:color w:val="auto"/>
          <w:sz w:val="32"/>
          <w:szCs w:val="30"/>
          <w:highlight w:val="none"/>
          <w:lang w:val="zh-CN" w:eastAsia="zh-CN"/>
        </w:rPr>
        <w:t>（二）政府采购情况</w:t>
      </w:r>
      <w:bookmarkEnd w:id="71"/>
      <w:bookmarkEnd w:id="72"/>
    </w:p>
    <w:bookmarkEnd w:id="74"/>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2023年度政府采购支出总额50.35万元，其中：政府采购货物支出33.32万元、政府采购工程支出4.00万元、政府采购服务支出13.03万元。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75" w:name="OLE_LINK47"/>
      <w:r>
        <w:rPr>
          <w:rFonts w:hint="eastAsia" w:ascii="仿宋_GB2312" w:hAnsi="仿宋_GB2312" w:eastAsia="仿宋_GB2312" w:cs="仿宋_GB2312"/>
          <w:color w:val="auto"/>
          <w:sz w:val="32"/>
          <w:szCs w:val="32"/>
          <w:highlight w:val="none"/>
          <w:lang w:val="zh-CN" w:eastAsia="zh-CN"/>
        </w:rPr>
        <w:t>授予中小企业合同金额50.35万元，占政府采购支出总额的100.00%，其中：授予小微企业合同金额50.35万元，占政府采购支出总额的100.00%</w:t>
      </w:r>
      <w:r>
        <w:rPr>
          <w:rFonts w:hint="eastAsia" w:ascii="仿宋_GB2312" w:hAnsi="仿宋_GB2312" w:eastAsia="仿宋_GB2312" w:cs="仿宋_GB2312"/>
          <w:color w:val="auto"/>
          <w:sz w:val="32"/>
          <w:szCs w:val="32"/>
          <w:highlight w:val="none"/>
          <w:lang w:val="en-US" w:eastAsia="zh-CN"/>
        </w:rPr>
        <w:t>。</w:t>
      </w:r>
    </w:p>
    <w:bookmarkEnd w:id="75"/>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76" w:name="_Toc8391"/>
      <w:bookmarkStart w:id="77" w:name="_Toc4591"/>
      <w:r>
        <w:rPr>
          <w:rFonts w:hint="eastAsia" w:ascii="Times New Roman" w:hAnsi="Times New Roman" w:eastAsia="黑体" w:cs="Times New Roman"/>
          <w:color w:val="auto"/>
          <w:sz w:val="32"/>
          <w:szCs w:val="30"/>
          <w:highlight w:val="none"/>
          <w:lang w:val="zh-CN" w:eastAsia="zh-CN"/>
        </w:rPr>
        <w:t>（三）国有资产占用情况说明</w:t>
      </w:r>
      <w:bookmarkEnd w:id="76"/>
      <w:bookmarkEnd w:id="7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3,769.35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屋4,243.43平方米，价值450.48万元。车辆1辆，价值21.36万元，其中：副部（省）级及以上领导用车0辆、主要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hAnsi="仿宋_GB2312" w:eastAsia="仿宋_GB2312" w:cs="仿宋_GB2312"/>
          <w:color w:val="auto"/>
          <w:sz w:val="32"/>
          <w:szCs w:val="32"/>
          <w:highlight w:val="none"/>
          <w:lang w:val="en-US" w:eastAsia="zh-CN"/>
        </w:rPr>
        <w:t>单位业务用车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78" w:name="_Toc11283"/>
      <w:bookmarkStart w:id="7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78"/>
      <w:bookmarkEnd w:id="7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根据预算绩效管理要求，我单位2023年度预算绩效管理整体支出绩效自评表1个，全年预算总额</w:t>
      </w:r>
      <w:r>
        <w:rPr>
          <w:rFonts w:hint="eastAsia" w:ascii="仿宋_GB2312" w:hAnsi="仿宋_GB2312" w:eastAsia="仿宋_GB2312" w:cs="仿宋_GB2312"/>
          <w:color w:val="auto"/>
          <w:sz w:val="32"/>
          <w:szCs w:val="32"/>
          <w:highlight w:val="none"/>
          <w:lang w:val="zh-CN" w:eastAsia="zh-CN"/>
        </w:rPr>
        <w:t>11,399.47</w:t>
      </w:r>
      <w:r>
        <w:rPr>
          <w:rFonts w:hint="eastAsia" w:ascii="仿宋_GB2312" w:hAnsi="仿宋_GB2312" w:eastAsia="仿宋_GB2312" w:cs="仿宋_GB2312"/>
          <w:color w:val="auto"/>
          <w:sz w:val="32"/>
          <w:szCs w:val="32"/>
          <w:highlight w:val="none"/>
          <w:lang w:val="en-US" w:eastAsia="zh-CN"/>
        </w:rPr>
        <w:t>万元，实际执行总额</w:t>
      </w:r>
      <w:r>
        <w:rPr>
          <w:rFonts w:hint="eastAsia" w:ascii="仿宋_GB2312" w:hAnsi="仿宋_GB2312" w:eastAsia="仿宋_GB2312" w:cs="仿宋_GB2312"/>
          <w:color w:val="auto"/>
          <w:sz w:val="32"/>
          <w:szCs w:val="32"/>
          <w:highlight w:val="none"/>
          <w:lang w:val="zh-CN" w:eastAsia="zh-CN"/>
        </w:rPr>
        <w:t>11,399.47</w:t>
      </w:r>
      <w:r>
        <w:rPr>
          <w:rFonts w:hint="eastAsia" w:ascii="仿宋_GB2312" w:hAnsi="仿宋_GB2312" w:eastAsia="仿宋_GB2312" w:cs="仿宋_GB2312"/>
          <w:color w:val="auto"/>
          <w:sz w:val="32"/>
          <w:szCs w:val="32"/>
          <w:highlight w:val="none"/>
          <w:lang w:val="en-US" w:eastAsia="zh-CN"/>
        </w:rPr>
        <w:t>万元；预算绩效评价项目6个，全年预算数</w:t>
      </w:r>
      <w:r>
        <w:rPr>
          <w:rFonts w:hint="eastAsia" w:ascii="仿宋_GB2312" w:hAnsi="仿宋_GB2312" w:eastAsia="仿宋_GB2312" w:cs="仿宋_GB2312"/>
          <w:color w:val="auto"/>
          <w:sz w:val="32"/>
          <w:szCs w:val="32"/>
          <w:highlight w:val="none"/>
          <w:lang w:val="zh-CN" w:eastAsia="zh-CN"/>
        </w:rPr>
        <w:t>1</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201</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78万元，全年执行数</w:t>
      </w:r>
      <w:r>
        <w:rPr>
          <w:rFonts w:hint="eastAsia" w:ascii="仿宋_GB2312" w:hAnsi="仿宋_GB2312" w:eastAsia="仿宋_GB2312" w:cs="仿宋_GB2312"/>
          <w:color w:val="auto"/>
          <w:sz w:val="32"/>
          <w:szCs w:val="32"/>
          <w:highlight w:val="none"/>
          <w:lang w:val="zh-CN" w:eastAsia="zh-CN"/>
        </w:rPr>
        <w:t>1</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201</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78万元，本单位sm项目2个，全年预算数47.32万元，全年执行数47.32万元，不予以公开。预算绩效管理取得的成效：一是通过全面的绩效管理体系，包括事前、事中、事后的评估，确保管理的各个环节都得到有效的控制；二是通过制定明确的绩效目标，定期的绩效评估和反馈，绩效管理帮助教职工实现更高的工作成效。发现的问题及原因：一是编报的绩效目标不科学、不全面；二是对于需要开展绩效评价的项目缺乏跟踪，绩效评估结果存在滞后性。下一步改进措施：一是充分考虑单位的实际情况和特点，制定出具有针对性和可操作性的绩效目标；二是加强对绩效目标的监督和检查，及时对目标完成情况进行评估。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bookmarkStart w:id="80" w:name="_Toc3250"/>
      <w:bookmarkStart w:id="81" w:name="_Toc241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本单位sm项目2个，全年预算数47.32万元，全年执行数47.32万元，不予以公开绩效自评表。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pPr>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Style w:val="2"/>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Style w:val="2"/>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Style w:val="2"/>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p>
    <w:p>
      <w:pPr>
        <w:pageBreakBefore w:val="0"/>
        <w:kinsoku/>
        <w:wordWrap/>
        <w:overflowPunct/>
        <w:topLinePunct w:val="0"/>
        <w:bidi w:val="0"/>
        <w:adjustRightInd/>
        <w:snapToGrid/>
        <w:spacing w:line="240" w:lineRule="auto"/>
        <w:textAlignment w:val="auto"/>
        <w:rPr>
          <w:rFonts w:hint="eastAsia"/>
        </w:rPr>
      </w:pPr>
    </w:p>
    <w:bookmarkEnd w:id="80"/>
    <w:bookmarkEnd w:id="81"/>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2" w:name="_Toc2183"/>
      <w:bookmarkStart w:id="83" w:name="_Toc6062"/>
      <w:r>
        <w:rPr>
          <w:rFonts w:hint="eastAsia" w:ascii="黑体" w:hAnsi="黑体" w:eastAsia="仿宋_GB2312" w:cs="宋体"/>
          <w:bCs/>
          <w:color w:val="auto"/>
          <w:kern w:val="0"/>
          <w:sz w:val="32"/>
          <w:szCs w:val="32"/>
          <w:highlight w:val="none"/>
        </w:rPr>
        <w:t>一、《收入支出决算总表》</w:t>
      </w:r>
      <w:bookmarkEnd w:id="82"/>
      <w:bookmarkEnd w:id="8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4" w:name="_Toc24532"/>
      <w:bookmarkStart w:id="85" w:name="_Toc30364"/>
      <w:r>
        <w:rPr>
          <w:rFonts w:hint="eastAsia" w:ascii="黑体" w:hAnsi="黑体" w:eastAsia="仿宋_GB2312" w:cs="宋体"/>
          <w:bCs/>
          <w:color w:val="auto"/>
          <w:kern w:val="0"/>
          <w:sz w:val="32"/>
          <w:szCs w:val="32"/>
          <w:highlight w:val="none"/>
        </w:rPr>
        <w:t>二、《收入决算表》</w:t>
      </w:r>
      <w:bookmarkEnd w:id="84"/>
      <w:bookmarkEnd w:id="8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6" w:name="_Toc32434"/>
      <w:bookmarkStart w:id="87" w:name="_Toc21304"/>
      <w:r>
        <w:rPr>
          <w:rFonts w:hint="eastAsia" w:ascii="黑体" w:hAnsi="黑体" w:eastAsia="仿宋_GB2312" w:cs="宋体"/>
          <w:bCs/>
          <w:color w:val="auto"/>
          <w:kern w:val="0"/>
          <w:sz w:val="32"/>
          <w:szCs w:val="32"/>
          <w:highlight w:val="none"/>
        </w:rPr>
        <w:t>三、《支出决算表》</w:t>
      </w:r>
      <w:bookmarkEnd w:id="86"/>
      <w:bookmarkEnd w:id="8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8" w:name="_Toc14238"/>
      <w:bookmarkStart w:id="89" w:name="_Toc28786"/>
      <w:r>
        <w:rPr>
          <w:rFonts w:hint="eastAsia" w:ascii="黑体" w:hAnsi="黑体" w:eastAsia="仿宋_GB2312" w:cs="宋体"/>
          <w:bCs/>
          <w:color w:val="auto"/>
          <w:kern w:val="0"/>
          <w:sz w:val="32"/>
          <w:szCs w:val="32"/>
          <w:highlight w:val="none"/>
        </w:rPr>
        <w:t>四、《财政拨款收入支出决算总表》</w:t>
      </w:r>
      <w:bookmarkEnd w:id="88"/>
      <w:bookmarkEnd w:id="8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90" w:name="_Toc14869"/>
      <w:bookmarkStart w:id="91" w:name="_Toc10347"/>
      <w:r>
        <w:rPr>
          <w:rFonts w:hint="eastAsia" w:ascii="黑体" w:hAnsi="黑体" w:eastAsia="仿宋_GB2312" w:cs="宋体"/>
          <w:bCs/>
          <w:color w:val="auto"/>
          <w:kern w:val="0"/>
          <w:sz w:val="32"/>
          <w:szCs w:val="32"/>
          <w:highlight w:val="none"/>
        </w:rPr>
        <w:t>五、《一般公共预算财政拨款支出决算表》</w:t>
      </w:r>
      <w:bookmarkEnd w:id="90"/>
      <w:bookmarkEnd w:id="9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92" w:name="_Toc5626"/>
      <w:bookmarkStart w:id="93" w:name="_Toc8884"/>
      <w:r>
        <w:rPr>
          <w:rFonts w:hint="eastAsia" w:ascii="黑体" w:hAnsi="黑体" w:eastAsia="仿宋_GB2312" w:cs="宋体"/>
          <w:bCs/>
          <w:color w:val="auto"/>
          <w:kern w:val="0"/>
          <w:sz w:val="32"/>
          <w:szCs w:val="32"/>
          <w:highlight w:val="none"/>
        </w:rPr>
        <w:t>六、《一般公共预算财政拨款基本支出决算表》</w:t>
      </w:r>
      <w:bookmarkEnd w:id="92"/>
      <w:bookmarkEnd w:id="9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94" w:name="_Toc32663"/>
      <w:bookmarkStart w:id="95" w:name="_Toc29106"/>
      <w:r>
        <w:rPr>
          <w:rFonts w:hint="eastAsia" w:ascii="黑体" w:hAnsi="黑体" w:eastAsia="仿宋_GB2312" w:cs="宋体"/>
          <w:bCs/>
          <w:color w:val="auto"/>
          <w:kern w:val="0"/>
          <w:sz w:val="32"/>
          <w:szCs w:val="32"/>
          <w:highlight w:val="none"/>
        </w:rPr>
        <w:t>《财政拨款“三公”经费支出决算表》</w:t>
      </w:r>
      <w:bookmarkEnd w:id="94"/>
      <w:bookmarkEnd w:id="9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96" w:name="_Toc7643"/>
      <w:bookmarkStart w:id="97" w:name="_Toc5453"/>
      <w:r>
        <w:rPr>
          <w:rFonts w:hint="eastAsia" w:ascii="黑体" w:hAnsi="黑体" w:eastAsia="仿宋_GB2312" w:cs="宋体"/>
          <w:bCs/>
          <w:color w:val="auto"/>
          <w:kern w:val="0"/>
          <w:sz w:val="32"/>
          <w:szCs w:val="32"/>
          <w:highlight w:val="none"/>
        </w:rPr>
        <w:t>八、《政府性基金预算财政拨款收入支出决算表》</w:t>
      </w:r>
      <w:bookmarkEnd w:id="96"/>
      <w:bookmarkEnd w:id="9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154D07"/>
    <w:rsid w:val="00213C59"/>
    <w:rsid w:val="002D0ED7"/>
    <w:rsid w:val="002E43DA"/>
    <w:rsid w:val="003210CE"/>
    <w:rsid w:val="004E4C8E"/>
    <w:rsid w:val="004F2FE4"/>
    <w:rsid w:val="00502390"/>
    <w:rsid w:val="00513695"/>
    <w:rsid w:val="009E7F11"/>
    <w:rsid w:val="00B420B4"/>
    <w:rsid w:val="00B70D59"/>
    <w:rsid w:val="00C35BAA"/>
    <w:rsid w:val="00DC7661"/>
    <w:rsid w:val="00F52A8D"/>
    <w:rsid w:val="01353907"/>
    <w:rsid w:val="01885910"/>
    <w:rsid w:val="019404F8"/>
    <w:rsid w:val="01995BAA"/>
    <w:rsid w:val="019F6CCD"/>
    <w:rsid w:val="01C012ED"/>
    <w:rsid w:val="01C16D6E"/>
    <w:rsid w:val="01C30B6B"/>
    <w:rsid w:val="01E34CF0"/>
    <w:rsid w:val="01E84A30"/>
    <w:rsid w:val="01ED22F2"/>
    <w:rsid w:val="02215E8E"/>
    <w:rsid w:val="022D3E9F"/>
    <w:rsid w:val="023A0FB7"/>
    <w:rsid w:val="024A1251"/>
    <w:rsid w:val="025B36EA"/>
    <w:rsid w:val="02813929"/>
    <w:rsid w:val="02BD3108"/>
    <w:rsid w:val="02F73D26"/>
    <w:rsid w:val="03225608"/>
    <w:rsid w:val="032D72C5"/>
    <w:rsid w:val="03327ECA"/>
    <w:rsid w:val="034D4FEF"/>
    <w:rsid w:val="035D1785"/>
    <w:rsid w:val="036D00AF"/>
    <w:rsid w:val="03882EE4"/>
    <w:rsid w:val="039F47CE"/>
    <w:rsid w:val="03BD1DE3"/>
    <w:rsid w:val="03BD5310"/>
    <w:rsid w:val="03D06ACE"/>
    <w:rsid w:val="03E05CE8"/>
    <w:rsid w:val="03E60C72"/>
    <w:rsid w:val="03F973EE"/>
    <w:rsid w:val="043E5B56"/>
    <w:rsid w:val="045E5439"/>
    <w:rsid w:val="046509B1"/>
    <w:rsid w:val="04A26E27"/>
    <w:rsid w:val="04AD51B8"/>
    <w:rsid w:val="04B86DCC"/>
    <w:rsid w:val="04C04386"/>
    <w:rsid w:val="04CF69F1"/>
    <w:rsid w:val="04D1736D"/>
    <w:rsid w:val="04D96608"/>
    <w:rsid w:val="04F210E4"/>
    <w:rsid w:val="04FA68C4"/>
    <w:rsid w:val="053F5AE6"/>
    <w:rsid w:val="056004DF"/>
    <w:rsid w:val="057C0B0F"/>
    <w:rsid w:val="05B74771"/>
    <w:rsid w:val="05B97C74"/>
    <w:rsid w:val="05BA1E72"/>
    <w:rsid w:val="05C075FF"/>
    <w:rsid w:val="05CA5990"/>
    <w:rsid w:val="05CE4396"/>
    <w:rsid w:val="05EF4B48"/>
    <w:rsid w:val="05F76ECA"/>
    <w:rsid w:val="06183A24"/>
    <w:rsid w:val="06285D29"/>
    <w:rsid w:val="06296F2E"/>
    <w:rsid w:val="064033D0"/>
    <w:rsid w:val="064552D9"/>
    <w:rsid w:val="06792773"/>
    <w:rsid w:val="06AF2FF0"/>
    <w:rsid w:val="06FD4A88"/>
    <w:rsid w:val="06FD75CA"/>
    <w:rsid w:val="07093795"/>
    <w:rsid w:val="074A10F7"/>
    <w:rsid w:val="07510C8F"/>
    <w:rsid w:val="075765C1"/>
    <w:rsid w:val="076034A7"/>
    <w:rsid w:val="077E0859"/>
    <w:rsid w:val="077E62DB"/>
    <w:rsid w:val="07804730"/>
    <w:rsid w:val="0781725F"/>
    <w:rsid w:val="079052BE"/>
    <w:rsid w:val="07CC188F"/>
    <w:rsid w:val="07FD6BA9"/>
    <w:rsid w:val="08145C21"/>
    <w:rsid w:val="081751D4"/>
    <w:rsid w:val="083874DE"/>
    <w:rsid w:val="08422688"/>
    <w:rsid w:val="084D7C2D"/>
    <w:rsid w:val="085262B3"/>
    <w:rsid w:val="085854ED"/>
    <w:rsid w:val="0879188F"/>
    <w:rsid w:val="089944A9"/>
    <w:rsid w:val="089A7D2C"/>
    <w:rsid w:val="08A0354D"/>
    <w:rsid w:val="08AA7FC6"/>
    <w:rsid w:val="08AB21C5"/>
    <w:rsid w:val="08AE68A1"/>
    <w:rsid w:val="08CD4C49"/>
    <w:rsid w:val="08E71A81"/>
    <w:rsid w:val="09002F54"/>
    <w:rsid w:val="090F576C"/>
    <w:rsid w:val="09114954"/>
    <w:rsid w:val="09511A59"/>
    <w:rsid w:val="09575B61"/>
    <w:rsid w:val="095A5B83"/>
    <w:rsid w:val="096466E3"/>
    <w:rsid w:val="096628F8"/>
    <w:rsid w:val="0968304D"/>
    <w:rsid w:val="09706A8B"/>
    <w:rsid w:val="09906FBF"/>
    <w:rsid w:val="09AF3D17"/>
    <w:rsid w:val="09C06FB8"/>
    <w:rsid w:val="09C74F1B"/>
    <w:rsid w:val="09CB009E"/>
    <w:rsid w:val="09DB3BBB"/>
    <w:rsid w:val="09DC5DBA"/>
    <w:rsid w:val="09DE4B40"/>
    <w:rsid w:val="09EA4D1A"/>
    <w:rsid w:val="0A0809D0"/>
    <w:rsid w:val="0A7809B7"/>
    <w:rsid w:val="0A7B4867"/>
    <w:rsid w:val="0A7C3745"/>
    <w:rsid w:val="0A840954"/>
    <w:rsid w:val="0A8E19B4"/>
    <w:rsid w:val="0A9928ED"/>
    <w:rsid w:val="0A9A3480"/>
    <w:rsid w:val="0B0C1D2F"/>
    <w:rsid w:val="0B486311"/>
    <w:rsid w:val="0B61769D"/>
    <w:rsid w:val="0B8C3ECC"/>
    <w:rsid w:val="0B9C639D"/>
    <w:rsid w:val="0BB052B2"/>
    <w:rsid w:val="0BB337C2"/>
    <w:rsid w:val="0BD33FFC"/>
    <w:rsid w:val="0BE3070D"/>
    <w:rsid w:val="0BE80418"/>
    <w:rsid w:val="0BE97AC1"/>
    <w:rsid w:val="0BEF7DA3"/>
    <w:rsid w:val="0BF20D28"/>
    <w:rsid w:val="0C1C4780"/>
    <w:rsid w:val="0C3613A3"/>
    <w:rsid w:val="0C37177F"/>
    <w:rsid w:val="0C5E519C"/>
    <w:rsid w:val="0C5E5E59"/>
    <w:rsid w:val="0C5F38DA"/>
    <w:rsid w:val="0C7227A7"/>
    <w:rsid w:val="0CA52EE8"/>
    <w:rsid w:val="0CA73CCE"/>
    <w:rsid w:val="0CA971D2"/>
    <w:rsid w:val="0CBD6988"/>
    <w:rsid w:val="0CD208AC"/>
    <w:rsid w:val="0D131E75"/>
    <w:rsid w:val="0D172DAA"/>
    <w:rsid w:val="0D447356"/>
    <w:rsid w:val="0D4903E8"/>
    <w:rsid w:val="0D697610"/>
    <w:rsid w:val="0D7A4A46"/>
    <w:rsid w:val="0D822738"/>
    <w:rsid w:val="0DAC357C"/>
    <w:rsid w:val="0DC444A6"/>
    <w:rsid w:val="0DE85960"/>
    <w:rsid w:val="0DFF5585"/>
    <w:rsid w:val="0E5F3020"/>
    <w:rsid w:val="0E640559"/>
    <w:rsid w:val="0E747BEE"/>
    <w:rsid w:val="0E860CE1"/>
    <w:rsid w:val="0E920377"/>
    <w:rsid w:val="0E94666E"/>
    <w:rsid w:val="0EDB61ED"/>
    <w:rsid w:val="0EE235F9"/>
    <w:rsid w:val="0EF75EAA"/>
    <w:rsid w:val="0EF91020"/>
    <w:rsid w:val="0F1113DA"/>
    <w:rsid w:val="0F2804EA"/>
    <w:rsid w:val="0F342DE5"/>
    <w:rsid w:val="0F5373B5"/>
    <w:rsid w:val="0F671654"/>
    <w:rsid w:val="0F7718EE"/>
    <w:rsid w:val="0F78534A"/>
    <w:rsid w:val="0F89358A"/>
    <w:rsid w:val="0F8C6010"/>
    <w:rsid w:val="0F8C6D51"/>
    <w:rsid w:val="0FA42B58"/>
    <w:rsid w:val="0FAB3042"/>
    <w:rsid w:val="0FB41753"/>
    <w:rsid w:val="0FC24F0B"/>
    <w:rsid w:val="0FC53BEC"/>
    <w:rsid w:val="0FD15480"/>
    <w:rsid w:val="0FDF0019"/>
    <w:rsid w:val="0FF110E2"/>
    <w:rsid w:val="0FF137B6"/>
    <w:rsid w:val="103764A9"/>
    <w:rsid w:val="104457BF"/>
    <w:rsid w:val="10460CC2"/>
    <w:rsid w:val="105B0B5E"/>
    <w:rsid w:val="10856228"/>
    <w:rsid w:val="10BA31FF"/>
    <w:rsid w:val="111853D5"/>
    <w:rsid w:val="111D76A0"/>
    <w:rsid w:val="11296D36"/>
    <w:rsid w:val="112E58D0"/>
    <w:rsid w:val="11647E15"/>
    <w:rsid w:val="11666B9B"/>
    <w:rsid w:val="11731CAC"/>
    <w:rsid w:val="1184614B"/>
    <w:rsid w:val="11937A29"/>
    <w:rsid w:val="119500A0"/>
    <w:rsid w:val="11AA5EC1"/>
    <w:rsid w:val="11C0733B"/>
    <w:rsid w:val="11D50D17"/>
    <w:rsid w:val="11DC67DA"/>
    <w:rsid w:val="11EC0FF2"/>
    <w:rsid w:val="120E0809"/>
    <w:rsid w:val="12324FEA"/>
    <w:rsid w:val="125E1331"/>
    <w:rsid w:val="127F665A"/>
    <w:rsid w:val="128D0B7C"/>
    <w:rsid w:val="12943D8A"/>
    <w:rsid w:val="129F4319"/>
    <w:rsid w:val="12DE7681"/>
    <w:rsid w:val="12E65D92"/>
    <w:rsid w:val="12F7068C"/>
    <w:rsid w:val="12FE7BB6"/>
    <w:rsid w:val="13141D5A"/>
    <w:rsid w:val="134A0035"/>
    <w:rsid w:val="13584DCD"/>
    <w:rsid w:val="14207DC0"/>
    <w:rsid w:val="1424635F"/>
    <w:rsid w:val="143C08C2"/>
    <w:rsid w:val="14522A66"/>
    <w:rsid w:val="14732F9B"/>
    <w:rsid w:val="14851339"/>
    <w:rsid w:val="148A6443"/>
    <w:rsid w:val="148F28CB"/>
    <w:rsid w:val="14977CD7"/>
    <w:rsid w:val="14990947"/>
    <w:rsid w:val="14B932DA"/>
    <w:rsid w:val="14D80741"/>
    <w:rsid w:val="14F40071"/>
    <w:rsid w:val="150A66AF"/>
    <w:rsid w:val="151F0EB5"/>
    <w:rsid w:val="154417D1"/>
    <w:rsid w:val="154C1139"/>
    <w:rsid w:val="154C6CC8"/>
    <w:rsid w:val="1571543C"/>
    <w:rsid w:val="157518C4"/>
    <w:rsid w:val="158C5B77"/>
    <w:rsid w:val="15AE749F"/>
    <w:rsid w:val="15B648AC"/>
    <w:rsid w:val="15C603C9"/>
    <w:rsid w:val="160D1149"/>
    <w:rsid w:val="161539CC"/>
    <w:rsid w:val="161A7E53"/>
    <w:rsid w:val="16232CE1"/>
    <w:rsid w:val="163563C0"/>
    <w:rsid w:val="164315EF"/>
    <w:rsid w:val="16557DFE"/>
    <w:rsid w:val="165669B3"/>
    <w:rsid w:val="165B386F"/>
    <w:rsid w:val="166B30D5"/>
    <w:rsid w:val="167268FB"/>
    <w:rsid w:val="16770D0A"/>
    <w:rsid w:val="1677420B"/>
    <w:rsid w:val="167C6BF3"/>
    <w:rsid w:val="16922F95"/>
    <w:rsid w:val="16984E9E"/>
    <w:rsid w:val="169A0039"/>
    <w:rsid w:val="16B87951"/>
    <w:rsid w:val="16D50C50"/>
    <w:rsid w:val="16DF3094"/>
    <w:rsid w:val="16E120E1"/>
    <w:rsid w:val="16E73D24"/>
    <w:rsid w:val="16EF58AD"/>
    <w:rsid w:val="171C2BE3"/>
    <w:rsid w:val="17385A05"/>
    <w:rsid w:val="173B3901"/>
    <w:rsid w:val="176747F9"/>
    <w:rsid w:val="178A7CAA"/>
    <w:rsid w:val="17954A6E"/>
    <w:rsid w:val="17995D46"/>
    <w:rsid w:val="17A708DF"/>
    <w:rsid w:val="17BE2C86"/>
    <w:rsid w:val="17F376D9"/>
    <w:rsid w:val="180059E9"/>
    <w:rsid w:val="18220228"/>
    <w:rsid w:val="184510FD"/>
    <w:rsid w:val="184F0EEE"/>
    <w:rsid w:val="188859CE"/>
    <w:rsid w:val="188C1E56"/>
    <w:rsid w:val="18962766"/>
    <w:rsid w:val="189E7B72"/>
    <w:rsid w:val="18A03075"/>
    <w:rsid w:val="18E20C4A"/>
    <w:rsid w:val="190648B0"/>
    <w:rsid w:val="19071D6C"/>
    <w:rsid w:val="1923584D"/>
    <w:rsid w:val="196D6F46"/>
    <w:rsid w:val="19C21476"/>
    <w:rsid w:val="19D26CD4"/>
    <w:rsid w:val="19E60D19"/>
    <w:rsid w:val="1A16195D"/>
    <w:rsid w:val="1A307EBA"/>
    <w:rsid w:val="1A3E3450"/>
    <w:rsid w:val="1A736649"/>
    <w:rsid w:val="1A7C1301"/>
    <w:rsid w:val="1A873F36"/>
    <w:rsid w:val="1A8A3B0A"/>
    <w:rsid w:val="1AA21541"/>
    <w:rsid w:val="1AA9008A"/>
    <w:rsid w:val="1AD807E5"/>
    <w:rsid w:val="1B057F61"/>
    <w:rsid w:val="1B39345B"/>
    <w:rsid w:val="1B59326E"/>
    <w:rsid w:val="1BBC12E0"/>
    <w:rsid w:val="1BE52E52"/>
    <w:rsid w:val="1BFB2A1F"/>
    <w:rsid w:val="1C015D4A"/>
    <w:rsid w:val="1C166EA4"/>
    <w:rsid w:val="1C290ED5"/>
    <w:rsid w:val="1C317E4F"/>
    <w:rsid w:val="1C3560D4"/>
    <w:rsid w:val="1C3773D9"/>
    <w:rsid w:val="1C472464"/>
    <w:rsid w:val="1C754538"/>
    <w:rsid w:val="1C7F3E27"/>
    <w:rsid w:val="1CDC7B67"/>
    <w:rsid w:val="1CEB0181"/>
    <w:rsid w:val="1CFD391F"/>
    <w:rsid w:val="1D22799A"/>
    <w:rsid w:val="1D2821E4"/>
    <w:rsid w:val="1D5C1A72"/>
    <w:rsid w:val="1DAF458D"/>
    <w:rsid w:val="1DC60DE9"/>
    <w:rsid w:val="1E086ACE"/>
    <w:rsid w:val="1E11752C"/>
    <w:rsid w:val="1E1A3BF3"/>
    <w:rsid w:val="1E4D4545"/>
    <w:rsid w:val="1E5054CA"/>
    <w:rsid w:val="1E5673D3"/>
    <w:rsid w:val="1E574E55"/>
    <w:rsid w:val="1E5828D6"/>
    <w:rsid w:val="1E62130A"/>
    <w:rsid w:val="1E624F1B"/>
    <w:rsid w:val="1E707F7D"/>
    <w:rsid w:val="1E854F78"/>
    <w:rsid w:val="1E9364A8"/>
    <w:rsid w:val="1E97358B"/>
    <w:rsid w:val="1E975C3E"/>
    <w:rsid w:val="1EAA4A5F"/>
    <w:rsid w:val="1EBF50EA"/>
    <w:rsid w:val="1EE869A7"/>
    <w:rsid w:val="1EFC55E3"/>
    <w:rsid w:val="1F001DEB"/>
    <w:rsid w:val="1F061775"/>
    <w:rsid w:val="1F0F0D80"/>
    <w:rsid w:val="1F102085"/>
    <w:rsid w:val="1F3F37CF"/>
    <w:rsid w:val="1F674C92"/>
    <w:rsid w:val="1F8F5398"/>
    <w:rsid w:val="1FA15E62"/>
    <w:rsid w:val="1FBB7F9F"/>
    <w:rsid w:val="1FED69B6"/>
    <w:rsid w:val="20294D50"/>
    <w:rsid w:val="20314D56"/>
    <w:rsid w:val="204E6C50"/>
    <w:rsid w:val="2064678E"/>
    <w:rsid w:val="20731CCC"/>
    <w:rsid w:val="20764E4F"/>
    <w:rsid w:val="207B2899"/>
    <w:rsid w:val="207D4F91"/>
    <w:rsid w:val="20831F67"/>
    <w:rsid w:val="209A1B8C"/>
    <w:rsid w:val="209B760D"/>
    <w:rsid w:val="20C305A3"/>
    <w:rsid w:val="20DC1AB9"/>
    <w:rsid w:val="20DD6197"/>
    <w:rsid w:val="210F3B35"/>
    <w:rsid w:val="212631E0"/>
    <w:rsid w:val="21271830"/>
    <w:rsid w:val="2138666F"/>
    <w:rsid w:val="21742080"/>
    <w:rsid w:val="217649F2"/>
    <w:rsid w:val="21A06EBB"/>
    <w:rsid w:val="21A223BE"/>
    <w:rsid w:val="21A26B3B"/>
    <w:rsid w:val="21A53757"/>
    <w:rsid w:val="21B76AE0"/>
    <w:rsid w:val="21E17924"/>
    <w:rsid w:val="21F879E1"/>
    <w:rsid w:val="22050DDE"/>
    <w:rsid w:val="221236C6"/>
    <w:rsid w:val="221D3ACE"/>
    <w:rsid w:val="22451BC7"/>
    <w:rsid w:val="225113BF"/>
    <w:rsid w:val="22A57662"/>
    <w:rsid w:val="22C73B28"/>
    <w:rsid w:val="22D7662C"/>
    <w:rsid w:val="23046782"/>
    <w:rsid w:val="230B288A"/>
    <w:rsid w:val="23326B7F"/>
    <w:rsid w:val="23400B66"/>
    <w:rsid w:val="23520A80"/>
    <w:rsid w:val="2363459D"/>
    <w:rsid w:val="23680A25"/>
    <w:rsid w:val="237F2849"/>
    <w:rsid w:val="2380045B"/>
    <w:rsid w:val="239D567C"/>
    <w:rsid w:val="23AD6926"/>
    <w:rsid w:val="23B5465B"/>
    <w:rsid w:val="23B9752B"/>
    <w:rsid w:val="23BC04D2"/>
    <w:rsid w:val="23C56D4C"/>
    <w:rsid w:val="23EF1892"/>
    <w:rsid w:val="241B3D4C"/>
    <w:rsid w:val="24220A49"/>
    <w:rsid w:val="244B0C98"/>
    <w:rsid w:val="24805BEB"/>
    <w:rsid w:val="2483647E"/>
    <w:rsid w:val="24836BF3"/>
    <w:rsid w:val="249B429A"/>
    <w:rsid w:val="24A32D55"/>
    <w:rsid w:val="24BC5AD3"/>
    <w:rsid w:val="24CE6D9A"/>
    <w:rsid w:val="24FA33BA"/>
    <w:rsid w:val="25292727"/>
    <w:rsid w:val="252E5CA9"/>
    <w:rsid w:val="253E2BAA"/>
    <w:rsid w:val="254B663C"/>
    <w:rsid w:val="256C23F4"/>
    <w:rsid w:val="256F7692"/>
    <w:rsid w:val="25702FF9"/>
    <w:rsid w:val="25A228CE"/>
    <w:rsid w:val="25BA2154"/>
    <w:rsid w:val="25C8773F"/>
    <w:rsid w:val="25C9278E"/>
    <w:rsid w:val="25E17E34"/>
    <w:rsid w:val="25E707F7"/>
    <w:rsid w:val="2604386C"/>
    <w:rsid w:val="26085AF6"/>
    <w:rsid w:val="26235823"/>
    <w:rsid w:val="2649655F"/>
    <w:rsid w:val="264A7253"/>
    <w:rsid w:val="2666008D"/>
    <w:rsid w:val="26A3466F"/>
    <w:rsid w:val="26B26802"/>
    <w:rsid w:val="26F0170C"/>
    <w:rsid w:val="26F234F5"/>
    <w:rsid w:val="26FE3B9A"/>
    <w:rsid w:val="2700280A"/>
    <w:rsid w:val="271B68B7"/>
    <w:rsid w:val="27201D62"/>
    <w:rsid w:val="27286E73"/>
    <w:rsid w:val="2736662D"/>
    <w:rsid w:val="27555798"/>
    <w:rsid w:val="27896EEB"/>
    <w:rsid w:val="27CF2642"/>
    <w:rsid w:val="27CF341E"/>
    <w:rsid w:val="27E61803"/>
    <w:rsid w:val="27E777F5"/>
    <w:rsid w:val="27EA1D4C"/>
    <w:rsid w:val="27EA2E41"/>
    <w:rsid w:val="28067B3A"/>
    <w:rsid w:val="280B3FC1"/>
    <w:rsid w:val="28152353"/>
    <w:rsid w:val="282459E2"/>
    <w:rsid w:val="283A7FE5"/>
    <w:rsid w:val="285F51FF"/>
    <w:rsid w:val="28645B96"/>
    <w:rsid w:val="2891771E"/>
    <w:rsid w:val="28932C21"/>
    <w:rsid w:val="28AC5D49"/>
    <w:rsid w:val="28CE7583"/>
    <w:rsid w:val="28D66C18"/>
    <w:rsid w:val="28DA4193"/>
    <w:rsid w:val="28DF2665"/>
    <w:rsid w:val="28F94200"/>
    <w:rsid w:val="29072599"/>
    <w:rsid w:val="290B3B64"/>
    <w:rsid w:val="291029F3"/>
    <w:rsid w:val="29182E7A"/>
    <w:rsid w:val="2936242A"/>
    <w:rsid w:val="294007BB"/>
    <w:rsid w:val="29521D5A"/>
    <w:rsid w:val="295F1070"/>
    <w:rsid w:val="299F65D6"/>
    <w:rsid w:val="29A92769"/>
    <w:rsid w:val="29B92AA9"/>
    <w:rsid w:val="29CB58F0"/>
    <w:rsid w:val="29FF3178"/>
    <w:rsid w:val="2A053397"/>
    <w:rsid w:val="2A145E96"/>
    <w:rsid w:val="2A2131BB"/>
    <w:rsid w:val="2A273037"/>
    <w:rsid w:val="2A3F06DE"/>
    <w:rsid w:val="2A600F69"/>
    <w:rsid w:val="2A9845F0"/>
    <w:rsid w:val="2AE17EE7"/>
    <w:rsid w:val="2AE6436F"/>
    <w:rsid w:val="2AEE4FFE"/>
    <w:rsid w:val="2AF5378F"/>
    <w:rsid w:val="2AFC4314"/>
    <w:rsid w:val="2B430500"/>
    <w:rsid w:val="2B4C5398"/>
    <w:rsid w:val="2B5A68AC"/>
    <w:rsid w:val="2B5B7F5A"/>
    <w:rsid w:val="2B7B4862"/>
    <w:rsid w:val="2BB172BB"/>
    <w:rsid w:val="2BB205C0"/>
    <w:rsid w:val="2BB94DBF"/>
    <w:rsid w:val="2BC43D5D"/>
    <w:rsid w:val="2BD46751"/>
    <w:rsid w:val="2BE2330D"/>
    <w:rsid w:val="2BF37410"/>
    <w:rsid w:val="2BFD1938"/>
    <w:rsid w:val="2C6F314E"/>
    <w:rsid w:val="2CC206BE"/>
    <w:rsid w:val="2CDD6A28"/>
    <w:rsid w:val="2D1136DF"/>
    <w:rsid w:val="2D20606D"/>
    <w:rsid w:val="2D2E0DB1"/>
    <w:rsid w:val="2D5708F0"/>
    <w:rsid w:val="2D5720E6"/>
    <w:rsid w:val="2D6729FE"/>
    <w:rsid w:val="2D9774DB"/>
    <w:rsid w:val="2DB87198"/>
    <w:rsid w:val="2DB93C54"/>
    <w:rsid w:val="2DCD5AEA"/>
    <w:rsid w:val="2E3D144C"/>
    <w:rsid w:val="2E7D64D4"/>
    <w:rsid w:val="2E81295C"/>
    <w:rsid w:val="2E891204"/>
    <w:rsid w:val="2E8C0CED"/>
    <w:rsid w:val="2E9615FD"/>
    <w:rsid w:val="2EB156AA"/>
    <w:rsid w:val="2EB930E5"/>
    <w:rsid w:val="2EEF770D"/>
    <w:rsid w:val="2F1269C8"/>
    <w:rsid w:val="2F3F0A28"/>
    <w:rsid w:val="2F432331"/>
    <w:rsid w:val="2F7C05F5"/>
    <w:rsid w:val="2FAC3343"/>
    <w:rsid w:val="2FBF7029"/>
    <w:rsid w:val="2FD0187F"/>
    <w:rsid w:val="2FD27414"/>
    <w:rsid w:val="2FF624BE"/>
    <w:rsid w:val="2FFE314D"/>
    <w:rsid w:val="2FFE4BB0"/>
    <w:rsid w:val="300E7B60"/>
    <w:rsid w:val="300F6E18"/>
    <w:rsid w:val="3011793A"/>
    <w:rsid w:val="301D017F"/>
    <w:rsid w:val="306B247C"/>
    <w:rsid w:val="30862F5F"/>
    <w:rsid w:val="308A2D31"/>
    <w:rsid w:val="30A4775A"/>
    <w:rsid w:val="312A4E39"/>
    <w:rsid w:val="314029C9"/>
    <w:rsid w:val="31414A5E"/>
    <w:rsid w:val="31507B55"/>
    <w:rsid w:val="31514CF8"/>
    <w:rsid w:val="31557E7B"/>
    <w:rsid w:val="315B7806"/>
    <w:rsid w:val="316B58A2"/>
    <w:rsid w:val="31B3151A"/>
    <w:rsid w:val="31C63837"/>
    <w:rsid w:val="31C64CB7"/>
    <w:rsid w:val="31C82E39"/>
    <w:rsid w:val="31F9420D"/>
    <w:rsid w:val="323D2377"/>
    <w:rsid w:val="32601BAD"/>
    <w:rsid w:val="32732851"/>
    <w:rsid w:val="328D6C7F"/>
    <w:rsid w:val="329846E0"/>
    <w:rsid w:val="329F6389"/>
    <w:rsid w:val="32C600DD"/>
    <w:rsid w:val="32C92877"/>
    <w:rsid w:val="32D87FF7"/>
    <w:rsid w:val="32DD7D02"/>
    <w:rsid w:val="32DE5784"/>
    <w:rsid w:val="32F9052C"/>
    <w:rsid w:val="32F96AA8"/>
    <w:rsid w:val="3332520E"/>
    <w:rsid w:val="3345642D"/>
    <w:rsid w:val="33571BCB"/>
    <w:rsid w:val="3389023A"/>
    <w:rsid w:val="33927E77"/>
    <w:rsid w:val="33BE2874"/>
    <w:rsid w:val="33CB74FA"/>
    <w:rsid w:val="340145E2"/>
    <w:rsid w:val="340B4EF1"/>
    <w:rsid w:val="341C2C0D"/>
    <w:rsid w:val="343642F2"/>
    <w:rsid w:val="343F3010"/>
    <w:rsid w:val="345D0A00"/>
    <w:rsid w:val="346C3C91"/>
    <w:rsid w:val="34713BFD"/>
    <w:rsid w:val="34C13589"/>
    <w:rsid w:val="34DC77C8"/>
    <w:rsid w:val="35030A35"/>
    <w:rsid w:val="35137922"/>
    <w:rsid w:val="353369E3"/>
    <w:rsid w:val="356B5DB2"/>
    <w:rsid w:val="357C1C03"/>
    <w:rsid w:val="35861C23"/>
    <w:rsid w:val="35B21E0B"/>
    <w:rsid w:val="35BE4538"/>
    <w:rsid w:val="35D61BDE"/>
    <w:rsid w:val="35E00D72"/>
    <w:rsid w:val="35E023B0"/>
    <w:rsid w:val="365C69BF"/>
    <w:rsid w:val="367130E2"/>
    <w:rsid w:val="36720B63"/>
    <w:rsid w:val="36863F80"/>
    <w:rsid w:val="36965B9D"/>
    <w:rsid w:val="36B95597"/>
    <w:rsid w:val="36C549FD"/>
    <w:rsid w:val="36F05BAE"/>
    <w:rsid w:val="370A6758"/>
    <w:rsid w:val="371D5B20"/>
    <w:rsid w:val="374878C2"/>
    <w:rsid w:val="3778260F"/>
    <w:rsid w:val="37980946"/>
    <w:rsid w:val="37A755DD"/>
    <w:rsid w:val="37BD5302"/>
    <w:rsid w:val="37D8392D"/>
    <w:rsid w:val="37F33BFE"/>
    <w:rsid w:val="37F94FA0"/>
    <w:rsid w:val="380A7980"/>
    <w:rsid w:val="380D3381"/>
    <w:rsid w:val="380F1889"/>
    <w:rsid w:val="38115B1F"/>
    <w:rsid w:val="381F0910"/>
    <w:rsid w:val="385E3AC3"/>
    <w:rsid w:val="386A0A82"/>
    <w:rsid w:val="386E3E21"/>
    <w:rsid w:val="387D6B9E"/>
    <w:rsid w:val="387E40BB"/>
    <w:rsid w:val="38A058F5"/>
    <w:rsid w:val="38B75FF0"/>
    <w:rsid w:val="38CB41BA"/>
    <w:rsid w:val="38D45016"/>
    <w:rsid w:val="38D90432"/>
    <w:rsid w:val="39037B98"/>
    <w:rsid w:val="3914510A"/>
    <w:rsid w:val="3926770B"/>
    <w:rsid w:val="39284554"/>
    <w:rsid w:val="396046AE"/>
    <w:rsid w:val="39764653"/>
    <w:rsid w:val="397F7943"/>
    <w:rsid w:val="3982065B"/>
    <w:rsid w:val="398D3668"/>
    <w:rsid w:val="39923F83"/>
    <w:rsid w:val="3997260A"/>
    <w:rsid w:val="39A1679C"/>
    <w:rsid w:val="39AF6EAC"/>
    <w:rsid w:val="39D46BEB"/>
    <w:rsid w:val="39DA0497"/>
    <w:rsid w:val="3A1B7251"/>
    <w:rsid w:val="3A21256E"/>
    <w:rsid w:val="3A286675"/>
    <w:rsid w:val="3A3A5696"/>
    <w:rsid w:val="3A46672E"/>
    <w:rsid w:val="3A5926C8"/>
    <w:rsid w:val="3A7C1983"/>
    <w:rsid w:val="3A83350C"/>
    <w:rsid w:val="3A890C98"/>
    <w:rsid w:val="3A893816"/>
    <w:rsid w:val="3A893B6D"/>
    <w:rsid w:val="3A8A671A"/>
    <w:rsid w:val="3A954AAB"/>
    <w:rsid w:val="3AA149DF"/>
    <w:rsid w:val="3ACE0108"/>
    <w:rsid w:val="3AD1763A"/>
    <w:rsid w:val="3B196883"/>
    <w:rsid w:val="3B6716E3"/>
    <w:rsid w:val="3B6B36BF"/>
    <w:rsid w:val="3B6C6B2D"/>
    <w:rsid w:val="3BA313E5"/>
    <w:rsid w:val="3BB064FC"/>
    <w:rsid w:val="3BFD2D78"/>
    <w:rsid w:val="3C042703"/>
    <w:rsid w:val="3C0A7E90"/>
    <w:rsid w:val="3C242659"/>
    <w:rsid w:val="3C5B6995"/>
    <w:rsid w:val="3C682428"/>
    <w:rsid w:val="3C7A1448"/>
    <w:rsid w:val="3C96719C"/>
    <w:rsid w:val="3CA72BE8"/>
    <w:rsid w:val="3CD15CE2"/>
    <w:rsid w:val="3CD662DF"/>
    <w:rsid w:val="3CDC1E1E"/>
    <w:rsid w:val="3CF37F8C"/>
    <w:rsid w:val="3D137554"/>
    <w:rsid w:val="3D49081C"/>
    <w:rsid w:val="3D4E4CA4"/>
    <w:rsid w:val="3D5275AC"/>
    <w:rsid w:val="3DCC2473"/>
    <w:rsid w:val="3DEB0883"/>
    <w:rsid w:val="3DF876BB"/>
    <w:rsid w:val="3E164CD4"/>
    <w:rsid w:val="3E2527BF"/>
    <w:rsid w:val="3E3C2FD9"/>
    <w:rsid w:val="3E3E45AC"/>
    <w:rsid w:val="3E5E28E2"/>
    <w:rsid w:val="3E70484C"/>
    <w:rsid w:val="3E731662"/>
    <w:rsid w:val="3E800899"/>
    <w:rsid w:val="3E8168DD"/>
    <w:rsid w:val="3E9C23C7"/>
    <w:rsid w:val="3EA7725F"/>
    <w:rsid w:val="3EB03713"/>
    <w:rsid w:val="3EBF1A11"/>
    <w:rsid w:val="3EC52607"/>
    <w:rsid w:val="3ED53826"/>
    <w:rsid w:val="3ED57FA3"/>
    <w:rsid w:val="3EE65CBF"/>
    <w:rsid w:val="3EEC6CEF"/>
    <w:rsid w:val="3F0355EF"/>
    <w:rsid w:val="3F183429"/>
    <w:rsid w:val="3F3A354A"/>
    <w:rsid w:val="3F422A57"/>
    <w:rsid w:val="3F4831D6"/>
    <w:rsid w:val="3F4C2EB0"/>
    <w:rsid w:val="3F4C6CE8"/>
    <w:rsid w:val="3F5617F6"/>
    <w:rsid w:val="3FA21C75"/>
    <w:rsid w:val="3FB77A1D"/>
    <w:rsid w:val="3FC329EB"/>
    <w:rsid w:val="3FDC3674"/>
    <w:rsid w:val="3FE40160"/>
    <w:rsid w:val="3FEC556C"/>
    <w:rsid w:val="3FED7F8A"/>
    <w:rsid w:val="3FF638FD"/>
    <w:rsid w:val="40094AEF"/>
    <w:rsid w:val="405470BD"/>
    <w:rsid w:val="40794A29"/>
    <w:rsid w:val="40834692"/>
    <w:rsid w:val="40980F08"/>
    <w:rsid w:val="409D6C45"/>
    <w:rsid w:val="40E42635"/>
    <w:rsid w:val="41271A71"/>
    <w:rsid w:val="41356808"/>
    <w:rsid w:val="413F7118"/>
    <w:rsid w:val="41431AD5"/>
    <w:rsid w:val="414B3C0F"/>
    <w:rsid w:val="417C1CE7"/>
    <w:rsid w:val="41900018"/>
    <w:rsid w:val="41944406"/>
    <w:rsid w:val="419D1699"/>
    <w:rsid w:val="41CE128F"/>
    <w:rsid w:val="41DA6F12"/>
    <w:rsid w:val="42171FB1"/>
    <w:rsid w:val="421C6B06"/>
    <w:rsid w:val="42232C0D"/>
    <w:rsid w:val="42652D50"/>
    <w:rsid w:val="426E780A"/>
    <w:rsid w:val="427774C5"/>
    <w:rsid w:val="42845230"/>
    <w:rsid w:val="42C10D7B"/>
    <w:rsid w:val="42EA4C96"/>
    <w:rsid w:val="432937C0"/>
    <w:rsid w:val="432A24D1"/>
    <w:rsid w:val="433C416F"/>
    <w:rsid w:val="43453FEA"/>
    <w:rsid w:val="434E6957"/>
    <w:rsid w:val="4378186B"/>
    <w:rsid w:val="43BA0E31"/>
    <w:rsid w:val="43C113B5"/>
    <w:rsid w:val="43C15147"/>
    <w:rsid w:val="43C3013B"/>
    <w:rsid w:val="43CB1CC4"/>
    <w:rsid w:val="43E14DD2"/>
    <w:rsid w:val="43EE0F7F"/>
    <w:rsid w:val="43F800E9"/>
    <w:rsid w:val="4401219E"/>
    <w:rsid w:val="44137BFE"/>
    <w:rsid w:val="441546C2"/>
    <w:rsid w:val="443A7E4B"/>
    <w:rsid w:val="444A7D08"/>
    <w:rsid w:val="445A1933"/>
    <w:rsid w:val="44637CEA"/>
    <w:rsid w:val="44AF0ED5"/>
    <w:rsid w:val="44C147DB"/>
    <w:rsid w:val="44D437FB"/>
    <w:rsid w:val="44DA5705"/>
    <w:rsid w:val="44EB7B9D"/>
    <w:rsid w:val="45061A4C"/>
    <w:rsid w:val="452F5B3A"/>
    <w:rsid w:val="45337098"/>
    <w:rsid w:val="453B44A5"/>
    <w:rsid w:val="454E7FD2"/>
    <w:rsid w:val="45616964"/>
    <w:rsid w:val="456A1771"/>
    <w:rsid w:val="45876B22"/>
    <w:rsid w:val="4596568C"/>
    <w:rsid w:val="45A3734C"/>
    <w:rsid w:val="45EA0DC5"/>
    <w:rsid w:val="46061BDC"/>
    <w:rsid w:val="460A04CF"/>
    <w:rsid w:val="460D47FD"/>
    <w:rsid w:val="461404F8"/>
    <w:rsid w:val="46413018"/>
    <w:rsid w:val="464B7E04"/>
    <w:rsid w:val="46683C12"/>
    <w:rsid w:val="466F579B"/>
    <w:rsid w:val="468012B9"/>
    <w:rsid w:val="468041AA"/>
    <w:rsid w:val="468123C6"/>
    <w:rsid w:val="46901EEE"/>
    <w:rsid w:val="46936C54"/>
    <w:rsid w:val="469C74D2"/>
    <w:rsid w:val="46B66B19"/>
    <w:rsid w:val="46BB7CF5"/>
    <w:rsid w:val="46C606C2"/>
    <w:rsid w:val="46F53476"/>
    <w:rsid w:val="470C05E2"/>
    <w:rsid w:val="471A5C34"/>
    <w:rsid w:val="47445515"/>
    <w:rsid w:val="474B4782"/>
    <w:rsid w:val="4757545E"/>
    <w:rsid w:val="478665E8"/>
    <w:rsid w:val="479123FB"/>
    <w:rsid w:val="47997807"/>
    <w:rsid w:val="47AE3F29"/>
    <w:rsid w:val="47B70FB5"/>
    <w:rsid w:val="47C15148"/>
    <w:rsid w:val="47D90D14"/>
    <w:rsid w:val="47DE1152"/>
    <w:rsid w:val="480004B0"/>
    <w:rsid w:val="48123C4D"/>
    <w:rsid w:val="481E7A60"/>
    <w:rsid w:val="48387FB0"/>
    <w:rsid w:val="483A6114"/>
    <w:rsid w:val="48453EB6"/>
    <w:rsid w:val="48624CD1"/>
    <w:rsid w:val="48816480"/>
    <w:rsid w:val="488727DB"/>
    <w:rsid w:val="488C0094"/>
    <w:rsid w:val="48B23078"/>
    <w:rsid w:val="48B56CDA"/>
    <w:rsid w:val="48B82268"/>
    <w:rsid w:val="48C354B3"/>
    <w:rsid w:val="49023556"/>
    <w:rsid w:val="491E7603"/>
    <w:rsid w:val="4924150C"/>
    <w:rsid w:val="493375A8"/>
    <w:rsid w:val="493C2436"/>
    <w:rsid w:val="493D58B5"/>
    <w:rsid w:val="494A7A04"/>
    <w:rsid w:val="49562FE0"/>
    <w:rsid w:val="49605EF7"/>
    <w:rsid w:val="499553E5"/>
    <w:rsid w:val="49AB04EC"/>
    <w:rsid w:val="49B27E76"/>
    <w:rsid w:val="49C04C0E"/>
    <w:rsid w:val="4A0A26D2"/>
    <w:rsid w:val="4A2019A5"/>
    <w:rsid w:val="4A241A0B"/>
    <w:rsid w:val="4A507539"/>
    <w:rsid w:val="4A5C2BD7"/>
    <w:rsid w:val="4A7B2875"/>
    <w:rsid w:val="4A934476"/>
    <w:rsid w:val="4AAA220A"/>
    <w:rsid w:val="4ACC05C3"/>
    <w:rsid w:val="4AE12E67"/>
    <w:rsid w:val="4B4C0111"/>
    <w:rsid w:val="4B552AA6"/>
    <w:rsid w:val="4B8553A9"/>
    <w:rsid w:val="4B8A76FC"/>
    <w:rsid w:val="4B9F1C20"/>
    <w:rsid w:val="4BAB34B4"/>
    <w:rsid w:val="4BAC0F36"/>
    <w:rsid w:val="4BAE4439"/>
    <w:rsid w:val="4BDB3730"/>
    <w:rsid w:val="4C200F7A"/>
    <w:rsid w:val="4C5600CA"/>
    <w:rsid w:val="4C56394D"/>
    <w:rsid w:val="4C5F67DB"/>
    <w:rsid w:val="4CDE4B2B"/>
    <w:rsid w:val="4CEE3180"/>
    <w:rsid w:val="4D0933F1"/>
    <w:rsid w:val="4D0A3D86"/>
    <w:rsid w:val="4D0F4AF6"/>
    <w:rsid w:val="4D34553A"/>
    <w:rsid w:val="4D4D4DDF"/>
    <w:rsid w:val="4D5634F0"/>
    <w:rsid w:val="4D5A5FC0"/>
    <w:rsid w:val="4D5B7978"/>
    <w:rsid w:val="4D655D09"/>
    <w:rsid w:val="4D86623D"/>
    <w:rsid w:val="4DAE1980"/>
    <w:rsid w:val="4DB4130B"/>
    <w:rsid w:val="4DBA3214"/>
    <w:rsid w:val="4DCD389A"/>
    <w:rsid w:val="4DF80AFB"/>
    <w:rsid w:val="4DF94F37"/>
    <w:rsid w:val="4E0A1DD5"/>
    <w:rsid w:val="4E3160E5"/>
    <w:rsid w:val="4E4D37AF"/>
    <w:rsid w:val="4E8C6496"/>
    <w:rsid w:val="4EBA0BB9"/>
    <w:rsid w:val="4EDA10ED"/>
    <w:rsid w:val="4EE36838"/>
    <w:rsid w:val="4EEC6E09"/>
    <w:rsid w:val="4EF30992"/>
    <w:rsid w:val="4EFD18DE"/>
    <w:rsid w:val="4F144236"/>
    <w:rsid w:val="4F1A6654"/>
    <w:rsid w:val="4F1D75D8"/>
    <w:rsid w:val="4F2409D4"/>
    <w:rsid w:val="4F3E0E12"/>
    <w:rsid w:val="4F5B70BD"/>
    <w:rsid w:val="4F663C87"/>
    <w:rsid w:val="4F7E29A8"/>
    <w:rsid w:val="4F7E48DC"/>
    <w:rsid w:val="4F9E1FFC"/>
    <w:rsid w:val="4FB27ACC"/>
    <w:rsid w:val="4FBB61DD"/>
    <w:rsid w:val="4FE21920"/>
    <w:rsid w:val="503668A3"/>
    <w:rsid w:val="50447CC2"/>
    <w:rsid w:val="50874A7C"/>
    <w:rsid w:val="50895EE7"/>
    <w:rsid w:val="50921B9D"/>
    <w:rsid w:val="50A770DF"/>
    <w:rsid w:val="50D16158"/>
    <w:rsid w:val="50D703D6"/>
    <w:rsid w:val="50DB5F45"/>
    <w:rsid w:val="51022E2B"/>
    <w:rsid w:val="51025EB1"/>
    <w:rsid w:val="51141503"/>
    <w:rsid w:val="511A4EA0"/>
    <w:rsid w:val="513C450E"/>
    <w:rsid w:val="514D0B72"/>
    <w:rsid w:val="516F6B28"/>
    <w:rsid w:val="51701D94"/>
    <w:rsid w:val="518D0ED5"/>
    <w:rsid w:val="51981EEB"/>
    <w:rsid w:val="51B20D68"/>
    <w:rsid w:val="51FD5492"/>
    <w:rsid w:val="52114133"/>
    <w:rsid w:val="5224285E"/>
    <w:rsid w:val="522C2A58"/>
    <w:rsid w:val="524A1D0E"/>
    <w:rsid w:val="525A582C"/>
    <w:rsid w:val="525C687F"/>
    <w:rsid w:val="526428B8"/>
    <w:rsid w:val="527D59E1"/>
    <w:rsid w:val="5283536B"/>
    <w:rsid w:val="52A3740A"/>
    <w:rsid w:val="52B626C2"/>
    <w:rsid w:val="52D467EB"/>
    <w:rsid w:val="52D93B7C"/>
    <w:rsid w:val="52ED0D39"/>
    <w:rsid w:val="52F647F7"/>
    <w:rsid w:val="52F92565"/>
    <w:rsid w:val="53000485"/>
    <w:rsid w:val="532D3606"/>
    <w:rsid w:val="53335F5B"/>
    <w:rsid w:val="53362C11"/>
    <w:rsid w:val="53397419"/>
    <w:rsid w:val="533F6DA3"/>
    <w:rsid w:val="5376698C"/>
    <w:rsid w:val="538A011C"/>
    <w:rsid w:val="53A000C2"/>
    <w:rsid w:val="53AD0B7A"/>
    <w:rsid w:val="53AE735E"/>
    <w:rsid w:val="53C62500"/>
    <w:rsid w:val="53D03877"/>
    <w:rsid w:val="54005B5D"/>
    <w:rsid w:val="542947A2"/>
    <w:rsid w:val="542F73CA"/>
    <w:rsid w:val="5430786D"/>
    <w:rsid w:val="545A1D2A"/>
    <w:rsid w:val="545D3CF8"/>
    <w:rsid w:val="545E1779"/>
    <w:rsid w:val="545F13F9"/>
    <w:rsid w:val="546E1A14"/>
    <w:rsid w:val="54BE2A98"/>
    <w:rsid w:val="54C811C0"/>
    <w:rsid w:val="54CB652A"/>
    <w:rsid w:val="54CC25C1"/>
    <w:rsid w:val="54D06235"/>
    <w:rsid w:val="5510701F"/>
    <w:rsid w:val="551940AB"/>
    <w:rsid w:val="551E7EDF"/>
    <w:rsid w:val="55303CD0"/>
    <w:rsid w:val="556A442D"/>
    <w:rsid w:val="557D0ACD"/>
    <w:rsid w:val="55A4620D"/>
    <w:rsid w:val="55BC7137"/>
    <w:rsid w:val="55DA564E"/>
    <w:rsid w:val="55E816A3"/>
    <w:rsid w:val="55FE5622"/>
    <w:rsid w:val="5604127D"/>
    <w:rsid w:val="56044E6C"/>
    <w:rsid w:val="561145EC"/>
    <w:rsid w:val="56137B46"/>
    <w:rsid w:val="56166703"/>
    <w:rsid w:val="56510474"/>
    <w:rsid w:val="568410FF"/>
    <w:rsid w:val="56861525"/>
    <w:rsid w:val="56A93273"/>
    <w:rsid w:val="56BD550C"/>
    <w:rsid w:val="56C24467"/>
    <w:rsid w:val="56D42182"/>
    <w:rsid w:val="56E07045"/>
    <w:rsid w:val="56F96B3F"/>
    <w:rsid w:val="56FF28AF"/>
    <w:rsid w:val="57092238"/>
    <w:rsid w:val="57096DD9"/>
    <w:rsid w:val="57266709"/>
    <w:rsid w:val="57540E7D"/>
    <w:rsid w:val="577B4878"/>
    <w:rsid w:val="57840CA1"/>
    <w:rsid w:val="578B3EAF"/>
    <w:rsid w:val="57926973"/>
    <w:rsid w:val="57BE7B82"/>
    <w:rsid w:val="57BF666E"/>
    <w:rsid w:val="57D1482F"/>
    <w:rsid w:val="57FB1BE5"/>
    <w:rsid w:val="58083479"/>
    <w:rsid w:val="58175352"/>
    <w:rsid w:val="581F2200"/>
    <w:rsid w:val="583059FA"/>
    <w:rsid w:val="584A0929"/>
    <w:rsid w:val="585B2F03"/>
    <w:rsid w:val="58AC780A"/>
    <w:rsid w:val="58AF078F"/>
    <w:rsid w:val="58C106A9"/>
    <w:rsid w:val="58CD2491"/>
    <w:rsid w:val="58D915D3"/>
    <w:rsid w:val="59161438"/>
    <w:rsid w:val="59186B39"/>
    <w:rsid w:val="591B41B2"/>
    <w:rsid w:val="591E0A43"/>
    <w:rsid w:val="59254A26"/>
    <w:rsid w:val="59326325"/>
    <w:rsid w:val="595C505B"/>
    <w:rsid w:val="595E55C3"/>
    <w:rsid w:val="595F72AE"/>
    <w:rsid w:val="596E7E20"/>
    <w:rsid w:val="597B6BDE"/>
    <w:rsid w:val="59BF05CC"/>
    <w:rsid w:val="59E75F0D"/>
    <w:rsid w:val="59EE111B"/>
    <w:rsid w:val="5A5300D2"/>
    <w:rsid w:val="5A5D23AA"/>
    <w:rsid w:val="5A60780B"/>
    <w:rsid w:val="5AA65046"/>
    <w:rsid w:val="5AAE2453"/>
    <w:rsid w:val="5AB34579"/>
    <w:rsid w:val="5AB40E78"/>
    <w:rsid w:val="5AB630E2"/>
    <w:rsid w:val="5ACA6500"/>
    <w:rsid w:val="5AE65E30"/>
    <w:rsid w:val="5AF80B40"/>
    <w:rsid w:val="5AFC6609"/>
    <w:rsid w:val="5AFE34D7"/>
    <w:rsid w:val="5B0C6070"/>
    <w:rsid w:val="5B113480"/>
    <w:rsid w:val="5B420748"/>
    <w:rsid w:val="5B767BC7"/>
    <w:rsid w:val="5B844A35"/>
    <w:rsid w:val="5BA12CE0"/>
    <w:rsid w:val="5BA23FE5"/>
    <w:rsid w:val="5BB2427F"/>
    <w:rsid w:val="5BD456CE"/>
    <w:rsid w:val="5BDC0C47"/>
    <w:rsid w:val="5BDC2EC5"/>
    <w:rsid w:val="5BF80304"/>
    <w:rsid w:val="5C032D84"/>
    <w:rsid w:val="5C0D1F49"/>
    <w:rsid w:val="5C140AA0"/>
    <w:rsid w:val="5C5F7C1B"/>
    <w:rsid w:val="5C9238ED"/>
    <w:rsid w:val="5CAE541B"/>
    <w:rsid w:val="5CBB0CE2"/>
    <w:rsid w:val="5CC17177"/>
    <w:rsid w:val="5CF306BC"/>
    <w:rsid w:val="5CF55B90"/>
    <w:rsid w:val="5CFA3990"/>
    <w:rsid w:val="5D187049"/>
    <w:rsid w:val="5D3F3D64"/>
    <w:rsid w:val="5D833043"/>
    <w:rsid w:val="5D893E85"/>
    <w:rsid w:val="5DD92690"/>
    <w:rsid w:val="5DDB1CFD"/>
    <w:rsid w:val="5E061250"/>
    <w:rsid w:val="5E5B095A"/>
    <w:rsid w:val="5E635D67"/>
    <w:rsid w:val="5E7E6D93"/>
    <w:rsid w:val="5E82459B"/>
    <w:rsid w:val="5EBC76FA"/>
    <w:rsid w:val="5EC901C6"/>
    <w:rsid w:val="5ECF671B"/>
    <w:rsid w:val="5ED44800"/>
    <w:rsid w:val="5F006EEA"/>
    <w:rsid w:val="5F145E9F"/>
    <w:rsid w:val="5F1E649A"/>
    <w:rsid w:val="5F2922AC"/>
    <w:rsid w:val="5F350BDE"/>
    <w:rsid w:val="5F4D6FE9"/>
    <w:rsid w:val="5F61632C"/>
    <w:rsid w:val="5FA17648"/>
    <w:rsid w:val="5FE705CB"/>
    <w:rsid w:val="6007714E"/>
    <w:rsid w:val="603C0E70"/>
    <w:rsid w:val="603D5080"/>
    <w:rsid w:val="603E4373"/>
    <w:rsid w:val="6043407E"/>
    <w:rsid w:val="60450101"/>
    <w:rsid w:val="605E2BD8"/>
    <w:rsid w:val="606842D0"/>
    <w:rsid w:val="60767D50"/>
    <w:rsid w:val="60C70EC5"/>
    <w:rsid w:val="60D0261B"/>
    <w:rsid w:val="61063DBC"/>
    <w:rsid w:val="6107563A"/>
    <w:rsid w:val="611F6EE4"/>
    <w:rsid w:val="612560CB"/>
    <w:rsid w:val="618E3791"/>
    <w:rsid w:val="61947DCA"/>
    <w:rsid w:val="61A46A97"/>
    <w:rsid w:val="61D1382F"/>
    <w:rsid w:val="61F114A2"/>
    <w:rsid w:val="61F66F47"/>
    <w:rsid w:val="620B7DE6"/>
    <w:rsid w:val="621D7262"/>
    <w:rsid w:val="622B0ABA"/>
    <w:rsid w:val="62512BB4"/>
    <w:rsid w:val="625D7D1A"/>
    <w:rsid w:val="62636276"/>
    <w:rsid w:val="62660469"/>
    <w:rsid w:val="62DD7D21"/>
    <w:rsid w:val="630B22F3"/>
    <w:rsid w:val="632D5046"/>
    <w:rsid w:val="633F412D"/>
    <w:rsid w:val="634C61F4"/>
    <w:rsid w:val="637D586B"/>
    <w:rsid w:val="63A5560B"/>
    <w:rsid w:val="63E9091F"/>
    <w:rsid w:val="63EB0A54"/>
    <w:rsid w:val="641414C0"/>
    <w:rsid w:val="64322AF9"/>
    <w:rsid w:val="645038A3"/>
    <w:rsid w:val="64511325"/>
    <w:rsid w:val="64642544"/>
    <w:rsid w:val="64940458"/>
    <w:rsid w:val="649E5BA1"/>
    <w:rsid w:val="64B47D45"/>
    <w:rsid w:val="64D6010D"/>
    <w:rsid w:val="64D82665"/>
    <w:rsid w:val="64DC3487"/>
    <w:rsid w:val="64E33A44"/>
    <w:rsid w:val="64E47C96"/>
    <w:rsid w:val="64EB5CA0"/>
    <w:rsid w:val="651C4271"/>
    <w:rsid w:val="651E5741"/>
    <w:rsid w:val="655D7702"/>
    <w:rsid w:val="65670E6D"/>
    <w:rsid w:val="658A4877"/>
    <w:rsid w:val="65982A27"/>
    <w:rsid w:val="65A00902"/>
    <w:rsid w:val="65A044CA"/>
    <w:rsid w:val="65AC6EDD"/>
    <w:rsid w:val="65D97752"/>
    <w:rsid w:val="65E85644"/>
    <w:rsid w:val="66085536"/>
    <w:rsid w:val="66105BF7"/>
    <w:rsid w:val="66150023"/>
    <w:rsid w:val="6628010D"/>
    <w:rsid w:val="66803B38"/>
    <w:rsid w:val="669B4528"/>
    <w:rsid w:val="66A27570"/>
    <w:rsid w:val="66A40875"/>
    <w:rsid w:val="66CC12D7"/>
    <w:rsid w:val="67024A05"/>
    <w:rsid w:val="67034111"/>
    <w:rsid w:val="67134CEF"/>
    <w:rsid w:val="67140474"/>
    <w:rsid w:val="671F1ABD"/>
    <w:rsid w:val="6751640F"/>
    <w:rsid w:val="67521A59"/>
    <w:rsid w:val="67806F5E"/>
    <w:rsid w:val="67B85575"/>
    <w:rsid w:val="67B870B8"/>
    <w:rsid w:val="67C304AB"/>
    <w:rsid w:val="67ED1B11"/>
    <w:rsid w:val="683D2B94"/>
    <w:rsid w:val="683F0658"/>
    <w:rsid w:val="68644FD2"/>
    <w:rsid w:val="686739D9"/>
    <w:rsid w:val="68752CEE"/>
    <w:rsid w:val="689C6793"/>
    <w:rsid w:val="68A32539"/>
    <w:rsid w:val="68C94977"/>
    <w:rsid w:val="68DB0208"/>
    <w:rsid w:val="68DE6E9B"/>
    <w:rsid w:val="68FB170C"/>
    <w:rsid w:val="69161554"/>
    <w:rsid w:val="691B3D98"/>
    <w:rsid w:val="693748F0"/>
    <w:rsid w:val="69526E59"/>
    <w:rsid w:val="69621672"/>
    <w:rsid w:val="697D7C9D"/>
    <w:rsid w:val="69846A0E"/>
    <w:rsid w:val="698718B2"/>
    <w:rsid w:val="69981B4C"/>
    <w:rsid w:val="69A16019"/>
    <w:rsid w:val="69A3595F"/>
    <w:rsid w:val="69AA1366"/>
    <w:rsid w:val="69AD798C"/>
    <w:rsid w:val="69BC00B3"/>
    <w:rsid w:val="69C30412"/>
    <w:rsid w:val="69D005C0"/>
    <w:rsid w:val="69D71F99"/>
    <w:rsid w:val="69D80B96"/>
    <w:rsid w:val="69EC15D6"/>
    <w:rsid w:val="69F47AD7"/>
    <w:rsid w:val="6A0F2A90"/>
    <w:rsid w:val="6A2C39D4"/>
    <w:rsid w:val="6A465168"/>
    <w:rsid w:val="6A547D01"/>
    <w:rsid w:val="6A647F9B"/>
    <w:rsid w:val="6AC647BD"/>
    <w:rsid w:val="6ADE1E63"/>
    <w:rsid w:val="6B026BA0"/>
    <w:rsid w:val="6B1F06CE"/>
    <w:rsid w:val="6B616BB9"/>
    <w:rsid w:val="6B650E43"/>
    <w:rsid w:val="6B68175F"/>
    <w:rsid w:val="6B6B74C9"/>
    <w:rsid w:val="6B6C07CE"/>
    <w:rsid w:val="6B6F5ECF"/>
    <w:rsid w:val="6BC568DE"/>
    <w:rsid w:val="6BE9361A"/>
    <w:rsid w:val="6BFD799F"/>
    <w:rsid w:val="6C1A06BB"/>
    <w:rsid w:val="6C375F5A"/>
    <w:rsid w:val="6C4504B1"/>
    <w:rsid w:val="6C4A2E5A"/>
    <w:rsid w:val="6C4C58BD"/>
    <w:rsid w:val="6C7553FD"/>
    <w:rsid w:val="6C8138D0"/>
    <w:rsid w:val="6CC61D04"/>
    <w:rsid w:val="6CCF6D90"/>
    <w:rsid w:val="6CEF0725"/>
    <w:rsid w:val="6CFA6CDB"/>
    <w:rsid w:val="6D342338"/>
    <w:rsid w:val="6D357DB9"/>
    <w:rsid w:val="6D367A39"/>
    <w:rsid w:val="6D434B50"/>
    <w:rsid w:val="6D4B2604"/>
    <w:rsid w:val="6D503E66"/>
    <w:rsid w:val="6D74531F"/>
    <w:rsid w:val="6D77358F"/>
    <w:rsid w:val="6D8030E4"/>
    <w:rsid w:val="6DBD2988"/>
    <w:rsid w:val="6DF83A44"/>
    <w:rsid w:val="6E0E35C4"/>
    <w:rsid w:val="6E0F7A08"/>
    <w:rsid w:val="6E2D2550"/>
    <w:rsid w:val="6E2E3854"/>
    <w:rsid w:val="6E386362"/>
    <w:rsid w:val="6E3947F5"/>
    <w:rsid w:val="6E4A7901"/>
    <w:rsid w:val="6E6733A0"/>
    <w:rsid w:val="6E6E3938"/>
    <w:rsid w:val="6E872444"/>
    <w:rsid w:val="6E9C0605"/>
    <w:rsid w:val="6E9C74ED"/>
    <w:rsid w:val="6E9D6087"/>
    <w:rsid w:val="6EF72976"/>
    <w:rsid w:val="6EFA4222"/>
    <w:rsid w:val="6F1063C6"/>
    <w:rsid w:val="6F5B51C0"/>
    <w:rsid w:val="6F795A80"/>
    <w:rsid w:val="6F7C1D2E"/>
    <w:rsid w:val="6F7D53FD"/>
    <w:rsid w:val="6F830903"/>
    <w:rsid w:val="6F8E0407"/>
    <w:rsid w:val="6FA974BD"/>
    <w:rsid w:val="6FAA2D41"/>
    <w:rsid w:val="6FAA4F3F"/>
    <w:rsid w:val="6FDD069F"/>
    <w:rsid w:val="6FE41C21"/>
    <w:rsid w:val="6FF76F0F"/>
    <w:rsid w:val="6FFD6F48"/>
    <w:rsid w:val="702B4594"/>
    <w:rsid w:val="702B4D16"/>
    <w:rsid w:val="702C7A97"/>
    <w:rsid w:val="70452BBF"/>
    <w:rsid w:val="70473EC4"/>
    <w:rsid w:val="704D0643"/>
    <w:rsid w:val="704F6D52"/>
    <w:rsid w:val="70590E1E"/>
    <w:rsid w:val="706F1805"/>
    <w:rsid w:val="70740738"/>
    <w:rsid w:val="70A409DA"/>
    <w:rsid w:val="70AA6621"/>
    <w:rsid w:val="70B90980"/>
    <w:rsid w:val="70F638D2"/>
    <w:rsid w:val="7111480F"/>
    <w:rsid w:val="71201629"/>
    <w:rsid w:val="71261F49"/>
    <w:rsid w:val="71286A35"/>
    <w:rsid w:val="712E6956"/>
    <w:rsid w:val="71473612"/>
    <w:rsid w:val="71504F32"/>
    <w:rsid w:val="7152309F"/>
    <w:rsid w:val="717E613F"/>
    <w:rsid w:val="71812974"/>
    <w:rsid w:val="718B0CF8"/>
    <w:rsid w:val="718F7F65"/>
    <w:rsid w:val="71A86F83"/>
    <w:rsid w:val="71C233B0"/>
    <w:rsid w:val="71D8370B"/>
    <w:rsid w:val="71DA6992"/>
    <w:rsid w:val="71F37403"/>
    <w:rsid w:val="71F44E84"/>
    <w:rsid w:val="722E3D64"/>
    <w:rsid w:val="724E6817"/>
    <w:rsid w:val="726778C0"/>
    <w:rsid w:val="727B234E"/>
    <w:rsid w:val="728A58B0"/>
    <w:rsid w:val="72BC6E4B"/>
    <w:rsid w:val="72D068C7"/>
    <w:rsid w:val="72E42ED8"/>
    <w:rsid w:val="72FC34C3"/>
    <w:rsid w:val="731C016A"/>
    <w:rsid w:val="733E6120"/>
    <w:rsid w:val="735F4CB9"/>
    <w:rsid w:val="73674C62"/>
    <w:rsid w:val="73845865"/>
    <w:rsid w:val="739B6D9E"/>
    <w:rsid w:val="739E47BE"/>
    <w:rsid w:val="73A30043"/>
    <w:rsid w:val="73BC1D76"/>
    <w:rsid w:val="73C36379"/>
    <w:rsid w:val="73FB6630"/>
    <w:rsid w:val="73FF295B"/>
    <w:rsid w:val="74337932"/>
    <w:rsid w:val="7468238A"/>
    <w:rsid w:val="74792624"/>
    <w:rsid w:val="748D790E"/>
    <w:rsid w:val="749820CC"/>
    <w:rsid w:val="749A63DC"/>
    <w:rsid w:val="74AF4DFF"/>
    <w:rsid w:val="74CE04EC"/>
    <w:rsid w:val="74E76DCD"/>
    <w:rsid w:val="74F60CF4"/>
    <w:rsid w:val="75017085"/>
    <w:rsid w:val="751D7C0A"/>
    <w:rsid w:val="754045EC"/>
    <w:rsid w:val="75443F16"/>
    <w:rsid w:val="75722D56"/>
    <w:rsid w:val="75A0590A"/>
    <w:rsid w:val="75D83866"/>
    <w:rsid w:val="75DB5477"/>
    <w:rsid w:val="75FC6AC3"/>
    <w:rsid w:val="760B1736"/>
    <w:rsid w:val="7616619B"/>
    <w:rsid w:val="761B77D2"/>
    <w:rsid w:val="76430996"/>
    <w:rsid w:val="76660D7C"/>
    <w:rsid w:val="766C5968"/>
    <w:rsid w:val="76923F99"/>
    <w:rsid w:val="76A673B6"/>
    <w:rsid w:val="76BE0C8F"/>
    <w:rsid w:val="76C83BD2"/>
    <w:rsid w:val="76CB03F9"/>
    <w:rsid w:val="76CD53B2"/>
    <w:rsid w:val="76E6594C"/>
    <w:rsid w:val="76FC2343"/>
    <w:rsid w:val="770167CB"/>
    <w:rsid w:val="770719AC"/>
    <w:rsid w:val="770E0AD4"/>
    <w:rsid w:val="77345D20"/>
    <w:rsid w:val="773C532B"/>
    <w:rsid w:val="776526CC"/>
    <w:rsid w:val="77843521"/>
    <w:rsid w:val="778E76B4"/>
    <w:rsid w:val="77A262E1"/>
    <w:rsid w:val="77B13C33"/>
    <w:rsid w:val="77DC095A"/>
    <w:rsid w:val="77ED6F44"/>
    <w:rsid w:val="77F42E18"/>
    <w:rsid w:val="77F45548"/>
    <w:rsid w:val="77FC440B"/>
    <w:rsid w:val="780350F4"/>
    <w:rsid w:val="784E7CA6"/>
    <w:rsid w:val="78574801"/>
    <w:rsid w:val="785A5B03"/>
    <w:rsid w:val="7873527F"/>
    <w:rsid w:val="787850B3"/>
    <w:rsid w:val="78961451"/>
    <w:rsid w:val="78977B66"/>
    <w:rsid w:val="78EC0C7B"/>
    <w:rsid w:val="790A6425"/>
    <w:rsid w:val="790E2D96"/>
    <w:rsid w:val="791B54B2"/>
    <w:rsid w:val="79360969"/>
    <w:rsid w:val="793C0F89"/>
    <w:rsid w:val="795A0A34"/>
    <w:rsid w:val="796E130F"/>
    <w:rsid w:val="797339C3"/>
    <w:rsid w:val="79D57D57"/>
    <w:rsid w:val="79D60872"/>
    <w:rsid w:val="79F00650"/>
    <w:rsid w:val="7A0657BE"/>
    <w:rsid w:val="7A0E644E"/>
    <w:rsid w:val="7A6242BF"/>
    <w:rsid w:val="7A794513"/>
    <w:rsid w:val="7A8F5AA2"/>
    <w:rsid w:val="7A9B3811"/>
    <w:rsid w:val="7AB467DA"/>
    <w:rsid w:val="7AB9318D"/>
    <w:rsid w:val="7AC00470"/>
    <w:rsid w:val="7AC313F4"/>
    <w:rsid w:val="7AE952D2"/>
    <w:rsid w:val="7AF9345C"/>
    <w:rsid w:val="7AF976D0"/>
    <w:rsid w:val="7B687984"/>
    <w:rsid w:val="7B785A20"/>
    <w:rsid w:val="7B9F26AF"/>
    <w:rsid w:val="7BB607FE"/>
    <w:rsid w:val="7BB80A08"/>
    <w:rsid w:val="7BBE2911"/>
    <w:rsid w:val="7BD328B6"/>
    <w:rsid w:val="7BF91471"/>
    <w:rsid w:val="7C0E3995"/>
    <w:rsid w:val="7C210DE6"/>
    <w:rsid w:val="7C2E6448"/>
    <w:rsid w:val="7C4E2200"/>
    <w:rsid w:val="7C5E1E80"/>
    <w:rsid w:val="7C7248A0"/>
    <w:rsid w:val="7C976D69"/>
    <w:rsid w:val="7CA14209"/>
    <w:rsid w:val="7CA17E7D"/>
    <w:rsid w:val="7CD752DA"/>
    <w:rsid w:val="7CDE40AB"/>
    <w:rsid w:val="7CF057E2"/>
    <w:rsid w:val="7D1548B5"/>
    <w:rsid w:val="7D7D06A3"/>
    <w:rsid w:val="7DAC7AD5"/>
    <w:rsid w:val="7DCF5B74"/>
    <w:rsid w:val="7DF84014"/>
    <w:rsid w:val="7DFB1EBB"/>
    <w:rsid w:val="7DFF4145"/>
    <w:rsid w:val="7E207949"/>
    <w:rsid w:val="7E5C0A47"/>
    <w:rsid w:val="7E670C75"/>
    <w:rsid w:val="7EBF0D00"/>
    <w:rsid w:val="7EE24272"/>
    <w:rsid w:val="7EEA6053"/>
    <w:rsid w:val="7EED3DCE"/>
    <w:rsid w:val="7F1B7D95"/>
    <w:rsid w:val="7F3054B7"/>
    <w:rsid w:val="7F33543B"/>
    <w:rsid w:val="7F487C04"/>
    <w:rsid w:val="7F611CBA"/>
    <w:rsid w:val="7F81683F"/>
    <w:rsid w:val="7F8B38CC"/>
    <w:rsid w:val="7F8D20DF"/>
    <w:rsid w:val="7FB45F21"/>
    <w:rsid w:val="7FC13DA6"/>
    <w:rsid w:val="7FC250AB"/>
    <w:rsid w:val="7FE57088"/>
    <w:rsid w:val="7FE83C65"/>
    <w:rsid w:val="7FEB046D"/>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54</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2025-04-11T02:14:11Z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B53CE431DFE24132B37423C102631EC9</vt:lpwstr>
  </property>
</Properties>
</file>