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中共沙湾市委员会宣传部</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中共沙湾市委宣传部按照市委的部署和要求，指导全市理论研究、理论学习、理论宣传的工作,指导、管理和协调全市新闻宣传工作。对塔城日报沙湾记者站、沙湾市电视台、市电台、市有线电视网络传播中心的工作实施方针政策的指导。负责指导、监督和管理全市网络新闻宣传，网络信息安全工作，并在政治方向和方针政策方面实施领导；受市委、市政府的委托。负责全市对外宣传工作的总体规划，组织协调、指导和管理全市的外宣工作。从宏观上指导文化艺术工作、文联工作、精神产品的生产和文化市场管理。对市文化体育广播影视局的工作实施方针政策的指导；对市有关部门的宣传思想工作和精神文明建设进行指导。规划、部署全市的思想政治工作，会同有关部门研究和改革基层思想政治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指导、协调和组织全市社会宣传工作；制定全市宣传工作的政策、任务和措施。负责规划、部署和考核全局性的思想政治工作任务和群众性社会主义精神文明建设活动，组织对基层党工委宣传干部和宣传文化系统领导骨干的培训。负责组织、协调、部署全市国防教育工作；负责宣传贯彻党的路线、方针、政策，普及社会科学知识，开展科社咨询服务。负责管理、指导和协调全市社科学会、协会的工作，推动和组织所属各社科学会、协会及全市社科工作者围绕市委、市政府的中心工作有计划地开展理论研讨和学术交流，推动全市社会科学各门学科的建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中共沙湾市委员会宣传部</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FF0000"/>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w:t>
      </w:r>
      <w:r>
        <w:rPr>
          <w:rFonts w:hint="eastAsia" w:ascii="仿宋_GB2312" w:eastAsia="仿宋_GB2312"/>
          <w:color w:val="auto"/>
          <w:sz w:val="32"/>
          <w:szCs w:val="32"/>
          <w:highlight w:val="none"/>
          <w:lang w:val="en-US" w:eastAsia="zh-CN"/>
        </w:rPr>
        <w:t>下设5个处室，分别是：办公室、文明办、新闻出版室、理论宣教室、外宣办。</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684.67万元，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684.67万元，使用非财政拨款结余0.00万元，年初结转和结余0.00万元。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684.67万元，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684.67万元，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增加310.65万元</w:t>
      </w:r>
      <w:r>
        <w:rPr>
          <w:rFonts w:hint="eastAsia" w:ascii="仿宋_GB2312" w:eastAsia="仿宋_GB2312"/>
          <w:color w:val="auto"/>
          <w:spacing w:val="0"/>
          <w:sz w:val="32"/>
          <w:szCs w:val="32"/>
          <w:highlight w:val="none"/>
          <w:lang w:eastAsia="zh-CN"/>
        </w:rPr>
        <w:t>，增长83.06%，主要原因是：</w:t>
      </w:r>
      <w:r>
        <w:rPr>
          <w:rFonts w:hint="eastAsia" w:ascii="仿宋_GB2312" w:eastAsia="仿宋_GB2312"/>
          <w:color w:val="auto"/>
          <w:spacing w:val="0"/>
          <w:sz w:val="32"/>
          <w:szCs w:val="32"/>
          <w:highlight w:val="none"/>
          <w:lang w:val="en-US" w:eastAsia="zh-CN"/>
        </w:rPr>
        <w:t>本年支付新时代文明实践中心主体工程款、人员工资、社保基数、住房公积金调增</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684.67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684.67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本年支出684.67万元，其中：基本支出335.80万元，占49.05%；项目支出348.87万元，占50.95%；上缴上级支出0.00万元，占0.00%；经营支出0.00万元，占0.00%；对附属单位补助支出0.00万元，占0.00%。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684.67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684.67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684.67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684.67</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增加310.65万元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增长83.06%,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本年支付新时代文明实践中心主体工程款</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650.60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684.67</w:t>
      </w:r>
      <w:r>
        <w:rPr>
          <w:rFonts w:hint="eastAsia" w:ascii="仿宋_GB2312" w:eastAsia="仿宋_GB2312"/>
          <w:color w:val="auto"/>
          <w:spacing w:val="0"/>
          <w:sz w:val="32"/>
          <w:szCs w:val="32"/>
          <w:highlight w:val="none"/>
          <w:lang w:eastAsia="zh-CN"/>
        </w:rPr>
        <w:t>万元，预决算差异率5.24%，主要原因是：</w:t>
      </w:r>
      <w:r>
        <w:rPr>
          <w:rFonts w:hint="eastAsia" w:ascii="仿宋_GB2312" w:eastAsia="仿宋_GB2312"/>
          <w:color w:val="auto"/>
          <w:spacing w:val="0"/>
          <w:sz w:val="32"/>
          <w:szCs w:val="32"/>
          <w:highlight w:val="none"/>
          <w:lang w:val="en-US" w:eastAsia="zh-CN"/>
        </w:rPr>
        <w:t>本年追加新时代文明实践中心主体工程款，人员工资社保基数调增</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2023年度一般公共预算财政拨款支出684.67万元，占本年支出合计的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增加310.65万元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增长83.06%,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本年支付新时代文明实践中心主体工程款，导致</w:t>
      </w:r>
      <w:r>
        <w:rPr>
          <w:rFonts w:hint="eastAsia" w:ascii="仿宋_GB2312" w:eastAsia="仿宋_GB2312"/>
          <w:color w:val="auto"/>
          <w:spacing w:val="0"/>
          <w:sz w:val="32"/>
          <w:szCs w:val="32"/>
          <w:highlight w:val="none"/>
          <w:lang w:eastAsia="zh-CN"/>
        </w:rPr>
        <w:t>一般公共预算财政拨款支出</w:t>
      </w:r>
      <w:r>
        <w:rPr>
          <w:rFonts w:hint="eastAsia" w:ascii="仿宋_GB2312" w:eastAsia="仿宋_GB2312"/>
          <w:color w:val="auto"/>
          <w:spacing w:val="0"/>
          <w:sz w:val="32"/>
          <w:szCs w:val="32"/>
          <w:highlight w:val="none"/>
          <w:lang w:val="en-US" w:eastAsia="zh-CN"/>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650.60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684.67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5.24%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本年追加新时代文明实践中心主体工程款，人员工资社保基数调增</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w:t>
      </w:r>
      <w:r>
        <w:rPr>
          <w:rFonts w:hint="eastAsia" w:ascii="仿宋_GB2312" w:hAnsi="Times New Roman" w:eastAsia="仿宋_GB2312" w:cs="Times New Roman"/>
          <w:color w:val="auto"/>
          <w:spacing w:val="0"/>
          <w:kern w:val="2"/>
          <w:sz w:val="32"/>
          <w:szCs w:val="32"/>
          <w:highlight w:val="none"/>
          <w:lang w:val="zh-CN" w:eastAsia="zh-CN" w:bidi="ar-SA"/>
        </w:rPr>
        <w:t>381.64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55.74%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eastAsia" w:ascii="仿宋_GB2312" w:hAnsi="仿宋_GB2312" w:eastAsia="仿宋_GB2312" w:cs="仿宋_GB2312"/>
          <w:color w:val="auto"/>
          <w:kern w:val="2"/>
          <w:sz w:val="32"/>
          <w:szCs w:val="32"/>
          <w:highlight w:val="none"/>
          <w:lang w:val="en-US"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w:t>
      </w:r>
      <w:r>
        <w:rPr>
          <w:rFonts w:hint="eastAsia" w:ascii="仿宋_GB2312" w:eastAsia="仿宋_GB2312" w:cs="Times New Roman"/>
          <w:color w:val="auto"/>
          <w:spacing w:val="0"/>
          <w:kern w:val="2"/>
          <w:sz w:val="32"/>
          <w:szCs w:val="32"/>
          <w:highlight w:val="none"/>
          <w:lang w:val="en-US" w:eastAsia="zh-CN" w:bidi="ar-SA"/>
        </w:rPr>
        <w:t>229.19万元，占33.48%；</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Times New Roman" w:eastAsia="仿宋_GB2312" w:cs="Times New Roman"/>
          <w:color w:val="auto"/>
          <w:spacing w:val="0"/>
          <w:kern w:val="2"/>
          <w:sz w:val="32"/>
          <w:szCs w:val="32"/>
          <w:highlight w:val="none"/>
          <w:lang w:val="en-US" w:eastAsia="zh-CN" w:bidi="ar-SA"/>
        </w:rPr>
        <w:t>社会保障和就业支出</w:t>
      </w:r>
      <w:r>
        <w:rPr>
          <w:rFonts w:hint="eastAsia" w:ascii="仿宋_GB2312" w:eastAsia="仿宋_GB2312" w:cs="Times New Roman"/>
          <w:color w:val="auto"/>
          <w:spacing w:val="0"/>
          <w:kern w:val="2"/>
          <w:sz w:val="32"/>
          <w:szCs w:val="32"/>
          <w:highlight w:val="none"/>
          <w:lang w:val="en-US" w:eastAsia="zh-CN" w:bidi="ar-SA"/>
        </w:rPr>
        <w:t>31</w:t>
      </w:r>
      <w:r>
        <w:rPr>
          <w:rFonts w:hint="eastAsia"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en-US" w:eastAsia="zh-CN" w:bidi="ar-SA"/>
        </w:rPr>
        <w:t>91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en-US" w:eastAsia="zh-CN" w:bidi="ar-SA"/>
        </w:rPr>
        <w:t>4</w:t>
      </w:r>
      <w:r>
        <w:rPr>
          <w:rFonts w:hint="eastAsia" w:ascii="仿宋_GB2312"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en-US" w:eastAsia="zh-CN" w:bidi="ar-SA"/>
        </w:rPr>
        <w:t>66</w:t>
      </w:r>
      <w:r>
        <w:rPr>
          <w:rFonts w:hint="eastAsia" w:ascii="仿宋_GB2312" w:eastAsia="仿宋_GB2312" w:cs="Times New Roman"/>
          <w:color w:val="auto"/>
          <w:spacing w:val="0"/>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en-US"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eastAsia" w:ascii="仿宋_GB2312" w:hAnsi="仿宋_GB2312" w:eastAsia="仿宋_GB2312" w:cs="仿宋_GB2312"/>
          <w:color w:val="auto"/>
          <w:kern w:val="2"/>
          <w:sz w:val="32"/>
          <w:szCs w:val="32"/>
          <w:highlight w:val="none"/>
          <w:lang w:val="en-US"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w:t>
      </w:r>
      <w:r>
        <w:rPr>
          <w:rFonts w:hint="eastAsia" w:ascii="仿宋_GB2312" w:eastAsia="仿宋_GB2312" w:cs="Times New Roman"/>
          <w:color w:val="auto"/>
          <w:spacing w:val="0"/>
          <w:kern w:val="2"/>
          <w:sz w:val="32"/>
          <w:szCs w:val="32"/>
          <w:highlight w:val="none"/>
          <w:lang w:val="en-US" w:eastAsia="zh-CN" w:bidi="ar-SA"/>
        </w:rPr>
        <w:t>16.39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en-US" w:eastAsia="zh-CN" w:bidi="ar-SA"/>
        </w:rPr>
        <w:t>2.39</w:t>
      </w:r>
      <w:r>
        <w:rPr>
          <w:rFonts w:hint="eastAsia" w:ascii="仿宋_GB2312" w:eastAsia="仿宋_GB2312" w:cs="Times New Roman"/>
          <w:color w:val="auto"/>
          <w:spacing w:val="0"/>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eastAsia" w:ascii="仿宋_GB2312" w:hAnsi="仿宋_GB2312" w:eastAsia="仿宋_GB2312" w:cs="仿宋_GB2312"/>
          <w:color w:val="auto"/>
          <w:kern w:val="2"/>
          <w:sz w:val="32"/>
          <w:szCs w:val="32"/>
          <w:highlight w:val="none"/>
          <w:lang w:val="en-US"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w:t>
      </w:r>
      <w:r>
        <w:rPr>
          <w:rFonts w:hint="eastAsia" w:ascii="仿宋_GB2312" w:eastAsia="仿宋_GB2312" w:cs="Times New Roman"/>
          <w:color w:val="auto"/>
          <w:spacing w:val="0"/>
          <w:kern w:val="2"/>
          <w:sz w:val="32"/>
          <w:szCs w:val="32"/>
          <w:highlight w:val="none"/>
          <w:lang w:val="en-US" w:eastAsia="zh-CN" w:bidi="ar-SA"/>
        </w:rPr>
        <w:t>23.06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en-US" w:eastAsia="zh-CN" w:bidi="ar-SA"/>
        </w:rPr>
        <w:t>3.37</w:t>
      </w:r>
      <w:r>
        <w:rPr>
          <w:rFonts w:hint="eastAsia" w:ascii="仿宋_GB2312" w:eastAsia="仿宋_GB2312" w:cs="Times New Roman"/>
          <w:color w:val="auto"/>
          <w:spacing w:val="0"/>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eastAsia" w:ascii="仿宋_GB2312" w:hAnsi="仿宋_GB2312" w:eastAsia="仿宋_GB2312" w:cs="仿宋_GB2312"/>
          <w:color w:val="auto"/>
          <w:kern w:val="2"/>
          <w:sz w:val="32"/>
          <w:szCs w:val="32"/>
          <w:highlight w:val="none"/>
          <w:lang w:val="en-US"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其他支</w:t>
      </w:r>
      <w:r>
        <w:rPr>
          <w:rFonts w:hint="eastAsia" w:ascii="仿宋_GB2312" w:eastAsia="仿宋_GB2312" w:cs="Times New Roman"/>
          <w:color w:val="auto"/>
          <w:spacing w:val="0"/>
          <w:kern w:val="2"/>
          <w:sz w:val="32"/>
          <w:szCs w:val="32"/>
          <w:highlight w:val="none"/>
          <w:lang w:val="en-US" w:eastAsia="zh-CN" w:bidi="ar-SA"/>
        </w:rPr>
        <w:t>出2.48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w:t>
      </w:r>
      <w:r>
        <w:rPr>
          <w:rFonts w:hint="eastAsia" w:ascii="仿宋_GB2312" w:eastAsia="仿宋_GB2312" w:cs="Times New Roman"/>
          <w:color w:val="auto"/>
          <w:spacing w:val="0"/>
          <w:kern w:val="2"/>
          <w:sz w:val="32"/>
          <w:szCs w:val="32"/>
          <w:highlight w:val="none"/>
          <w:lang w:val="en-US" w:eastAsia="zh-CN" w:bidi="ar-SA"/>
        </w:rPr>
        <w:t>36</w:t>
      </w:r>
      <w:r>
        <w:rPr>
          <w:rFonts w:hint="eastAsia" w:ascii="仿宋_GB2312" w:eastAsia="仿宋_GB2312" w:cs="Times New Roman"/>
          <w:color w:val="auto"/>
          <w:spacing w:val="0"/>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文化旅游体育与传媒支出（类）新闻出版电影（款）其他新闻出版电影支出（项）:支出决算数为6.00万元，比上年决算增加6.00万元，增长100%，主要原因是：功能科目调整，本年度新增东风工程项目，导致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2.卫生健康支出（类）行政事业单位医疗（款）行政单位医疗（项）:支出决算数为6.01万元，比上年决算减少1.84万元，下降23.44%，主要原因是：本年度有行政人员调出，故行政单位医疗决算减少导致本年支出减少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事业单位医疗（项）:支出决算数为6.27万元，比上年决算增加0.84万元，增长15.47%，主要原因是：本年度有事业人员调入增加，故事业单位医疗决算增加导致本年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4.一般公共服务支出（类）宣传事务（款）事业运行（项）:支出决算数为124.62万元，比上年决算增加124.62万元，增长100%，主要原因是：</w:t>
      </w:r>
      <w:r>
        <w:rPr>
          <w:rFonts w:hint="eastAsia" w:ascii="仿宋_GB2312" w:eastAsia="仿宋_GB2312"/>
          <w:color w:val="auto"/>
          <w:sz w:val="32"/>
          <w:szCs w:val="32"/>
          <w:highlight w:val="none"/>
          <w:lang w:val="en-US" w:eastAsia="zh-CN"/>
        </w:rPr>
        <w:t>行政事业人员工资调增，支付2018年下半年及2020年1-3月绩效考核奖励金导致支出增加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5.卫生健康支出（类）行政事业单位医疗（款）公务员医疗补助（项）:支出决算数为4.11万元，比上年决算增加0.45万元，增长12.30%，主要原因是：公务员工资调增、社保、医疗补助缴费基数调增</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6.住房保障支出（类）住房改革支出（款）住房公积金（项）:支出决算数为23.06万元，比上年决算增加3.86万元，增长20.10%，主要原因是：</w:t>
      </w:r>
      <w:r>
        <w:rPr>
          <w:rFonts w:hint="eastAsia" w:ascii="仿宋_GB2312" w:eastAsia="仿宋_GB2312"/>
          <w:color w:val="auto"/>
          <w:sz w:val="32"/>
          <w:szCs w:val="32"/>
          <w:highlight w:val="none"/>
          <w:lang w:val="en-US" w:eastAsia="zh-CN"/>
        </w:rPr>
        <w:t>行政事业人员工资调增，</w:t>
      </w:r>
      <w:r>
        <w:rPr>
          <w:rFonts w:hint="eastAsia" w:ascii="仿宋_GB2312" w:hAnsi="仿宋_GB2312" w:eastAsia="仿宋_GB2312" w:cs="仿宋_GB2312"/>
          <w:color w:val="auto"/>
          <w:kern w:val="2"/>
          <w:sz w:val="32"/>
          <w:szCs w:val="32"/>
          <w:highlight w:val="none"/>
          <w:lang w:val="en-US" w:eastAsia="zh-CN" w:bidi="ar-SA"/>
        </w:rPr>
        <w:t>住房公积金基数调增导致支出增加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文化旅游体育与传媒支出（类）文化和旅游（款）其他文化和旅游支出（项）:支出决算数为123.20万元，比上年决算增加78.37万元，增长174.82%，主要原因是：本年度增加文化宣传活动项目、文明实践中心维护费、户外广告牌更换项目支出增加</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8.社会保障和就业支出（类）行政事业单位养老支出（款）行政单位离退休（项）:支出决算数为3.05万元，比上年决算增加1.15万元，增长60.53%，主要原因是：</w:t>
      </w:r>
      <w:r>
        <w:rPr>
          <w:rFonts w:hint="eastAsia" w:ascii="仿宋_GB2312" w:hAnsi="仿宋_GB2312" w:eastAsia="仿宋_GB2312" w:cs="仿宋_GB2312"/>
          <w:sz w:val="32"/>
          <w:szCs w:val="32"/>
        </w:rPr>
        <w:t>本年发放退休人员绩效工资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kern w:val="2"/>
          <w:sz w:val="32"/>
          <w:szCs w:val="32"/>
          <w:highlight w:val="none"/>
          <w:lang w:val="en-US" w:eastAsia="zh-CN" w:bidi="ar-SA"/>
        </w:rPr>
        <w:t>导致行政单位离退休支出增加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基本养老保险缴费支出（项）:支出决算数为28.86万元，比上年决算增加7.46万元，增长34.86%，主要原因是：机关事业单位退休人员基础工资调整增加对应养老保险基数调整增加，故养老保险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10.一般公共服务支出（类）宣传事务（款）其他宣传事务支出（项）:支出决算数为117.19万元，比上年决算增加77.19万元，增长192.98%，主要原因是：</w:t>
      </w:r>
      <w:r>
        <w:rPr>
          <w:rFonts w:hint="eastAsia" w:ascii="仿宋_GB2312" w:eastAsia="仿宋_GB2312"/>
          <w:color w:val="auto"/>
          <w:sz w:val="32"/>
          <w:szCs w:val="32"/>
          <w:highlight w:val="none"/>
          <w:lang w:val="en-US" w:eastAsia="zh-CN"/>
        </w:rPr>
        <w:t>西安易俗社演出项目增加导致宣传经费项目支出增加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FF0000"/>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11.文化旅游体育与传媒支出（类）其他文化旅游体育与传媒支出（款）其他文化旅游体育与传媒支出（项）:支出决算数为100.00万元，比上年决算增加100.00万元，增长100%，主要原因是：本年度增加新时代文明实践中心尾款项目，导致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12.一般公共服务支出（类）宣传事务（款）行政运行（项）:支出决算数为139.83万元，比上年决算减少84.93万元，下降37.79%，主要原因是本年度有行政人员调出，故行政单位人员工资社保基数调减、减少调增基础绩效补发支付、减少2018年绩效奖励金，导致本年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13.其他支出（类）其他支出（款）其他支出（项）:支出决算数为2.48万元，比上年决算减少2.52万元，下降50.40%，主要原因是：本年度为民办实事好事项目经费减少，导致支出减少。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335.80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312.18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23.63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办公费、电费、邮电费、差旅费、培训费、公务接待费、工会经费、公务用车运行维护费。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FF0000"/>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“三公”经费支出7.86万元，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减少1.84万元，</w:t>
      </w:r>
      <w:r>
        <w:rPr>
          <w:rFonts w:hint="eastAsia" w:ascii="仿宋_GB2312" w:eastAsia="仿宋_GB2312"/>
          <w:color w:val="auto"/>
          <w:spacing w:val="0"/>
          <w:sz w:val="32"/>
          <w:szCs w:val="32"/>
          <w:highlight w:val="none"/>
          <w:lang w:val="en-US" w:eastAsia="zh-CN"/>
        </w:rPr>
        <w:t>下降18.97%,</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严格控制“三公”经费支出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无因公出国（境）事务</w:t>
      </w:r>
      <w:r>
        <w:rPr>
          <w:rFonts w:hint="eastAsia" w:ascii="仿宋_GB2312" w:eastAsia="仿宋_GB2312"/>
          <w:color w:val="auto"/>
          <w:sz w:val="32"/>
          <w:szCs w:val="32"/>
          <w:highlight w:val="none"/>
          <w:lang w:val="zh-CN" w:eastAsia="zh-CN"/>
        </w:rPr>
        <w:t>；公务用车购置及运行维护费支出7.46万元，占94.91%，比上年减少1.74万元，</w:t>
      </w:r>
      <w:r>
        <w:rPr>
          <w:rFonts w:hint="eastAsia" w:ascii="仿宋_GB2312" w:eastAsia="仿宋_GB2312"/>
          <w:color w:val="auto"/>
          <w:spacing w:val="0"/>
          <w:sz w:val="32"/>
          <w:szCs w:val="32"/>
          <w:highlight w:val="none"/>
          <w:lang w:val="en-US" w:eastAsia="zh-CN"/>
        </w:rPr>
        <w:t>下降18.91%,</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严格控制车辆运行经费支出，减少公车运行</w:t>
      </w:r>
      <w:r>
        <w:rPr>
          <w:rFonts w:hint="eastAsia" w:ascii="仿宋_GB2312" w:eastAsia="仿宋_GB2312"/>
          <w:color w:val="auto"/>
          <w:sz w:val="32"/>
          <w:szCs w:val="32"/>
          <w:highlight w:val="none"/>
          <w:lang w:val="zh-CN" w:eastAsia="zh-CN"/>
        </w:rPr>
        <w:t>；公务接待费支出0.40万元，占5.09%，比上年减少0.10万元，</w:t>
      </w:r>
      <w:r>
        <w:rPr>
          <w:rFonts w:hint="eastAsia" w:ascii="仿宋_GB2312" w:eastAsia="仿宋_GB2312"/>
          <w:color w:val="auto"/>
          <w:spacing w:val="0"/>
          <w:sz w:val="32"/>
          <w:szCs w:val="32"/>
          <w:highlight w:val="none"/>
          <w:lang w:val="en-US" w:eastAsia="zh-CN"/>
        </w:rPr>
        <w:t>下降20.00%,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公务接待费用减少，从简接待</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w:t>
      </w:r>
      <w:r>
        <w:rPr>
          <w:rFonts w:hint="eastAsia" w:ascii="仿宋_GB2312" w:hAnsi="仿宋_GB2312" w:eastAsia="仿宋_GB2312" w:cs="仿宋_GB2312"/>
          <w:color w:val="auto"/>
          <w:kern w:val="2"/>
          <w:sz w:val="32"/>
          <w:szCs w:val="32"/>
          <w:highlight w:val="none"/>
          <w:lang w:val="zh-CN" w:eastAsia="zh-CN" w:bidi="ar-SA"/>
        </w:rPr>
        <w:t>开支内容包括</w:t>
      </w:r>
      <w:r>
        <w:rPr>
          <w:rFonts w:hint="eastAsia" w:ascii="仿宋_GB2312" w:hAnsi="仿宋_GB2312" w:eastAsia="仿宋_GB2312" w:cs="仿宋_GB2312"/>
          <w:color w:val="auto"/>
          <w:kern w:val="2"/>
          <w:sz w:val="32"/>
          <w:szCs w:val="32"/>
          <w:highlight w:val="none"/>
          <w:lang w:val="en-US" w:eastAsia="zh-CN" w:bidi="ar-SA"/>
        </w:rPr>
        <w:t>2023年我单位无因公出国（境）费支出</w:t>
      </w:r>
      <w:r>
        <w:rPr>
          <w:rFonts w:hint="eastAsia" w:ascii="仿宋_GB2312" w:hAnsi="仿宋_GB2312" w:eastAsia="仿宋_GB2312" w:cs="仿宋_GB2312"/>
          <w:color w:val="auto"/>
          <w:kern w:val="2"/>
          <w:sz w:val="32"/>
          <w:szCs w:val="32"/>
          <w:highlight w:val="none"/>
          <w:lang w:val="zh-CN" w:eastAsia="zh-CN" w:bidi="ar-SA"/>
        </w:rPr>
        <w:t>。</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公务用车购置及运行维护费7.46万元，其中：公务用车购置费0.00万元，公务用车运行维护费7.46万元。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FF0000"/>
          <w:sz w:val="32"/>
          <w:szCs w:val="32"/>
          <w:highlight w:val="none"/>
          <w:lang w:val="en-US" w:eastAsia="zh-CN"/>
        </w:rPr>
      </w:pPr>
      <w:bookmarkStart w:id="48" w:name="_GoBack"/>
      <w:bookmarkEnd w:id="48"/>
      <w:r>
        <w:rPr>
          <w:rFonts w:hint="eastAsia" w:ascii="仿宋_GB2312" w:eastAsia="仿宋_GB2312"/>
          <w:color w:val="auto"/>
          <w:sz w:val="32"/>
          <w:szCs w:val="32"/>
          <w:highlight w:val="none"/>
          <w:lang w:val="zh-CN" w:eastAsia="zh-CN"/>
        </w:rPr>
        <w:t>公务用车运行维护费开支内容包括：</w:t>
      </w:r>
      <w:r>
        <w:rPr>
          <w:rFonts w:hint="eastAsia" w:ascii="仿宋_GB2312" w:eastAsia="仿宋_GB2312"/>
          <w:color w:val="auto"/>
          <w:sz w:val="32"/>
          <w:szCs w:val="32"/>
          <w:highlight w:val="none"/>
          <w:lang w:val="en-US" w:eastAsia="zh-CN"/>
        </w:rPr>
        <w:t>车辆维修费、车辆燃油费</w:t>
      </w:r>
      <w:r>
        <w:rPr>
          <w:rFonts w:hint="eastAsia" w:ascii="仿宋_GB2312" w:eastAsia="仿宋_GB2312"/>
          <w:color w:val="auto"/>
          <w:sz w:val="32"/>
          <w:szCs w:val="32"/>
          <w:highlight w:val="none"/>
          <w:lang w:val="zh-CN" w:eastAsia="zh-CN"/>
        </w:rPr>
        <w:t>。公务用车购置数0辆，公务用车保有量3辆。国有资产占用情况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3辆，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公务接待费0.40万元，开支内容包括</w:t>
      </w:r>
      <w:r>
        <w:rPr>
          <w:rFonts w:hint="eastAsia" w:ascii="仿宋_GB2312" w:eastAsia="仿宋_GB2312"/>
          <w:color w:val="auto"/>
          <w:sz w:val="32"/>
          <w:szCs w:val="32"/>
          <w:highlight w:val="none"/>
          <w:lang w:val="en-US" w:eastAsia="zh-CN"/>
        </w:rPr>
        <w:t>工作餐</w:t>
      </w:r>
      <w:r>
        <w:rPr>
          <w:rFonts w:hint="eastAsia" w:ascii="仿宋_GB2312" w:eastAsia="仿宋_GB2312"/>
          <w:color w:val="auto"/>
          <w:sz w:val="32"/>
          <w:szCs w:val="32"/>
          <w:highlight w:val="none"/>
          <w:lang w:val="zh-CN" w:eastAsia="zh-CN"/>
        </w:rPr>
        <w:t>。单位全年安排的国内公务接待9批次，69人次，</w:t>
      </w:r>
      <w:r>
        <w:rPr>
          <w:rFonts w:hint="eastAsia" w:ascii="仿宋_GB2312" w:eastAsia="仿宋_GB2312"/>
          <w:color w:val="auto"/>
          <w:sz w:val="32"/>
          <w:szCs w:val="32"/>
          <w:highlight w:val="none"/>
          <w:lang w:val="en-US" w:eastAsia="zh-CN"/>
        </w:rPr>
        <w:t>主要为本年度新疆电视台记者来访采访沙湾文化旅游发展、新华社记者来访拍摄棉花丰收、大盘美食节、信泰纺织工艺、鹿角弯景区、温泉景区发展、中央电视台记者来访拍摄安集海辣椒及大盘鸡等、地区融媒来访采访企业运行、乡村振兴等工作餐。</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FF0000"/>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预算数7.86万元，决算数7.86万元，预决算差异率0.00%，主要原因是：财政拨款“三公”经费支出预算数和决算数无变化，预决算无差异。其中：因公出国（境）费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预算数7.46万元，决算数7.46万元，预决算差异率0.00%，主要原因是：公务用车运行费预算数和决算数无变化，预决算无差异；公务接待费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预算数0.40万元，决算数0.40万元，预决算差异率0.00%，主要原因是：</w:t>
      </w:r>
      <w:r>
        <w:rPr>
          <w:rFonts w:hint="eastAsia" w:ascii="仿宋_GB2312" w:eastAsia="仿宋_GB2312"/>
          <w:color w:val="auto"/>
          <w:sz w:val="32"/>
          <w:szCs w:val="32"/>
          <w:highlight w:val="none"/>
          <w:lang w:val="en-US" w:eastAsia="zh-CN"/>
        </w:rPr>
        <w:t>公务接待</w:t>
      </w:r>
      <w:r>
        <w:rPr>
          <w:rFonts w:hint="eastAsia" w:ascii="仿宋_GB2312" w:eastAsia="仿宋_GB2312"/>
          <w:color w:val="auto"/>
          <w:sz w:val="32"/>
          <w:szCs w:val="32"/>
          <w:highlight w:val="none"/>
          <w:lang w:val="zh-CN" w:eastAsia="zh-CN"/>
        </w:rPr>
        <w:t>费预算数和决算数无变化，预决算无差异。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中共沙湾市委员会宣传部（行政单位和参照公务员法管理事业单位）机关运行经费支出23.63万元，</w:t>
      </w:r>
      <w:r>
        <w:rPr>
          <w:rFonts w:hint="eastAsia" w:ascii="仿宋_GB2312" w:hAnsi="仿宋_GB2312" w:eastAsia="仿宋_GB2312" w:cs="仿宋_GB2312"/>
          <w:color w:val="auto"/>
          <w:sz w:val="32"/>
          <w:szCs w:val="32"/>
          <w:highlight w:val="none"/>
          <w:lang w:val="zh-CN" w:eastAsia="zh-CN"/>
        </w:rPr>
        <w:t>比上年增加1.07万元，增长4.74%，主要原因是：</w:t>
      </w:r>
      <w:r>
        <w:rPr>
          <w:rFonts w:hint="eastAsia" w:ascii="仿宋_GB2312" w:eastAsia="仿宋_GB2312"/>
          <w:sz w:val="32"/>
          <w:szCs w:val="32"/>
          <w:highlight w:val="none"/>
        </w:rPr>
        <w:t>本年度业务量增加，办公费、差旅费等支出相应增加，导致本年度公用经费增加</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50.55万元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其中：政府采购货物支出0.20万元、政府采购工程支出0.00万元、政府采购服务支出50.35万元。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授予中小企业合同金额50.55万元，占政府采购支出总额的100.00%，其中：授予小微企业合同金额50.55万元，占政府采购支出总额的100.00%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bCs/>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b/>
          <w:bCs/>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86.99</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屋0.00平方米，价值0.00万元。车辆3辆，价值44.44万元，其中：副部（省）级及以上领导用车0辆、主要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用车0辆、其他用车3辆，其他用车主要是：</w:t>
      </w:r>
      <w:r>
        <w:rPr>
          <w:rFonts w:hint="eastAsia" w:ascii="仿宋_GB2312" w:hAnsi="仿宋_GB2312" w:eastAsia="仿宋_GB2312" w:cs="仿宋_GB2312"/>
          <w:color w:val="auto"/>
          <w:sz w:val="32"/>
          <w:szCs w:val="32"/>
          <w:highlight w:val="none"/>
          <w:lang w:val="en-US" w:eastAsia="zh-CN"/>
        </w:rPr>
        <w:t>公务用车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张，全年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z w:val="32"/>
          <w:szCs w:val="32"/>
          <w:highlight w:val="none"/>
          <w:lang w:eastAsia="zh-CN"/>
        </w:rPr>
        <w:t>765.51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684.67</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eastAsia" w:ascii="仿宋_GB2312" w:hAnsi="仿宋_GB2312" w:eastAsia="仿宋_GB2312" w:cs="仿宋_GB2312"/>
          <w:color w:val="auto"/>
          <w:sz w:val="32"/>
          <w:szCs w:val="32"/>
          <w:highlight w:val="none"/>
          <w:lang w:val="zh-CN" w:eastAsia="zh-CN"/>
        </w:rPr>
        <w:t>3</w:t>
      </w:r>
      <w:r>
        <w:rPr>
          <w:rFonts w:hint="eastAsia" w:ascii="仿宋_GB2312" w:hAnsi="仿宋_GB2312" w:eastAsia="仿宋_GB2312" w:cs="仿宋_GB2312"/>
          <w:color w:val="auto"/>
          <w:sz w:val="32"/>
          <w:szCs w:val="32"/>
          <w:highlight w:val="none"/>
          <w:lang w:val="en-US" w:eastAsia="zh-CN"/>
        </w:rPr>
        <w:t>48.89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ascii="仿宋_GB2312" w:hAnsi="仿宋_GB2312" w:eastAsia="仿宋_GB2312" w:cs="仿宋_GB2312"/>
          <w:color w:val="auto"/>
          <w:sz w:val="32"/>
          <w:szCs w:val="32"/>
          <w:highlight w:val="none"/>
          <w:lang w:val="zh-CN" w:eastAsia="zh-CN"/>
        </w:rPr>
        <w:t>348.87</w:t>
      </w:r>
      <w:r>
        <w:rPr>
          <w:rFonts w:hint="eastAsia" w:ascii="仿宋_GB2312" w:eastAsia="仿宋_GB2312"/>
          <w:color w:val="auto"/>
          <w:sz w:val="32"/>
          <w:szCs w:val="32"/>
          <w:highlight w:val="none"/>
        </w:rPr>
        <w:t>万元，</w:t>
      </w:r>
      <w:r>
        <w:rPr>
          <w:rFonts w:hint="eastAsia" w:ascii="仿宋_GB2312" w:hAnsi="Times New Roman" w:eastAsia="仿宋_GB2312" w:cs="Times New Roman"/>
          <w:color w:val="auto"/>
          <w:sz w:val="32"/>
          <w:szCs w:val="32"/>
          <w:highlight w:val="none"/>
          <w:lang w:eastAsia="zh-CN"/>
        </w:rPr>
        <w:t>本单位sm项目</w:t>
      </w:r>
      <w:r>
        <w:rPr>
          <w:rFonts w:hint="eastAsia" w:ascii="仿宋_GB2312" w:hAnsi="Times New Roman" w:eastAsia="仿宋_GB2312" w:cs="Times New Roman"/>
          <w:color w:val="auto"/>
          <w:sz w:val="32"/>
          <w:szCs w:val="32"/>
          <w:highlight w:val="none"/>
          <w:lang w:val="en-US" w:eastAsia="zh-CN"/>
        </w:rPr>
        <w:t>2</w:t>
      </w:r>
      <w:r>
        <w:rPr>
          <w:rFonts w:hint="eastAsia" w:ascii="仿宋_GB2312" w:hAnsi="Times New Roman" w:eastAsia="仿宋_GB2312" w:cs="Times New Roman"/>
          <w:color w:val="auto"/>
          <w:sz w:val="32"/>
          <w:szCs w:val="32"/>
          <w:highlight w:val="none"/>
          <w:lang w:eastAsia="zh-CN"/>
        </w:rPr>
        <w:t>个，全年预算数</w:t>
      </w:r>
      <w:r>
        <w:rPr>
          <w:rFonts w:hint="eastAsia" w:ascii="仿宋_GB2312" w:eastAsia="仿宋_GB2312" w:cs="Times New Roman"/>
          <w:color w:val="auto"/>
          <w:sz w:val="32"/>
          <w:szCs w:val="32"/>
          <w:highlight w:val="none"/>
          <w:lang w:val="en-US" w:eastAsia="zh-CN"/>
        </w:rPr>
        <w:t>32</w:t>
      </w:r>
      <w:r>
        <w:rPr>
          <w:rFonts w:hint="eastAsia" w:ascii="仿宋_GB2312" w:hAnsi="Times New Roman" w:eastAsia="仿宋_GB2312" w:cs="Times New Roman"/>
          <w:color w:val="auto"/>
          <w:sz w:val="32"/>
          <w:szCs w:val="32"/>
          <w:highlight w:val="none"/>
          <w:lang w:eastAsia="zh-CN"/>
        </w:rPr>
        <w:t>万元，全年执行数</w:t>
      </w:r>
      <w:r>
        <w:rPr>
          <w:rFonts w:hint="eastAsia" w:ascii="仿宋_GB2312" w:eastAsia="仿宋_GB2312" w:cs="Times New Roman"/>
          <w:color w:val="auto"/>
          <w:sz w:val="32"/>
          <w:szCs w:val="32"/>
          <w:highlight w:val="none"/>
          <w:lang w:val="en-US" w:eastAsia="zh-CN"/>
        </w:rPr>
        <w:t>32</w:t>
      </w:r>
      <w:r>
        <w:rPr>
          <w:rFonts w:hint="eastAsia" w:ascii="仿宋_GB2312" w:hAnsi="Times New Roman" w:eastAsia="仿宋_GB2312" w:cs="Times New Roman"/>
          <w:color w:val="auto"/>
          <w:sz w:val="32"/>
          <w:szCs w:val="32"/>
          <w:highlight w:val="none"/>
          <w:lang w:eastAsia="zh-CN"/>
        </w:rPr>
        <w:t>万元，不予以公开</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预算绩效管理取得的成效：一是保障了单位</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lang w:eastAsia="zh-CN"/>
        </w:rPr>
        <w:t>人的工资、社保、公积金及生活补助等支出的正常发放，提升沙湾市</w:t>
      </w:r>
      <w:r>
        <w:rPr>
          <w:rFonts w:hint="eastAsia" w:ascii="仿宋_GB2312" w:eastAsia="仿宋_GB2312"/>
          <w:color w:val="auto"/>
          <w:sz w:val="32"/>
          <w:szCs w:val="32"/>
          <w:highlight w:val="none"/>
          <w:lang w:val="en-US" w:eastAsia="zh-CN"/>
        </w:rPr>
        <w:t>文化宣传</w:t>
      </w:r>
      <w:r>
        <w:rPr>
          <w:rFonts w:hint="eastAsia" w:ascii="仿宋_GB2312" w:eastAsia="仿宋_GB2312"/>
          <w:color w:val="auto"/>
          <w:sz w:val="32"/>
          <w:szCs w:val="32"/>
          <w:highlight w:val="none"/>
          <w:lang w:eastAsia="zh-CN"/>
        </w:rPr>
        <w:t>能力和为民服务能力；二是保障了</w:t>
      </w:r>
      <w:r>
        <w:rPr>
          <w:rFonts w:hint="eastAsia" w:ascii="仿宋_GB2312" w:eastAsia="仿宋_GB2312"/>
          <w:color w:val="auto"/>
          <w:sz w:val="32"/>
          <w:szCs w:val="32"/>
          <w:highlight w:val="none"/>
          <w:lang w:val="en-US" w:eastAsia="zh-CN"/>
        </w:rPr>
        <w:t>宣传部</w:t>
      </w:r>
      <w:r>
        <w:rPr>
          <w:rFonts w:hint="eastAsia" w:ascii="仿宋_GB2312" w:eastAsia="仿宋_GB2312"/>
          <w:color w:val="auto"/>
          <w:sz w:val="32"/>
          <w:szCs w:val="32"/>
          <w:highlight w:val="none"/>
          <w:lang w:eastAsia="zh-CN"/>
        </w:rPr>
        <w:t>的正常运转，提高了</w:t>
      </w:r>
      <w:r>
        <w:rPr>
          <w:rFonts w:hint="eastAsia" w:ascii="仿宋_GB2312" w:eastAsia="仿宋_GB2312"/>
          <w:color w:val="auto"/>
          <w:sz w:val="32"/>
          <w:szCs w:val="32"/>
          <w:highlight w:val="none"/>
          <w:lang w:val="en-US" w:eastAsia="zh-CN"/>
        </w:rPr>
        <w:t>宣传</w:t>
      </w:r>
      <w:r>
        <w:rPr>
          <w:rFonts w:hint="eastAsia" w:ascii="仿宋_GB2312" w:eastAsia="仿宋_GB2312"/>
          <w:color w:val="auto"/>
          <w:sz w:val="32"/>
          <w:szCs w:val="32"/>
          <w:highlight w:val="none"/>
          <w:lang w:eastAsia="zh-CN"/>
        </w:rPr>
        <w:t>运转效能。保障了</w:t>
      </w:r>
      <w:r>
        <w:rPr>
          <w:rFonts w:hint="eastAsia" w:ascii="仿宋_GB2312" w:eastAsia="仿宋_GB2312"/>
          <w:color w:val="auto"/>
          <w:sz w:val="32"/>
          <w:szCs w:val="32"/>
          <w:highlight w:val="none"/>
          <w:lang w:val="en-US" w:eastAsia="zh-CN"/>
        </w:rPr>
        <w:t>宣传部</w:t>
      </w:r>
      <w:r>
        <w:rPr>
          <w:rFonts w:hint="eastAsia" w:ascii="仿宋_GB2312" w:eastAsia="仿宋_GB2312"/>
          <w:color w:val="auto"/>
          <w:sz w:val="32"/>
          <w:szCs w:val="32"/>
          <w:highlight w:val="none"/>
          <w:lang w:eastAsia="zh-CN"/>
        </w:rPr>
        <w:t>按照年初计划如期推进，对于实施进度缓慢的项目，通过调度、约谈等方式推进项目建设和提高项目质量，以发挥资金使用效益。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发现的问题及原因：一是资金使用效益需进一步提高。预算编制前根据年度内单位可预见的工作任务，确定了单位年度预算目标，细化了预算指标，但是在实际支付过程中，未严格按照预算指标执行。财政年初公用经费不足。如：年初预算的车辆运行维护费，不能满足实际公用车辆运行维护费支出；二是绩效目标设立需更加明确、细化和量化。由于对项目过程了解不够，对绩效目标设立不够清晰，量化程度与实际相脱节。不能有效反映项目实施过程中关键指标。</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下一步改进措施：一是高度重视财政预决算工作，加强预算的约束力。继续强化预算内资金和项目管理，加大各项推进力度，定期进行调度，确保各项工作早日完成，资金执行到位，对项目进行监督检查和绩效考核，并强化考核结果应有用；二是加强内部管理，严格执行预算，坚持厉行节约，进一步降低财务支出。加强项目绩效</w:t>
      </w:r>
      <w:r>
        <w:rPr>
          <w:rFonts w:hint="eastAsia" w:ascii="仿宋_GB2312" w:eastAsia="仿宋_GB2312"/>
          <w:color w:val="auto"/>
          <w:sz w:val="32"/>
          <w:szCs w:val="32"/>
          <w:highlight w:val="none"/>
          <w:lang w:val="en-US" w:eastAsia="zh-CN"/>
        </w:rPr>
        <w:t>评价</w:t>
      </w:r>
      <w:r>
        <w:rPr>
          <w:rFonts w:hint="eastAsia" w:ascii="仿宋_GB2312" w:eastAsia="仿宋_GB2312"/>
          <w:color w:val="auto"/>
          <w:sz w:val="32"/>
          <w:szCs w:val="32"/>
          <w:highlight w:val="none"/>
          <w:lang w:eastAsia="zh-CN"/>
        </w:rPr>
        <w:t>工作，将任务落实到具体项目，明确责任主体。加强各项资金绩效管理，做到专款专用，并发挥最大效益，促进基础工作目标的圆满完成。</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Times New Roman" w:eastAsia="仿宋_GB2312" w:cs="Times New Roman"/>
          <w:color w:val="auto"/>
          <w:sz w:val="32"/>
          <w:szCs w:val="32"/>
          <w:highlight w:val="none"/>
          <w:lang w:eastAsia="zh-CN"/>
        </w:rPr>
      </w:pPr>
      <w:bookmarkStart w:id="30" w:name="_Toc24143"/>
      <w:bookmarkStart w:id="31" w:name="_Toc3250"/>
      <w:r>
        <w:rPr>
          <w:rFonts w:hint="eastAsia" w:ascii="仿宋_GB2312" w:hAnsi="Times New Roman" w:eastAsia="仿宋_GB2312" w:cs="Times New Roman"/>
          <w:color w:val="auto"/>
          <w:sz w:val="32"/>
          <w:szCs w:val="32"/>
          <w:highlight w:val="none"/>
          <w:lang w:eastAsia="zh-CN"/>
        </w:rPr>
        <w:t>本单位sm项目</w:t>
      </w:r>
      <w:r>
        <w:rPr>
          <w:rFonts w:hint="eastAsia" w:ascii="仿宋_GB2312" w:hAnsi="Times New Roman" w:eastAsia="仿宋_GB2312" w:cs="Times New Roman"/>
          <w:color w:val="auto"/>
          <w:sz w:val="32"/>
          <w:szCs w:val="32"/>
          <w:highlight w:val="none"/>
          <w:lang w:val="en-US" w:eastAsia="zh-CN"/>
        </w:rPr>
        <w:t>2</w:t>
      </w:r>
      <w:r>
        <w:rPr>
          <w:rFonts w:hint="eastAsia" w:ascii="仿宋_GB2312" w:hAnsi="Times New Roman" w:eastAsia="仿宋_GB2312" w:cs="Times New Roman"/>
          <w:color w:val="auto"/>
          <w:sz w:val="32"/>
          <w:szCs w:val="32"/>
          <w:highlight w:val="none"/>
          <w:lang w:eastAsia="zh-CN"/>
        </w:rPr>
        <w:t>个，全年预算数</w:t>
      </w:r>
      <w:r>
        <w:rPr>
          <w:rFonts w:hint="eastAsia" w:ascii="仿宋_GB2312" w:eastAsia="仿宋_GB2312" w:cs="Times New Roman"/>
          <w:color w:val="auto"/>
          <w:sz w:val="32"/>
          <w:szCs w:val="32"/>
          <w:highlight w:val="none"/>
          <w:lang w:val="en-US" w:eastAsia="zh-CN"/>
        </w:rPr>
        <w:t>32</w:t>
      </w:r>
      <w:r>
        <w:rPr>
          <w:rFonts w:hint="eastAsia" w:ascii="仿宋_GB2312" w:hAnsi="Times New Roman" w:eastAsia="仿宋_GB2312" w:cs="Times New Roman"/>
          <w:color w:val="auto"/>
          <w:sz w:val="32"/>
          <w:szCs w:val="32"/>
          <w:highlight w:val="none"/>
          <w:lang w:eastAsia="zh-CN"/>
        </w:rPr>
        <w:t>万元，全年执行数</w:t>
      </w:r>
      <w:r>
        <w:rPr>
          <w:rFonts w:hint="eastAsia" w:ascii="仿宋_GB2312" w:eastAsia="仿宋_GB2312" w:cs="Times New Roman"/>
          <w:color w:val="auto"/>
          <w:sz w:val="32"/>
          <w:szCs w:val="32"/>
          <w:highlight w:val="none"/>
          <w:lang w:val="en-US" w:eastAsia="zh-CN"/>
        </w:rPr>
        <w:t>32</w:t>
      </w:r>
      <w:r>
        <w:rPr>
          <w:rFonts w:hint="eastAsia" w:ascii="仿宋_GB2312" w:hAnsi="Times New Roman" w:eastAsia="仿宋_GB2312" w:cs="Times New Roman"/>
          <w:color w:val="auto"/>
          <w:sz w:val="32"/>
          <w:szCs w:val="32"/>
          <w:highlight w:val="none"/>
          <w:lang w:eastAsia="zh-CN"/>
        </w:rPr>
        <w:t>万元，不予以公开绩效自评表。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zNDNiMTk4Y2IwMzU3OGZlYTYyNTY0YjI5MmE4ODAifQ=="/>
    <w:docVar w:name="KSO_WPS_MARK_KEY" w:val="41ee2a61-2d54-4f93-83be-afdb9a40d732"/>
  </w:docVars>
  <w:rsids>
    <w:rsidRoot w:val="00000000"/>
    <w:rsid w:val="00213C59"/>
    <w:rsid w:val="003210CE"/>
    <w:rsid w:val="00B70D59"/>
    <w:rsid w:val="00F52A8D"/>
    <w:rsid w:val="01673F14"/>
    <w:rsid w:val="019404F8"/>
    <w:rsid w:val="01C30B6B"/>
    <w:rsid w:val="01ED22F2"/>
    <w:rsid w:val="0233776F"/>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7E1339"/>
    <w:rsid w:val="06DF1C05"/>
    <w:rsid w:val="06FD75CA"/>
    <w:rsid w:val="07093795"/>
    <w:rsid w:val="07804730"/>
    <w:rsid w:val="079052BE"/>
    <w:rsid w:val="08145245"/>
    <w:rsid w:val="08145C21"/>
    <w:rsid w:val="082B7FC8"/>
    <w:rsid w:val="08422688"/>
    <w:rsid w:val="085854ED"/>
    <w:rsid w:val="0879188F"/>
    <w:rsid w:val="08A0354D"/>
    <w:rsid w:val="08CD4C49"/>
    <w:rsid w:val="09114954"/>
    <w:rsid w:val="095A5B83"/>
    <w:rsid w:val="096466E3"/>
    <w:rsid w:val="0968304D"/>
    <w:rsid w:val="09AF3D17"/>
    <w:rsid w:val="0A317AFE"/>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CEF5161"/>
    <w:rsid w:val="0D0D56A2"/>
    <w:rsid w:val="0D172DAA"/>
    <w:rsid w:val="0D4903E8"/>
    <w:rsid w:val="0D7A4A46"/>
    <w:rsid w:val="0E18168C"/>
    <w:rsid w:val="0E640559"/>
    <w:rsid w:val="0F1113DA"/>
    <w:rsid w:val="0F78534A"/>
    <w:rsid w:val="0F89358A"/>
    <w:rsid w:val="0F8C6D51"/>
    <w:rsid w:val="10020131"/>
    <w:rsid w:val="105B0B5E"/>
    <w:rsid w:val="10C349B4"/>
    <w:rsid w:val="10C84DD7"/>
    <w:rsid w:val="112E58D0"/>
    <w:rsid w:val="11731CAC"/>
    <w:rsid w:val="119500A0"/>
    <w:rsid w:val="11C0733B"/>
    <w:rsid w:val="11D50D17"/>
    <w:rsid w:val="120E0809"/>
    <w:rsid w:val="127F665A"/>
    <w:rsid w:val="12F7068C"/>
    <w:rsid w:val="12FB60F0"/>
    <w:rsid w:val="14207DC0"/>
    <w:rsid w:val="14B932DA"/>
    <w:rsid w:val="14C27461"/>
    <w:rsid w:val="150A66AF"/>
    <w:rsid w:val="154C1139"/>
    <w:rsid w:val="158C5B77"/>
    <w:rsid w:val="160004CC"/>
    <w:rsid w:val="160D1149"/>
    <w:rsid w:val="163563C0"/>
    <w:rsid w:val="164315EF"/>
    <w:rsid w:val="16557DFE"/>
    <w:rsid w:val="167268FB"/>
    <w:rsid w:val="16770D0A"/>
    <w:rsid w:val="167D1F74"/>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621CB7"/>
    <w:rsid w:val="1AD807E5"/>
    <w:rsid w:val="1B39345B"/>
    <w:rsid w:val="1BFB2A1F"/>
    <w:rsid w:val="1C015D4A"/>
    <w:rsid w:val="1C0F625F"/>
    <w:rsid w:val="1C290ED5"/>
    <w:rsid w:val="1C317E4F"/>
    <w:rsid w:val="1C472464"/>
    <w:rsid w:val="1D22799A"/>
    <w:rsid w:val="1D5C1A72"/>
    <w:rsid w:val="1D662429"/>
    <w:rsid w:val="1DAF458D"/>
    <w:rsid w:val="1DE837EA"/>
    <w:rsid w:val="1DEB3236"/>
    <w:rsid w:val="1E086ACE"/>
    <w:rsid w:val="1E62130A"/>
    <w:rsid w:val="1E97358B"/>
    <w:rsid w:val="1EAA4A5F"/>
    <w:rsid w:val="1EE869A7"/>
    <w:rsid w:val="1F3F37CF"/>
    <w:rsid w:val="1FA15E62"/>
    <w:rsid w:val="1FED69B6"/>
    <w:rsid w:val="205B6A1E"/>
    <w:rsid w:val="2064678E"/>
    <w:rsid w:val="20DC1AB9"/>
    <w:rsid w:val="20DD6197"/>
    <w:rsid w:val="212631E0"/>
    <w:rsid w:val="2138666F"/>
    <w:rsid w:val="213C6BC4"/>
    <w:rsid w:val="21742080"/>
    <w:rsid w:val="21A4416B"/>
    <w:rsid w:val="21A53757"/>
    <w:rsid w:val="21F879E1"/>
    <w:rsid w:val="221236C6"/>
    <w:rsid w:val="22D7662C"/>
    <w:rsid w:val="23326B7F"/>
    <w:rsid w:val="2380045B"/>
    <w:rsid w:val="23BC04D2"/>
    <w:rsid w:val="23EF1892"/>
    <w:rsid w:val="2483647E"/>
    <w:rsid w:val="249D4C83"/>
    <w:rsid w:val="24A32D55"/>
    <w:rsid w:val="24CE6D9A"/>
    <w:rsid w:val="25292727"/>
    <w:rsid w:val="252E5CA9"/>
    <w:rsid w:val="256F7692"/>
    <w:rsid w:val="25BA2154"/>
    <w:rsid w:val="25C8773F"/>
    <w:rsid w:val="25F06639"/>
    <w:rsid w:val="26235823"/>
    <w:rsid w:val="264A7253"/>
    <w:rsid w:val="26F0170C"/>
    <w:rsid w:val="26FE3B9A"/>
    <w:rsid w:val="27201D62"/>
    <w:rsid w:val="27286E73"/>
    <w:rsid w:val="2797022D"/>
    <w:rsid w:val="27CF2642"/>
    <w:rsid w:val="27E777F5"/>
    <w:rsid w:val="27EA1D4C"/>
    <w:rsid w:val="27EA2E41"/>
    <w:rsid w:val="282459E2"/>
    <w:rsid w:val="283A7FE5"/>
    <w:rsid w:val="285F51FF"/>
    <w:rsid w:val="28DA4193"/>
    <w:rsid w:val="28DF2665"/>
    <w:rsid w:val="28F17F10"/>
    <w:rsid w:val="29072599"/>
    <w:rsid w:val="291029F3"/>
    <w:rsid w:val="29CB58F0"/>
    <w:rsid w:val="2A053397"/>
    <w:rsid w:val="2A145E96"/>
    <w:rsid w:val="2A2131BB"/>
    <w:rsid w:val="2AF5378F"/>
    <w:rsid w:val="2BB94DBF"/>
    <w:rsid w:val="2BF37410"/>
    <w:rsid w:val="2C6F314E"/>
    <w:rsid w:val="2CC206BE"/>
    <w:rsid w:val="2D1136DF"/>
    <w:rsid w:val="2D20606D"/>
    <w:rsid w:val="2D356132"/>
    <w:rsid w:val="2D6729FE"/>
    <w:rsid w:val="2DB87198"/>
    <w:rsid w:val="2DB93C54"/>
    <w:rsid w:val="2E1E3F58"/>
    <w:rsid w:val="2E3D144C"/>
    <w:rsid w:val="2E891204"/>
    <w:rsid w:val="2E924727"/>
    <w:rsid w:val="2F301621"/>
    <w:rsid w:val="2F3F0A28"/>
    <w:rsid w:val="2FBF7029"/>
    <w:rsid w:val="2FD0187F"/>
    <w:rsid w:val="2FD27414"/>
    <w:rsid w:val="2FFE4BB0"/>
    <w:rsid w:val="300E7B60"/>
    <w:rsid w:val="300F6E18"/>
    <w:rsid w:val="30862F5F"/>
    <w:rsid w:val="30A4775A"/>
    <w:rsid w:val="314029C9"/>
    <w:rsid w:val="31C63837"/>
    <w:rsid w:val="31C82E39"/>
    <w:rsid w:val="32470ADA"/>
    <w:rsid w:val="32601BAD"/>
    <w:rsid w:val="329F6389"/>
    <w:rsid w:val="329F74C7"/>
    <w:rsid w:val="32B00829"/>
    <w:rsid w:val="3389023A"/>
    <w:rsid w:val="33CB74FA"/>
    <w:rsid w:val="343642F2"/>
    <w:rsid w:val="343F3010"/>
    <w:rsid w:val="345D0A00"/>
    <w:rsid w:val="34713BFD"/>
    <w:rsid w:val="34BE17A4"/>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621AA"/>
    <w:rsid w:val="3A893816"/>
    <w:rsid w:val="3A893B6D"/>
    <w:rsid w:val="3AD1763A"/>
    <w:rsid w:val="3B196883"/>
    <w:rsid w:val="3B6716E3"/>
    <w:rsid w:val="3B6C6B2D"/>
    <w:rsid w:val="3BFD5FC2"/>
    <w:rsid w:val="3C242659"/>
    <w:rsid w:val="3C96719C"/>
    <w:rsid w:val="3CA72BE8"/>
    <w:rsid w:val="3CDC1E1E"/>
    <w:rsid w:val="3CF37F8C"/>
    <w:rsid w:val="3D137554"/>
    <w:rsid w:val="3D5275AC"/>
    <w:rsid w:val="3D8A0D79"/>
    <w:rsid w:val="3DCC2473"/>
    <w:rsid w:val="3DEB0883"/>
    <w:rsid w:val="3DFD147D"/>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C038FA"/>
    <w:rsid w:val="41431AD5"/>
    <w:rsid w:val="414B3C0F"/>
    <w:rsid w:val="417C1CE7"/>
    <w:rsid w:val="41900018"/>
    <w:rsid w:val="41944406"/>
    <w:rsid w:val="41CE128F"/>
    <w:rsid w:val="41DA6F12"/>
    <w:rsid w:val="42171FB1"/>
    <w:rsid w:val="42631BD8"/>
    <w:rsid w:val="42C10D7B"/>
    <w:rsid w:val="434E6957"/>
    <w:rsid w:val="43BA0E31"/>
    <w:rsid w:val="43C15147"/>
    <w:rsid w:val="43E14DD2"/>
    <w:rsid w:val="43F800E9"/>
    <w:rsid w:val="443A7E4B"/>
    <w:rsid w:val="444A7D08"/>
    <w:rsid w:val="452F5B3A"/>
    <w:rsid w:val="454E7FD2"/>
    <w:rsid w:val="46061BDC"/>
    <w:rsid w:val="461404F8"/>
    <w:rsid w:val="46413018"/>
    <w:rsid w:val="464B7E04"/>
    <w:rsid w:val="4665430C"/>
    <w:rsid w:val="468041AA"/>
    <w:rsid w:val="468123C6"/>
    <w:rsid w:val="46901EEE"/>
    <w:rsid w:val="469C74D2"/>
    <w:rsid w:val="47445515"/>
    <w:rsid w:val="474B4782"/>
    <w:rsid w:val="479B2951"/>
    <w:rsid w:val="47D90D14"/>
    <w:rsid w:val="47DE1152"/>
    <w:rsid w:val="481628E8"/>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4FBC5DB4"/>
    <w:rsid w:val="50447CC2"/>
    <w:rsid w:val="50874A7C"/>
    <w:rsid w:val="50895EE7"/>
    <w:rsid w:val="50921B9D"/>
    <w:rsid w:val="50D16158"/>
    <w:rsid w:val="50DB5F45"/>
    <w:rsid w:val="51025EB1"/>
    <w:rsid w:val="51141503"/>
    <w:rsid w:val="513C450E"/>
    <w:rsid w:val="518D0ED5"/>
    <w:rsid w:val="525C687F"/>
    <w:rsid w:val="529D7D69"/>
    <w:rsid w:val="52A3740A"/>
    <w:rsid w:val="52F647F7"/>
    <w:rsid w:val="52F92565"/>
    <w:rsid w:val="53AE735E"/>
    <w:rsid w:val="53D03877"/>
    <w:rsid w:val="542F73CA"/>
    <w:rsid w:val="5430786D"/>
    <w:rsid w:val="54521E05"/>
    <w:rsid w:val="545A1D2A"/>
    <w:rsid w:val="54602BA7"/>
    <w:rsid w:val="54C811C0"/>
    <w:rsid w:val="556A442D"/>
    <w:rsid w:val="55DA564E"/>
    <w:rsid w:val="55E816A3"/>
    <w:rsid w:val="5604127D"/>
    <w:rsid w:val="56044E6C"/>
    <w:rsid w:val="56166703"/>
    <w:rsid w:val="56510474"/>
    <w:rsid w:val="56861525"/>
    <w:rsid w:val="56A93273"/>
    <w:rsid w:val="56BD550C"/>
    <w:rsid w:val="56E07045"/>
    <w:rsid w:val="56E7362E"/>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730F55"/>
    <w:rsid w:val="5A9F2DDB"/>
    <w:rsid w:val="5AB34579"/>
    <w:rsid w:val="5AB40E78"/>
    <w:rsid w:val="5AF80B40"/>
    <w:rsid w:val="5AFC6609"/>
    <w:rsid w:val="5B113480"/>
    <w:rsid w:val="5BD456CE"/>
    <w:rsid w:val="5C0D1F49"/>
    <w:rsid w:val="5CBB0CE2"/>
    <w:rsid w:val="5CC17177"/>
    <w:rsid w:val="5CF306BC"/>
    <w:rsid w:val="5D3F3D64"/>
    <w:rsid w:val="5D75725A"/>
    <w:rsid w:val="5D833043"/>
    <w:rsid w:val="5DB0749B"/>
    <w:rsid w:val="5DD92690"/>
    <w:rsid w:val="5DDB1CFD"/>
    <w:rsid w:val="5E330A02"/>
    <w:rsid w:val="5E7E6D93"/>
    <w:rsid w:val="5E82459B"/>
    <w:rsid w:val="5ED44800"/>
    <w:rsid w:val="5F350BDE"/>
    <w:rsid w:val="5F61632C"/>
    <w:rsid w:val="5F82508A"/>
    <w:rsid w:val="5FA17648"/>
    <w:rsid w:val="5FE705CB"/>
    <w:rsid w:val="6007714E"/>
    <w:rsid w:val="603D5080"/>
    <w:rsid w:val="606842D0"/>
    <w:rsid w:val="606E2858"/>
    <w:rsid w:val="60D0261B"/>
    <w:rsid w:val="618E3791"/>
    <w:rsid w:val="61947DCA"/>
    <w:rsid w:val="61A46A97"/>
    <w:rsid w:val="61B708BC"/>
    <w:rsid w:val="61D1382F"/>
    <w:rsid w:val="61F114A2"/>
    <w:rsid w:val="622501BB"/>
    <w:rsid w:val="622B0ABA"/>
    <w:rsid w:val="622E4921"/>
    <w:rsid w:val="62512BB4"/>
    <w:rsid w:val="625D7D1A"/>
    <w:rsid w:val="62660469"/>
    <w:rsid w:val="629B1FA3"/>
    <w:rsid w:val="62DD7D21"/>
    <w:rsid w:val="631737F3"/>
    <w:rsid w:val="63784677"/>
    <w:rsid w:val="637D586B"/>
    <w:rsid w:val="63A5560B"/>
    <w:rsid w:val="63E9091F"/>
    <w:rsid w:val="64322AF9"/>
    <w:rsid w:val="64D6010D"/>
    <w:rsid w:val="64D82665"/>
    <w:rsid w:val="64E47C96"/>
    <w:rsid w:val="651E5741"/>
    <w:rsid w:val="655D7702"/>
    <w:rsid w:val="658A4877"/>
    <w:rsid w:val="65A00902"/>
    <w:rsid w:val="65AC6EDD"/>
    <w:rsid w:val="65CF77B3"/>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104A6"/>
    <w:rsid w:val="6A2C39D4"/>
    <w:rsid w:val="6A413FCE"/>
    <w:rsid w:val="6B0A0DBD"/>
    <w:rsid w:val="6B68175F"/>
    <w:rsid w:val="6BFD799F"/>
    <w:rsid w:val="6C4A2E5A"/>
    <w:rsid w:val="6C8138D0"/>
    <w:rsid w:val="6CB17362"/>
    <w:rsid w:val="6CEF0725"/>
    <w:rsid w:val="6D4B2604"/>
    <w:rsid w:val="6D77358F"/>
    <w:rsid w:val="6D8030E4"/>
    <w:rsid w:val="6E0E35C4"/>
    <w:rsid w:val="6E0F7A08"/>
    <w:rsid w:val="6E3947F5"/>
    <w:rsid w:val="6E6733A0"/>
    <w:rsid w:val="6E6E3938"/>
    <w:rsid w:val="6E9C74ED"/>
    <w:rsid w:val="6EF72976"/>
    <w:rsid w:val="6F513C7B"/>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416957"/>
    <w:rsid w:val="735F4CB9"/>
    <w:rsid w:val="73674C62"/>
    <w:rsid w:val="73784DE6"/>
    <w:rsid w:val="73845865"/>
    <w:rsid w:val="739B6D9E"/>
    <w:rsid w:val="73BC1D76"/>
    <w:rsid w:val="73FB6630"/>
    <w:rsid w:val="74014C56"/>
    <w:rsid w:val="748D790E"/>
    <w:rsid w:val="749820CC"/>
    <w:rsid w:val="74CE04EC"/>
    <w:rsid w:val="74E76DCD"/>
    <w:rsid w:val="751D7C0A"/>
    <w:rsid w:val="75722D56"/>
    <w:rsid w:val="75DB5477"/>
    <w:rsid w:val="75FC6AC3"/>
    <w:rsid w:val="7616619B"/>
    <w:rsid w:val="762F29C5"/>
    <w:rsid w:val="76660D7C"/>
    <w:rsid w:val="766C5968"/>
    <w:rsid w:val="76784489"/>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4E5B2F"/>
    <w:rsid w:val="7B9F26AF"/>
    <w:rsid w:val="7BB607FE"/>
    <w:rsid w:val="7C7248A0"/>
    <w:rsid w:val="7C875A65"/>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013BD"/>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6684</Words>
  <Characters>7421</Characters>
  <Lines>0</Lines>
  <Paragraphs>0</Paragraphs>
  <TotalTime>0</TotalTime>
  <ScaleCrop>false</ScaleCrop>
  <LinksUpToDate>false</LinksUpToDate>
  <CharactersWithSpaces>7432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2024-12-02T04:11:52Z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D624B15633CD43C8BF9435464A96BF70</vt:lpwstr>
  </property>
</Properties>
</file>