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沙湾市安集海镇中心学校</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认真贯彻执行党的教育方针，根据我校的特点，结合实际出发，以国家拨给的教育经费为主要资金来源，妥善科学的管理使用各项资金，更好地为我校教育教学工作服务。</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沙湾市安集海镇中心学校2023年度，实有人数</w:t>
      </w:r>
      <w:r>
        <w:rPr>
          <w:rFonts w:hint="eastAsia" w:ascii="仿宋_GB2312" w:eastAsia="仿宋_GB2312"/>
          <w:sz w:val="32"/>
          <w:szCs w:val="32"/>
          <w:lang w:val="zh-CN"/>
        </w:rPr>
        <w:t>240</w:t>
      </w:r>
      <w:r>
        <w:rPr>
          <w:rFonts w:hint="eastAsia" w:ascii="仿宋_GB2312" w:eastAsia="仿宋_GB2312"/>
          <w:sz w:val="32"/>
          <w:szCs w:val="32"/>
        </w:rPr>
        <w:t>人，其中：在职人员</w:t>
      </w:r>
      <w:r>
        <w:rPr>
          <w:rFonts w:hint="eastAsia" w:ascii="仿宋_GB2312" w:eastAsia="仿宋_GB2312"/>
          <w:sz w:val="32"/>
          <w:szCs w:val="32"/>
          <w:lang w:val="zh-CN"/>
        </w:rPr>
        <w:t>140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单位无下属预算单位，下设6个处室，分别是：财务室、校长室、书记室、德育室、校办室、总务处。</w:t>
      </w:r>
      <w:bookmarkStart w:id="6" w:name="_Toc3092"/>
      <w:bookmarkStart w:id="7" w:name="_Toc29374"/>
    </w:p>
    <w:p>
      <w:pPr>
        <w:rPr>
          <w:rFonts w:ascii="仿宋_GB2312" w:eastAsia="仿宋_GB2312"/>
          <w:sz w:val="32"/>
          <w:szCs w:val="32"/>
        </w:rPr>
      </w:pPr>
      <w:r>
        <w:rPr>
          <w:rFonts w:hint="eastAsia" w:ascii="仿宋_GB2312" w:eastAsia="仿宋_GB2312"/>
          <w:sz w:val="32"/>
          <w:szCs w:val="32"/>
        </w:rPr>
        <w:br w:type="page"/>
      </w:r>
    </w:p>
    <w:p>
      <w:pPr>
        <w:ind w:firstLine="640" w:firstLineChars="200"/>
        <w:jc w:val="center"/>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2023年度收入总计3,764.45万元，其中：本年收入合计3,764.45万元，使用非财政拨款结余0.00万元，年初结转和结余0.00万元。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2023年度支出总计3,764.45万元，其中：本年支出合计3,764.45万元，结余分配0.00万元，年末结转和结余0.00万元。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增加808.29万元</w:t>
      </w:r>
      <w:r>
        <w:rPr>
          <w:rFonts w:hint="eastAsia" w:ascii="仿宋_GB2312" w:eastAsia="仿宋_GB2312"/>
          <w:sz w:val="32"/>
          <w:szCs w:val="32"/>
        </w:rPr>
        <w:t>，增长27.34%，主要原因是：2023年新增风雨操场工程项目，2022年没有此项目支出。</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本年收入3,764.45万元，其中：财政拨款收入</w:t>
      </w:r>
      <w:r>
        <w:rPr>
          <w:rFonts w:hint="eastAsia" w:ascii="仿宋_GB2312" w:eastAsia="仿宋_GB2312"/>
          <w:sz w:val="32"/>
          <w:szCs w:val="32"/>
          <w:lang w:val="zh-CN"/>
        </w:rPr>
        <w:t>3,764.45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本年支出3,764.45万元，其中：基本支出2,541.26万元，占67.51%；项目支出1,223.18万元，占32.49%；上缴上级支出0.00万元，占0.00%；经营支出0.00万元，占0.00%；对附属单位补助支出0.00万元，占0.00%。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bookmarkStart w:id="16" w:name="_Toc13833"/>
      <w:bookmarkStart w:id="17" w:name="_Toc20360"/>
      <w:r>
        <w:rPr>
          <w:rFonts w:hint="eastAsia" w:ascii="仿宋_GB2312" w:eastAsia="仿宋_GB2312"/>
          <w:sz w:val="32"/>
          <w:szCs w:val="32"/>
        </w:rPr>
        <w:t>2023年度财政拨款收入总计3,764.45万元，其中：年初财政拨款结转和结余0.00万元，本年财政拨款收入3,764.45万元。财政拨款支出总计3,764.45万元，其中：年末财政拨款结转和结余0.00万元，本年财政拨款支出3,764.45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增加808.29万元，增长27.34%,主要原因是：2023年新增风雨操场工程项目，2022年没有此项目支出。与年初预算相比，年初预算数2,675.18万元，决算数3,764.45万元，预决算差异率40.72%，主要原因是：决算数包含农村校舍安全保障长效机制经费及中心学校风雨操场项目、运动场及附属建设项目，学校实验楼及校园维修项目支出，而预算不包含这些项目支出，所以决算支出数比预算数大。</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3,764.45万元，占本年支出合计的100.00%。与上年相比，增加808.29万元，增长27.34%,主要原因是：2023年新增风雨操场工程项目，2022年没有此项目支出。与年初预算相比，年初预算数2,675.18万元，决算数3,764.45万元，预决算差异率40.72%，主要原因是：决算数包含农村校舍安全保障长效机制经费及中心学校风雨操场项目、运动场及附属建设项目，学校实验楼及校园维修项目支出，而预算不包含这些项目支出，所以决算支出数比预算数大。</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jc w:val="left"/>
        <w:rPr>
          <w:rFonts w:ascii="仿宋_GB2312" w:eastAsia="仿宋_GB2312"/>
          <w:sz w:val="32"/>
          <w:szCs w:val="32"/>
        </w:rPr>
      </w:pPr>
      <w:r>
        <w:rPr>
          <w:rFonts w:ascii="仿宋_GB2312" w:eastAsia="仿宋_GB2312"/>
          <w:sz w:val="32"/>
          <w:szCs w:val="32"/>
        </w:rPr>
        <w:t>1.教育支出（类）3,764.45万元，占100.00%。</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1.教育支出（类）教育费附加安排的支出（款）其他教育费附加安排的支出（项）:支出决算数为37.75万元，比上年决算增加12.</w:t>
      </w:r>
      <w:r>
        <w:rPr>
          <w:rFonts w:hint="eastAsia" w:ascii="仿宋_GB2312" w:eastAsia="仿宋_GB2312"/>
          <w:sz w:val="32"/>
          <w:szCs w:val="32"/>
        </w:rPr>
        <w:t>75</w:t>
      </w:r>
      <w:r>
        <w:rPr>
          <w:rFonts w:hint="eastAsia" w:ascii="仿宋_GB2312" w:hAnsi="仿宋_GB2312" w:eastAsia="仿宋_GB2312" w:cs="仿宋_GB2312"/>
          <w:sz w:val="32"/>
          <w:szCs w:val="32"/>
        </w:rPr>
        <w:t>万元，增长51.00%，主要原因是：</w:t>
      </w:r>
      <w:r>
        <w:rPr>
          <w:rFonts w:hint="eastAsia" w:ascii="仿宋_GB2312" w:hAnsi="仿宋_GB2312" w:eastAsia="仿宋_GB2312" w:cs="仿宋_GB2312"/>
          <w:sz w:val="32"/>
          <w:szCs w:val="32"/>
          <w:lang w:val="zh-CN"/>
        </w:rPr>
        <w:t>2023年安排了学校实验楼及校园维修项目工程款，上年度无此项目。</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2.教育支出（类）普通教育（款）小学教育（项）:支出决算数为2,562.99万元，比上年决算增加745.19万元，增长40.99%，主要原因是：</w:t>
      </w:r>
      <w:r>
        <w:rPr>
          <w:rFonts w:hint="eastAsia" w:ascii="仿宋_GB2312" w:hAnsi="仿宋_GB2312" w:eastAsia="仿宋_GB2312" w:cs="仿宋_GB2312"/>
          <w:sz w:val="32"/>
          <w:szCs w:val="32"/>
          <w:lang w:val="zh-CN"/>
        </w:rPr>
        <w:t>2023年支付风雨操场工程款，上年度无此项目支出。</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3.教育支出（类）普通教育（款）学前教育（项）:支出决算数为493.74万元，比上年决算增加47.06万元，增长10.54%，主要原因是：</w:t>
      </w:r>
      <w:r>
        <w:rPr>
          <w:rFonts w:hint="eastAsia" w:ascii="仿宋_GB2312" w:hAnsi="仿宋_GB2312" w:eastAsia="仿宋_GB2312" w:cs="仿宋_GB2312"/>
          <w:sz w:val="32"/>
          <w:szCs w:val="32"/>
          <w:lang w:val="zh-CN"/>
        </w:rPr>
        <w:t>2023年拨付了2020-2022年欠拨的市配保教费及伙食费资金。</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4.教育支出（类）普通教育（款）初中教育（项）:支出决算数为669.97</w:t>
      </w:r>
      <w:r>
        <w:rPr>
          <w:rFonts w:hint="eastAsia" w:ascii="仿宋_GB2312" w:eastAsia="仿宋_GB2312"/>
          <w:sz w:val="32"/>
          <w:szCs w:val="32"/>
        </w:rPr>
        <w:t>万元</w:t>
      </w:r>
      <w:r>
        <w:rPr>
          <w:rFonts w:hint="eastAsia" w:ascii="仿宋_GB2312" w:hAnsi="仿宋_GB2312" w:eastAsia="仿宋_GB2312" w:cs="仿宋_GB2312"/>
          <w:sz w:val="32"/>
          <w:szCs w:val="32"/>
        </w:rPr>
        <w:t>，比上年决算增加3.29万元，增长0.49%，主要原因是：</w:t>
      </w:r>
      <w:r>
        <w:rPr>
          <w:rFonts w:hint="eastAsia" w:ascii="仿宋_GB2312" w:hAnsi="仿宋_GB2312" w:eastAsia="仿宋_GB2312" w:cs="仿宋_GB2312"/>
          <w:sz w:val="32"/>
          <w:szCs w:val="32"/>
          <w:lang w:val="zh-CN"/>
        </w:rPr>
        <w:t>2023年拨付了以前年度生活补助。</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2,541.26万元，其中：人员经费2,535.09万元，包括：基本工资、津贴补贴、奖金、绩效工资、机关事业单位基本养老保险缴费、职业年金缴费、职工基本医疗保险缴费、其他社会保障缴费、住房公积金、其他工资福利支出、退休费、生活补助、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公用经费6.17万元，包括：工会经费。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本单位无财政拨款“三公”经费支出。其中：因公出国（境）费支出0.00万元，占0.00%，比上年增加0.00万元，增长0.00%，主要原因是：本单位无因公出国（境）费支出；公务用车购置及运行维护费支出0.00万元，占0.00%，比上年增加0.00万元，增长0.00%，主要原因是：本单位无公务用车购置及运行维护费支出；公务接待费支出0.00万元，占0.00%，比上年增加0.00万元，增长0.00%，主要原因是：本单位无公务接待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因公出国（境）费支出0.00万元，开支内容包括本单位无因公出国（境）费支出。单位全年安排的因公出国（境）团组0个，因公出国（境）0人次。</w:t>
      </w:r>
    </w:p>
    <w:p>
      <w:pPr>
        <w:ind w:firstLine="640" w:firstLineChars="200"/>
        <w:jc w:val="left"/>
        <w:rPr>
          <w:rFonts w:ascii="仿宋_GB2312" w:eastAsia="仿宋_GB2312"/>
          <w:sz w:val="32"/>
          <w:szCs w:val="32"/>
        </w:rPr>
      </w:pPr>
      <w:bookmarkStart w:id="18" w:name="_Toc5810"/>
      <w:bookmarkStart w:id="19" w:name="_Toc7927"/>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w:t>
      </w:r>
      <w:r>
        <w:rPr>
          <w:rFonts w:hint="eastAsia" w:ascii="仿宋_GB2312" w:eastAsia="仿宋_GB2312"/>
          <w:color w:val="auto"/>
          <w:sz w:val="32"/>
          <w:szCs w:val="32"/>
          <w:highlight w:val="none"/>
          <w:lang w:val="en-US" w:eastAsia="zh-CN"/>
        </w:rPr>
        <w:t>包括本单位</w:t>
      </w:r>
      <w:r>
        <w:rPr>
          <w:rFonts w:hint="eastAsia" w:ascii="仿宋_GB2312" w:eastAsia="仿宋_GB2312"/>
          <w:color w:val="auto"/>
          <w:sz w:val="32"/>
          <w:szCs w:val="32"/>
          <w:highlight w:val="none"/>
          <w:lang w:val="zh-CN" w:eastAsia="zh-CN"/>
        </w:rPr>
        <w:t>无公务用车购置及运行维护费。公务用车购置数0辆，公务用车保有量0辆。国有资产占用情况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w:t>
      </w:r>
      <w:r>
        <w:rPr>
          <w:rFonts w:hint="eastAsia" w:ascii="仿宋_GB2312" w:eastAsia="仿宋_GB2312"/>
          <w:color w:val="auto"/>
          <w:sz w:val="32"/>
          <w:szCs w:val="32"/>
          <w:highlight w:val="none"/>
          <w:lang w:val="en-US" w:eastAsia="zh-CN"/>
        </w:rPr>
        <w:t>差异</w:t>
      </w:r>
      <w:r>
        <w:rPr>
          <w:rFonts w:hint="eastAsia" w:ascii="仿宋_GB2312" w:eastAsia="仿宋_GB2312"/>
          <w:color w:val="auto"/>
          <w:sz w:val="32"/>
          <w:szCs w:val="32"/>
          <w:highlight w:val="none"/>
          <w:lang w:val="zh-CN" w:eastAsia="zh-CN"/>
        </w:rPr>
        <w:t>。</w:t>
      </w:r>
      <w:bookmarkStart w:id="48" w:name="_GoBack"/>
      <w:bookmarkEnd w:id="48"/>
    </w:p>
    <w:p>
      <w:pPr>
        <w:ind w:firstLine="640" w:firstLineChars="200"/>
        <w:jc w:val="left"/>
        <w:rPr>
          <w:rFonts w:ascii="仿宋_GB2312" w:eastAsia="仿宋_GB2312"/>
          <w:sz w:val="32"/>
          <w:szCs w:val="32"/>
        </w:rPr>
      </w:pPr>
      <w:r>
        <w:rPr>
          <w:rFonts w:hint="eastAsia" w:ascii="仿宋_GB2312" w:eastAsia="仿宋_GB2312"/>
          <w:sz w:val="32"/>
          <w:szCs w:val="32"/>
        </w:rPr>
        <w:t>公务接待费0.00万元，开支内容包括本单位无公务接待费。单位全年安排的国内公务接待0批次，0人次。</w:t>
      </w:r>
    </w:p>
    <w:p>
      <w:pPr>
        <w:ind w:firstLine="640" w:firstLineChars="200"/>
        <w:jc w:val="left"/>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本单位未安排财政拨款“三公”经费支出，预决算无差异。其中：因公出国（境）费全年预算数0.00万元，决算数0.00万元，预决算差异率0.00%，主要原因是：本单位未安排因公出国（境）费，预决算无差异；公务用车购置费全年预算数0.00万元，决算数0.00万元，预决算差异率0.00%，主要原因是：本单位未安排公务用车购置费，预决算无差异；公务用车运行费全年预算数0.00万元，决算数0.00万元，预决算差异率0.00%，主要原因是：本单位未安排公务用车运行费，预决算无差异；公务接待费全年预算数0.00万元，决算数0.00万元，预决算差异率0.00%，主要原因是：本单位未安排公务接待费，预决算无差异。</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w:t>
      </w:r>
      <w:r>
        <w:rPr>
          <w:rFonts w:hint="eastAsia" w:ascii="仿宋_GB2312" w:eastAsia="仿宋_GB2312"/>
          <w:sz w:val="32"/>
          <w:szCs w:val="32"/>
          <w:lang w:val="zh-CN"/>
        </w:rPr>
        <w:t>政府性</w:t>
      </w:r>
      <w:r>
        <w:rPr>
          <w:rFonts w:hint="eastAsia" w:ascii="仿宋_GB2312" w:eastAsia="仿宋_GB2312"/>
          <w:sz w:val="32"/>
          <w:szCs w:val="32"/>
        </w:rPr>
        <w:t>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hint="eastAsia" w:ascii="仿宋_GB2312" w:hAnsi="仿宋_GB2312" w:eastAsia="仿宋_GB2312" w:cs="仿宋_GB2312"/>
          <w:sz w:val="32"/>
          <w:szCs w:val="32"/>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沙湾市安集海镇中心学校（事业单位）公用经费支出6.17万元，</w:t>
      </w:r>
      <w:r>
        <w:rPr>
          <w:rFonts w:hint="eastAsia" w:ascii="仿宋_GB2312" w:hAnsi="仿宋_GB2312" w:eastAsia="仿宋_GB2312" w:cs="仿宋_GB2312"/>
          <w:sz w:val="32"/>
          <w:szCs w:val="32"/>
          <w:lang w:val="zh-CN"/>
        </w:rPr>
        <w:t>比上年减少3.83万元，下降38.30%，主要原因是：2022年包含调整的财聘人员工资在劳务费中反映，2023年公用经费支出6.17万元为工会经费。支出</w:t>
      </w:r>
      <w:r>
        <w:rPr>
          <w:rFonts w:hint="eastAsia" w:ascii="仿宋_GB2312" w:hAnsi="仿宋_GB2312" w:eastAsia="仿宋_GB2312" w:cs="仿宋_GB2312"/>
          <w:sz w:val="32"/>
          <w:szCs w:val="32"/>
        </w:rPr>
        <w:t>减少了财聘人员工资</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2023年支出数少。</w:t>
      </w:r>
    </w:p>
    <w:p>
      <w:pPr>
        <w:ind w:firstLine="640" w:firstLineChars="200"/>
        <w:jc w:val="left"/>
        <w:outlineLvl w:val="2"/>
        <w:rPr>
          <w:rFonts w:ascii="黑体" w:hAnsi="黑体" w:eastAsia="黑体"/>
          <w:sz w:val="32"/>
          <w:szCs w:val="32"/>
        </w:rPr>
      </w:pPr>
      <w:r>
        <w:rPr>
          <w:rFonts w:hint="eastAsia" w:ascii="黑体" w:hAnsi="黑体" w:eastAsia="黑体"/>
          <w:sz w:val="32"/>
          <w:szCs w:val="32"/>
        </w:rPr>
        <w:t>（二）政府采购情况</w:t>
      </w:r>
      <w:bookmarkEnd w:id="24"/>
      <w:bookmarkEnd w:id="25"/>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2023年度政府采购支出总额24.30万元，其中：政府采购货物支出21.70万元、政府采购工程支出2.60万元、政府采购服务支出0.00万元。</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授予中小企业合同金额24.30万元，占政府采购支出总额的100.00%，其中：授予小微企业合同金额24.05万元，占政府采购支出总额的98.97%</w:t>
      </w:r>
      <w:r>
        <w:rPr>
          <w:rFonts w:hint="eastAsia" w:ascii="仿宋_GB2312" w:hAnsi="仿宋_GB2312" w:eastAsia="仿宋_GB2312" w:cs="仿宋_GB2312"/>
          <w:sz w:val="32"/>
          <w:szCs w:val="32"/>
        </w:rPr>
        <w:t>。</w:t>
      </w:r>
    </w:p>
    <w:p>
      <w:pPr>
        <w:ind w:firstLine="640" w:firstLineChars="200"/>
        <w:jc w:val="left"/>
        <w:outlineLvl w:val="2"/>
        <w:rPr>
          <w:rFonts w:ascii="黑体" w:hAnsi="黑体" w:eastAsia="黑体"/>
          <w:sz w:val="32"/>
          <w:szCs w:val="32"/>
        </w:rPr>
      </w:pPr>
      <w:bookmarkStart w:id="26" w:name="_Toc4591"/>
      <w:bookmarkStart w:id="27" w:name="_Toc8391"/>
      <w:r>
        <w:rPr>
          <w:rFonts w:hint="eastAsia" w:ascii="黑体" w:hAnsi="黑体" w:eastAsia="黑体"/>
          <w:sz w:val="32"/>
          <w:szCs w:val="32"/>
        </w:rPr>
        <w:t>（三）国有资产占用情况说明</w:t>
      </w:r>
      <w:bookmarkEnd w:id="26"/>
      <w:bookmarkEnd w:id="27"/>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3,787.53</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屋24,731.78平方米，价值2,774.78万元。车辆1辆，价值8.00万元，其中：副部（省）级及以上领导用车0辆、主要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用车0辆、其他用车1辆，其他用车主要是：垃圾清运车；单价100万元（含）以上设备（不含车辆）0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3821.17万元，实际执行总额3764.44万元；预算绩效评价项目11个，全年预算数1279.34万元，全年执行数1223.18万元，本单位sm项目2个，全年预算数757.75万元，全年执行数757.75万元，不予以公开；预算绩效管理取得的成效：一是管理制度建立情况及成效。《中华人民共和国预算法》、财政部《行政单位财务规则》《事业单位财务规则》，结合我校实际，制定了《沙湾县安集海镇中心学校预算管理制度》，从预算编制、预算分解下达、预算执行、决算编制、绩效管理等方面，对本单位资金运行全过程进行了规范管理；二是资金管理情况及成效。为加强和规范财政资金管理，根据《中华人民共和国预算法》、《中华人民共和国会计法》、《财政违法行为处罚处分条例》及国家财政专项资金管理相关规定，结合我校实际，制定了《沙湾县安集海镇中心学校资金管理暂行办法》，从资金拨付、管理使用、绩效评价、责任落实等方面，对本单位资金安全使用进行制度化、流程化管理。发现的问题及原因：一是预算编制前根据年度内单位可预见的工作任务，确定了单位年度预算目标，细化了预算指标，但是在实际支付过程中，个别时候未严格按照预算指标执行；二是本单位的项目领导小组，对该项目的事前、事中、事后进行监督与跟踪，但在项目实施过程中仍存在不全面的地方，对项目的部分细节有所疏忽。资金的拨付审批程序和手续是否能予以简化。资金的拨付的金额能否加大。有一些项目缺口大。下一步改进措施：一是高度重视财政预决算工作，加强预算的</w:t>
      </w:r>
      <w:r>
        <w:rPr>
          <w:rFonts w:hint="eastAsia" w:ascii="仿宋_GB2312" w:eastAsia="仿宋_GB2312"/>
          <w:sz w:val="32"/>
          <w:szCs w:val="32"/>
          <w:lang w:val="zh-CN"/>
        </w:rPr>
        <w:t>约束力</w:t>
      </w:r>
      <w:r>
        <w:rPr>
          <w:rFonts w:hint="eastAsia" w:ascii="仿宋_GB2312" w:eastAsia="仿宋_GB2312"/>
          <w:sz w:val="32"/>
          <w:szCs w:val="32"/>
        </w:rPr>
        <w:t>；二是加强内部管理，严格执行预算，坚持厉行节约，进一步降低财务支出。具体项目自评情况附项目支出绩效自评表。</w:t>
      </w: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eastAsia="仿宋_GB2312"/>
          <w:sz w:val="32"/>
          <w:szCs w:val="32"/>
        </w:rPr>
      </w:pPr>
      <w:r>
        <w:rPr>
          <w:rFonts w:hint="eastAsia" w:ascii="仿宋_GB2312" w:eastAsia="仿宋_GB2312"/>
          <w:sz w:val="32"/>
          <w:szCs w:val="32"/>
        </w:rPr>
        <w:t>本单位sm项目2个，全年预算数757.75万元，全年执行数757.75万元，不予以公开绩效自评表。</w:t>
      </w:r>
    </w:p>
    <w:p>
      <w:pPr>
        <w:spacing w:line="520" w:lineRule="exact"/>
        <w:ind w:firstLine="640" w:firstLineChars="200"/>
        <w:jc w:val="left"/>
        <w:rPr>
          <w:rFonts w:ascii="仿宋_GB2312" w:eastAsia="仿宋_GB2312"/>
          <w:sz w:val="32"/>
          <w:szCs w:val="32"/>
        </w:rPr>
      </w:pPr>
    </w:p>
    <w:p>
      <w:pPr>
        <w:jc w:val="center"/>
        <w:outlineLvl w:val="0"/>
        <w:rPr>
          <w:rFonts w:hint="eastAsia" w:ascii="黑体" w:hAnsi="黑体" w:eastAsia="黑体"/>
          <w:sz w:val="32"/>
          <w:szCs w:val="32"/>
        </w:rPr>
      </w:pPr>
      <w:bookmarkStart w:id="30" w:name="_Toc3250"/>
      <w:bookmarkStart w:id="31" w:name="_Toc24143"/>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ZDE2NGRiNjc2MjNhY2FkOTdjMGU0ZGMyMGVhZDUifQ=="/>
    <w:docVar w:name="KSO_WPS_MARK_KEY" w:val="41ee2a61-2d54-4f93-83be-afdb9a40d732"/>
  </w:docVars>
  <w:rsids>
    <w:rsidRoot w:val="000B67B7"/>
    <w:rsid w:val="000B67B7"/>
    <w:rsid w:val="00213C59"/>
    <w:rsid w:val="003210CE"/>
    <w:rsid w:val="007877FB"/>
    <w:rsid w:val="0088130E"/>
    <w:rsid w:val="00B70D59"/>
    <w:rsid w:val="00CA1263"/>
    <w:rsid w:val="00E0732D"/>
    <w:rsid w:val="00F52A8D"/>
    <w:rsid w:val="019404F8"/>
    <w:rsid w:val="01C30B6B"/>
    <w:rsid w:val="01ED22F2"/>
    <w:rsid w:val="02BD3108"/>
    <w:rsid w:val="02F73D26"/>
    <w:rsid w:val="03255E5C"/>
    <w:rsid w:val="034D4FEF"/>
    <w:rsid w:val="035D1785"/>
    <w:rsid w:val="039F47CE"/>
    <w:rsid w:val="03BD5310"/>
    <w:rsid w:val="03E05CE8"/>
    <w:rsid w:val="03F973EE"/>
    <w:rsid w:val="043E5B56"/>
    <w:rsid w:val="04C04386"/>
    <w:rsid w:val="04D1736D"/>
    <w:rsid w:val="04D96608"/>
    <w:rsid w:val="04F210E4"/>
    <w:rsid w:val="04FA68C4"/>
    <w:rsid w:val="053F5AE6"/>
    <w:rsid w:val="055573EF"/>
    <w:rsid w:val="057C0B0F"/>
    <w:rsid w:val="057F4541"/>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17D86"/>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897AA8"/>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6F0FED"/>
    <w:rsid w:val="22717D6E"/>
    <w:rsid w:val="22A747F5"/>
    <w:rsid w:val="22D7662C"/>
    <w:rsid w:val="23144B9D"/>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07689"/>
    <w:rsid w:val="387D6B9E"/>
    <w:rsid w:val="38B75FF0"/>
    <w:rsid w:val="38D45016"/>
    <w:rsid w:val="38D90432"/>
    <w:rsid w:val="3914510A"/>
    <w:rsid w:val="3926770B"/>
    <w:rsid w:val="3982065B"/>
    <w:rsid w:val="398D3668"/>
    <w:rsid w:val="39DA0497"/>
    <w:rsid w:val="3A893816"/>
    <w:rsid w:val="3A893B6D"/>
    <w:rsid w:val="3AC81276"/>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AB54C2"/>
    <w:rsid w:val="41431AD5"/>
    <w:rsid w:val="414B3C0F"/>
    <w:rsid w:val="417C1CE7"/>
    <w:rsid w:val="41900018"/>
    <w:rsid w:val="41944406"/>
    <w:rsid w:val="41CE128F"/>
    <w:rsid w:val="41DA6F12"/>
    <w:rsid w:val="42171FB1"/>
    <w:rsid w:val="429F27D4"/>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5E57D0"/>
    <w:rsid w:val="4CEE3180"/>
    <w:rsid w:val="4D0F4AF6"/>
    <w:rsid w:val="4DF94F37"/>
    <w:rsid w:val="4E0A1DD5"/>
    <w:rsid w:val="4E3160E5"/>
    <w:rsid w:val="4E4D37AF"/>
    <w:rsid w:val="4E8C6496"/>
    <w:rsid w:val="4EE206D4"/>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1537D4"/>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8D41A42"/>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AE5A49"/>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B113AB"/>
    <w:rsid w:val="6CEF0725"/>
    <w:rsid w:val="6D4B2604"/>
    <w:rsid w:val="6D77358F"/>
    <w:rsid w:val="6D8030E4"/>
    <w:rsid w:val="6DB50763"/>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DF0AD5"/>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1012</Words>
  <Characters>5769</Characters>
  <Lines>48</Lines>
  <Paragraphs>13</Paragraphs>
  <TotalTime>0</TotalTime>
  <ScaleCrop>false</ScaleCrop>
  <LinksUpToDate>false</LinksUpToDate>
  <CharactersWithSpaces>6768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2025-04-09T04:27:32Z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