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沙湾市天山路幼儿园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w:t>
      </w: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kinsoku/>
        <w:wordWrap/>
        <w:overflowPunct/>
        <w:topLinePunct w:val="0"/>
        <w:bidi w:val="0"/>
        <w:adjustRightInd/>
        <w:snapToGrid/>
        <w:spacing w:line="520" w:lineRule="exact"/>
        <w:jc w:val="left"/>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（1）贯彻执行党和国家有关幼儿教育的方针、政策以及 教育法规、规章,坚持正确的办园方向。执行上级的指示和决议; 贯彻执行《幼儿教育纲要》和《幼儿园工作规程》,深化改革,强化 管理,使各项工作程序化,规范化,制度化,不断提高保教水平。</w:t>
      </w:r>
      <w:r>
        <w:rPr>
          <w:rFonts w:hint="eastAsia" w:ascii="仿宋_GB2312"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（2）行政管理,教育教学、卫生保健、膳食、政治思想工作、职业道德教育,组织政治、业务学习; 幼儿园的保教工作、领导和组织安全、卫生保健工作,确保幼儿在园安全和健康。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3）制定好各类教育工作计划，并认真实施，有计划有步骤地开展班级保教工作。树立正确的儿童观、教育观，热爱幼儿、尊重幼儿，对幼儿做到关心、细心。引导幼儿主动学习。观察、分析并记录幼儿发展情况，因材施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0" w:name="_Toc31238"/>
      <w:bookmarkStart w:id="1"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0"/>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沙湾市天山路幼儿园2023年度，实有人数</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单位无下属预算单位，下设5个处室，分别是：书记办公室、财务室、档案室、保健室、党建室。</w:t>
      </w:r>
      <w:bookmarkStart w:id="2" w:name="_Toc3092"/>
      <w:bookmarkStart w:id="3" w:name="_Toc29374"/>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25314"/>
      <w:bookmarkStart w:id="5" w:name="_Toc12566"/>
      <w:r>
        <w:rPr>
          <w:rFonts w:hint="eastAsia" w:ascii="黑体" w:hAnsi="黑体" w:eastAsia="黑体" w:cs="宋体"/>
          <w:bCs/>
          <w:color w:val="auto"/>
          <w:kern w:val="0"/>
          <w:sz w:val="32"/>
          <w:szCs w:val="32"/>
          <w:highlight w:val="none"/>
        </w:rPr>
        <w:t>一、收入支出决算总体情况说明</w:t>
      </w:r>
      <w:bookmarkEnd w:id="4"/>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309.78万元，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309.78万元，使用非财政拨款结余0.00万元，年初结转和结余0.00万元。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309.78万元，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309.78万元，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增加21.50万元</w:t>
      </w:r>
      <w:r>
        <w:rPr>
          <w:rFonts w:hint="eastAsia" w:ascii="仿宋_GB2312" w:eastAsia="仿宋_GB2312"/>
          <w:color w:val="auto"/>
          <w:spacing w:val="0"/>
          <w:sz w:val="32"/>
          <w:szCs w:val="32"/>
          <w:highlight w:val="none"/>
          <w:lang w:val="en-US" w:eastAsia="zh-CN"/>
        </w:rPr>
        <w:t>，增长7.46%，主要原因是：2023年人员调资，拨付以前年度保教费、伙食费，且本年大型修缮项目资金增加。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6" w:name="_Toc12142"/>
      <w:bookmarkStart w:id="7" w:name="_Toc1979"/>
      <w:r>
        <w:rPr>
          <w:rFonts w:hint="eastAsia" w:ascii="黑体" w:hAnsi="黑体" w:eastAsia="黑体" w:cs="宋体"/>
          <w:bCs/>
          <w:color w:val="auto"/>
          <w:kern w:val="0"/>
          <w:sz w:val="32"/>
          <w:szCs w:val="32"/>
          <w:highlight w:val="none"/>
          <w:lang w:eastAsia="zh-CN"/>
        </w:rPr>
        <w:t>二、收入决算情况说明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本年收入309.78万元，其中：财政拨款收入</w:t>
      </w:r>
      <w:r>
        <w:rPr>
          <w:rFonts w:hint="eastAsia" w:ascii="仿宋_GB2312" w:eastAsia="仿宋_GB2312"/>
          <w:color w:val="auto"/>
          <w:sz w:val="32"/>
          <w:szCs w:val="32"/>
          <w:highlight w:val="none"/>
          <w:lang w:val="zh-CN" w:eastAsia="zh-CN"/>
        </w:rPr>
        <w:t>309.78</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100.00%</w:t>
      </w:r>
      <w:r>
        <w:rPr>
          <w:rFonts w:hint="eastAsia" w:ascii="仿宋_GB2312" w:eastAsia="仿宋_GB2312"/>
          <w:color w:val="auto"/>
          <w:sz w:val="32"/>
          <w:szCs w:val="32"/>
          <w:highlight w:val="none"/>
          <w:lang w:val="en-US" w:eastAsia="zh-CN"/>
        </w:rPr>
        <w:t>；上级补助收入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；事业收入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；经营收入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；附属单位上缴收入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；其他收入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8" w:name="_Toc13201"/>
      <w:bookmarkStart w:id="9" w:name="_Toc27961"/>
      <w:r>
        <w:rPr>
          <w:rFonts w:hint="eastAsia" w:ascii="黑体" w:hAnsi="黑体" w:eastAsia="黑体" w:cs="宋体"/>
          <w:bCs/>
          <w:color w:val="auto"/>
          <w:kern w:val="0"/>
          <w:sz w:val="32"/>
          <w:szCs w:val="32"/>
          <w:highlight w:val="none"/>
          <w:lang w:eastAsia="zh-CN"/>
        </w:rPr>
        <w:t>三、支出决算情况说明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本年支出309.78万元，其中：基本支出220.85万元，占71.29%；项目支出88.93万元，占28.71%；上缴上级支出0.00万元，占0.00%；经营支出0.00万元，占0.00%；对附属单位补助支出0.00万元，占0.00%。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4393"/>
      <w:bookmarkStart w:id="11" w:name="_Toc26564"/>
      <w:r>
        <w:rPr>
          <w:rFonts w:hint="eastAsia" w:ascii="黑体" w:hAnsi="黑体" w:eastAsia="黑体" w:cs="宋体"/>
          <w:bCs/>
          <w:color w:val="auto"/>
          <w:kern w:val="0"/>
          <w:sz w:val="32"/>
          <w:szCs w:val="32"/>
          <w:highlight w:val="none"/>
          <w:lang w:eastAsia="zh-CN"/>
        </w:rPr>
        <w:t>四、财政拨款收入支出决算总体情况说明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w:t>
      </w:r>
      <w:r>
        <w:rPr>
          <w:rFonts w:hint="eastAsia" w:ascii="仿宋_GB2312" w:eastAsia="仿宋_GB2312"/>
          <w:color w:val="auto"/>
          <w:sz w:val="32"/>
          <w:szCs w:val="32"/>
          <w:highlight w:val="none"/>
          <w:lang w:val="en-US" w:eastAsia="zh-CN"/>
        </w:rPr>
        <w:t>财政</w:t>
      </w:r>
      <w:r>
        <w:rPr>
          <w:rFonts w:hint="eastAsia" w:ascii="仿宋_GB2312" w:eastAsia="仿宋_GB2312"/>
          <w:color w:val="auto"/>
          <w:spacing w:val="0"/>
          <w:sz w:val="32"/>
          <w:szCs w:val="32"/>
          <w:highlight w:val="none"/>
          <w:lang w:val="en-US" w:eastAsia="zh-CN"/>
        </w:rPr>
        <w:t>拨款支出</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2023年人员调资，财政拨付2020-2022年度保教费、伙食费，且本年园舍维修项目资金增加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343.44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万元，预决算差异-9.80%，主要原因是：</w:t>
      </w:r>
      <w:r>
        <w:rPr>
          <w:rFonts w:hint="eastAsia" w:ascii="仿宋_GB2312" w:eastAsia="仿宋_GB2312"/>
          <w:color w:val="auto"/>
          <w:spacing w:val="0"/>
          <w:sz w:val="32"/>
          <w:szCs w:val="32"/>
          <w:highlight w:val="none"/>
          <w:lang w:val="en-US" w:eastAsia="zh-CN"/>
        </w:rPr>
        <w:t>沙湾市天山路幼儿园园舍维修为年初预算项目，由于后期施工进度缓慢，支付进度未达到100%</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833"/>
      <w:bookmarkStart w:id="13"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2023年度一般公共预算财政拨款支出309.78万元，占本年支出合计的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w:t>
      </w:r>
      <w:r>
        <w:rPr>
          <w:rFonts w:hint="eastAsia" w:ascii="仿宋_GB2312" w:eastAsia="仿宋_GB2312"/>
          <w:color w:val="auto"/>
          <w:sz w:val="32"/>
          <w:szCs w:val="32"/>
          <w:highlight w:val="none"/>
          <w:lang w:eastAsia="zh-CN"/>
        </w:rPr>
        <w:t>上年</w:t>
      </w:r>
      <w:r>
        <w:rPr>
          <w:rFonts w:hint="eastAsia" w:ascii="仿宋_GB2312" w:eastAsia="仿宋_GB2312"/>
          <w:color w:val="auto"/>
          <w:spacing w:val="0"/>
          <w:sz w:val="32"/>
          <w:szCs w:val="32"/>
          <w:highlight w:val="none"/>
          <w:lang w:eastAsia="zh-CN"/>
        </w:rPr>
        <w:t>相比，</w:t>
      </w:r>
      <w:r>
        <w:rPr>
          <w:rFonts w:hint="eastAsia" w:ascii="仿宋_GB2312" w:eastAsia="仿宋_GB2312"/>
          <w:color w:val="auto"/>
          <w:spacing w:val="0"/>
          <w:sz w:val="32"/>
          <w:szCs w:val="32"/>
          <w:highlight w:val="none"/>
          <w:lang w:val="zh-CN" w:eastAsia="zh-CN"/>
        </w:rPr>
        <w:t>增加21.50万元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2023年人员调资，财政拨付2020-2022年度保教费、伙食费，且本年园舍维修项目资金增加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343.44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309.78</w:t>
      </w:r>
      <w:r>
        <w:rPr>
          <w:rFonts w:hint="eastAsia" w:ascii="仿宋_GB2312" w:eastAsia="仿宋_GB2312"/>
          <w:color w:val="auto"/>
          <w:spacing w:val="0"/>
          <w:sz w:val="32"/>
          <w:szCs w:val="32"/>
          <w:highlight w:val="none"/>
          <w:lang w:eastAsia="zh-CN"/>
        </w:rPr>
        <w:t>万元，预决算差异</w:t>
      </w:r>
      <w:r>
        <w:rPr>
          <w:rFonts w:hint="eastAsia" w:ascii="仿宋_GB2312" w:eastAsia="仿宋_GB2312"/>
          <w:color w:val="auto"/>
          <w:spacing w:val="0"/>
          <w:sz w:val="32"/>
          <w:szCs w:val="32"/>
          <w:highlight w:val="none"/>
          <w:lang w:val="zh-CN" w:eastAsia="zh-CN"/>
        </w:rPr>
        <w:t>-9.80%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沙湾市天山路幼儿园园舍维修为年初预算项目，由于后期施工进度缓慢，支付进度未达到100%</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309.78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1.教育支出（类项 ）教育费附加安排的支出（款）其他教育费附加安排的支出（项）:支出决算数为5.00万元，比上年决算增加2.00万元，增长66.67%，主要原因是：2023年增加幼儿园假期园舍维修资金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2.教育支出（类）普通教育（款）学前教育（项）:支出决算数为304.78万元，比</w:t>
      </w:r>
      <w:r>
        <w:rPr>
          <w:rFonts w:hint="eastAsia" w:ascii="仿宋_GB2312" w:eastAsia="仿宋_GB2312"/>
          <w:color w:val="auto"/>
          <w:sz w:val="32"/>
          <w:szCs w:val="32"/>
          <w:highlight w:val="none"/>
          <w:lang w:val="en-US" w:eastAsia="zh-CN"/>
        </w:rPr>
        <w:t>上年</w:t>
      </w:r>
      <w:r>
        <w:rPr>
          <w:rFonts w:hint="eastAsia" w:ascii="仿宋_GB2312" w:hAnsi="仿宋_GB2312" w:eastAsia="仿宋_GB2312" w:cs="仿宋_GB2312"/>
          <w:color w:val="auto"/>
          <w:kern w:val="2"/>
          <w:sz w:val="32"/>
          <w:szCs w:val="32"/>
          <w:highlight w:val="none"/>
          <w:lang w:val="en-US" w:eastAsia="zh-CN" w:bidi="ar-SA"/>
        </w:rPr>
        <w:t>决算增加19.50万元，增长6.84%，主要原因是：</w:t>
      </w:r>
      <w:r>
        <w:rPr>
          <w:rFonts w:hint="eastAsia" w:ascii="仿宋_GB2312" w:eastAsia="仿宋_GB2312"/>
          <w:color w:val="auto"/>
          <w:spacing w:val="0"/>
          <w:sz w:val="32"/>
          <w:szCs w:val="32"/>
          <w:highlight w:val="none"/>
          <w:lang w:val="en-US" w:eastAsia="zh-CN"/>
        </w:rPr>
        <w:t>2023年人员调资，财政拨付2020-2022年度保教费、伙食费，且本年园舍维修项目资金增加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2023年度一般公共预算财政拨款基本支出220.85万元，其中：人员经费220.39万元，包括：</w:t>
      </w:r>
      <w:r>
        <w:rPr>
          <w:rFonts w:hint="eastAsia" w:ascii="仿宋_GB2312" w:eastAsia="仿宋_GB2312"/>
          <w:color w:val="auto"/>
          <w:spacing w:val="0"/>
          <w:sz w:val="32"/>
          <w:szCs w:val="32"/>
          <w:highlight w:val="none"/>
          <w:lang w:val="en-US" w:eastAsia="zh-CN"/>
        </w:rPr>
        <w:t>基本工资、津贴补贴、奖金、绩效工资、机关事业单位基本养老保险缴费、职工基本医疗保险缴费、其他社会</w:t>
      </w:r>
      <w:r>
        <w:rPr>
          <w:rFonts w:hint="eastAsia" w:ascii="仿宋_GB2312" w:eastAsia="仿宋_GB2312"/>
          <w:color w:val="auto"/>
          <w:sz w:val="32"/>
          <w:szCs w:val="32"/>
          <w:highlight w:val="none"/>
          <w:lang w:val="en-US" w:eastAsia="zh-CN"/>
        </w:rPr>
        <w:t>保障</w:t>
      </w:r>
      <w:r>
        <w:rPr>
          <w:rFonts w:hint="eastAsia" w:ascii="仿宋_GB2312" w:eastAsia="仿宋_GB2312"/>
          <w:color w:val="auto"/>
          <w:spacing w:val="0"/>
          <w:sz w:val="32"/>
          <w:szCs w:val="32"/>
          <w:highlight w:val="none"/>
          <w:lang w:val="en-US" w:eastAsia="zh-CN"/>
        </w:rPr>
        <w:t>缴费、住房公积金、其他工资福利支出、退休费、奖励金、其他对个人和家庭的补助。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公用经费0.46万元，包括：</w:t>
      </w:r>
      <w:r>
        <w:rPr>
          <w:rFonts w:hint="eastAsia" w:ascii="仿宋_GB2312" w:eastAsia="仿宋_GB2312"/>
          <w:color w:val="auto"/>
          <w:spacing w:val="0"/>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主要原因是：我单位无“三公”经费支出。其中：因公出国（境）费支出0.00万元，占0.00%，比上年增加0.00万元，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预算数0.00万元，决算数0.00万元，预决算差异率0.00%，主要原因是：我单位无“三公”经费，预决算无差异。其中：因公出国（境）费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bookmarkStart w:id="14" w:name="_Toc5810"/>
      <w:bookmarkStart w:id="15"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val="zh-CN" w:eastAsia="zh-CN"/>
        </w:rPr>
        <w:t>、政府性基金预算财政拨款收入支出决算情况说明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7314"/>
      <w:bookmarkStart w:id="17" w:name="_Toc1235"/>
      <w:r>
        <w:rPr>
          <w:rFonts w:hint="eastAsia" w:ascii="黑体" w:hAnsi="黑体" w:eastAsia="黑体" w:cs="宋体"/>
          <w:bCs/>
          <w:color w:val="auto"/>
          <w:kern w:val="0"/>
          <w:sz w:val="32"/>
          <w:szCs w:val="32"/>
          <w:highlight w:val="none"/>
          <w:lang w:eastAsia="zh-CN"/>
        </w:rPr>
        <w:t>十、其他重要事项的情况说明</w:t>
      </w:r>
      <w:bookmarkEnd w:id="16"/>
      <w:bookmarkEnd w:id="17"/>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olor w:val="auto"/>
          <w:sz w:val="32"/>
          <w:szCs w:val="32"/>
          <w:highlight w:val="none"/>
        </w:rPr>
      </w:pPr>
      <w:bookmarkStart w:id="18" w:name="_Toc14519"/>
      <w:bookmarkStart w:id="19"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0" w:name="_Toc227"/>
      <w:bookmarkStart w:id="21"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沙湾市天山路幼儿园（事业单位）公用经费支出0.46万元，</w:t>
      </w:r>
      <w:r>
        <w:rPr>
          <w:rFonts w:hint="eastAsia" w:ascii="仿宋_GB2312" w:hAnsi="仿宋_GB2312" w:eastAsia="仿宋_GB2312" w:cs="仿宋_GB2312"/>
          <w:color w:val="auto"/>
          <w:sz w:val="32"/>
          <w:szCs w:val="32"/>
          <w:highlight w:val="none"/>
          <w:lang w:val="zh-CN" w:eastAsia="zh-CN"/>
        </w:rPr>
        <w:t>比上年增加0.46万元，增长100.00%，主要原因是：</w:t>
      </w:r>
      <w:r>
        <w:rPr>
          <w:rFonts w:hint="eastAsia" w:ascii="仿宋_GB2312" w:hAnsi="仿宋_GB2312" w:eastAsia="仿宋_GB2312" w:cs="仿宋_GB2312"/>
          <w:color w:val="auto"/>
          <w:sz w:val="32"/>
          <w:szCs w:val="32"/>
          <w:highlight w:val="none"/>
          <w:lang w:val="en-US" w:eastAsia="zh-CN"/>
        </w:rPr>
        <w:t>2023年主要支出工会经费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2" w:name="_Toc8391"/>
      <w:bookmarkStart w:id="23" w:name="_Toc4591"/>
      <w:r>
        <w:rPr>
          <w:rFonts w:hint="eastAsia" w:ascii="Times New Roman" w:hAnsi="Times New Roman" w:eastAsia="黑体" w:cs="Times New Roman"/>
          <w:color w:val="auto"/>
          <w:sz w:val="32"/>
          <w:szCs w:val="30"/>
          <w:highlight w:val="none"/>
          <w:lang w:val="zh-CN" w:eastAsia="zh-CN"/>
        </w:rPr>
        <w:t>（三）国有资产占用情况说明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300.69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屋1,311.00平方米，价值218.37万元。车辆0辆，价值0.00万元，其中：副部（省）级及以上领导用车0辆、主要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w:t>
      </w:r>
      <w:r>
        <w:rPr>
          <w:rFonts w:hint="eastAsia" w:ascii="仿宋_GB2312" w:eastAsia="仿宋_GB2312"/>
          <w:color w:val="auto"/>
          <w:sz w:val="32"/>
          <w:szCs w:val="32"/>
          <w:highlight w:val="none"/>
          <w:lang w:val="zh-CN" w:eastAsia="zh-CN"/>
        </w:rPr>
        <w:t>专业</w:t>
      </w:r>
      <w:r>
        <w:rPr>
          <w:rFonts w:hint="eastAsia" w:ascii="仿宋_GB2312" w:hAnsi="仿宋_GB2312" w:eastAsia="仿宋_GB2312" w:cs="仿宋_GB2312"/>
          <w:color w:val="auto"/>
          <w:sz w:val="32"/>
          <w:szCs w:val="32"/>
          <w:highlight w:val="none"/>
          <w:lang w:val="zh-CN" w:eastAsia="zh-CN"/>
        </w:rPr>
        <w:t>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4" w:name="_Toc11283"/>
      <w:bookmarkStart w:id="25"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4"/>
      <w:bookmarkEnd w:id="25"/>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1个，全年预算总额309.78</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实际执行总额309.78</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全年预算数88.93</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全年执行数88.93</w:t>
      </w:r>
      <w:r>
        <w:rPr>
          <w:rFonts w:hint="eastAsia" w:ascii="仿宋_GB2312" w:eastAsia="仿宋_GB2312"/>
          <w:color w:val="auto"/>
          <w:sz w:val="32"/>
          <w:szCs w:val="32"/>
          <w:highlight w:val="none"/>
          <w:lang w:eastAsia="zh-CN"/>
        </w:rPr>
        <w:t>万元，本单位sm项目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5万元，不予以公开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提高特岗教师收入水平，专项资金能及时足额到位，为提高教育教学水平提供保障，专项资金能及时足额到位，为学前教育教学工作的开展提供保障，有效改善教学环境。二是使用符合确定的支出用途、做到专款专用</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一是对自评中发现的问题认真整改；二是项目实施跟踪还需加强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一是认真落实政策，做到专款专用；二是 及时跟踪执行过程，保障项目顺利实施</w:t>
      </w:r>
      <w:r>
        <w:rPr>
          <w:rFonts w:hint="eastAsia" w:ascii="仿宋_GB2312" w:eastAsia="仿宋_GB2312"/>
          <w:color w:val="auto"/>
          <w:sz w:val="32"/>
          <w:szCs w:val="32"/>
          <w:highlight w:val="none"/>
          <w:lang w:eastAsia="zh-CN"/>
        </w:rPr>
        <w:t>。具体项目自评情况附绩效自评表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numPr>
          <w:ilvl w:val="0"/>
          <w:numId w:val="2"/>
        </w:numPr>
        <w:kinsoku/>
        <w:wordWrap/>
        <w:overflowPunct/>
        <w:topLinePunct w:val="0"/>
        <w:bidi w:val="0"/>
        <w:adjustRightInd/>
        <w:snapToGrid/>
        <w:spacing w:line="52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授予中小企业合同金额、授予小微企业合同金额为0万元，主要原因是本单位无政府采购平台，无相关数据填报；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w:t>
      </w:r>
      <w:r>
        <w:rPr>
          <w:rFonts w:hint="eastAsia" w:ascii="仿宋_GB2312" w:eastAsia="仿宋_GB2312"/>
          <w:color w:val="auto"/>
          <w:sz w:val="32"/>
          <w:szCs w:val="32"/>
          <w:highlight w:val="none"/>
          <w:lang w:eastAsia="zh-CN"/>
        </w:rPr>
        <w:t>全年预算数</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5万元，</w:t>
      </w:r>
      <w:r>
        <w:rPr>
          <w:rFonts w:hint="eastAsia" w:ascii="仿宋_GB2312" w:hAnsi="仿宋_GB2312" w:eastAsia="仿宋_GB2312" w:cs="仿宋_GB2312"/>
          <w:color w:val="auto"/>
          <w:kern w:val="0"/>
          <w:sz w:val="32"/>
          <w:szCs w:val="32"/>
          <w:highlight w:val="none"/>
          <w:lang w:val="en-US" w:eastAsia="zh-CN"/>
        </w:rPr>
        <w:t>不予以公开绩效自评表。</w:t>
      </w:r>
      <w:bookmarkStart w:id="44" w:name="_GoBack"/>
      <w:bookmarkEnd w:id="4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26" w:name="_Toc24143"/>
      <w:bookmarkStart w:id="27" w:name="_Toc3250"/>
      <w:r>
        <w:rPr>
          <w:rFonts w:hint="eastAsia" w:ascii="黑体" w:hAnsi="黑体" w:eastAsia="黑体"/>
          <w:color w:val="auto"/>
          <w:sz w:val="32"/>
          <w:szCs w:val="32"/>
          <w:highlight w:val="none"/>
        </w:rPr>
        <w:br w:type="page"/>
      </w:r>
      <w:bookmarkEnd w:id="26"/>
      <w:bookmarkEnd w:id="27"/>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一、《收入支出决算总表》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三、《支出决算表》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四、《财政拨款收入支出决算总表》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七、《财政拨款“三公”经费支出决算表》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八、《政府性基金预算财政拨款收入支出决算表》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520" w:lineRule="exact"/>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28" w:name="_Toc2183"/>
      <w:bookmarkStart w:id="29" w:name="_Toc6062"/>
      <w:r>
        <w:rPr>
          <w:rFonts w:hint="eastAsia" w:ascii="黑体" w:hAnsi="黑体" w:eastAsia="仿宋_GB2312" w:cs="宋体"/>
          <w:bCs/>
          <w:color w:val="auto"/>
          <w:kern w:val="0"/>
          <w:sz w:val="32"/>
          <w:szCs w:val="32"/>
          <w:highlight w:val="none"/>
        </w:rPr>
        <w:t>一、《收入支出决算总表》</w:t>
      </w:r>
      <w:bookmarkEnd w:id="28"/>
      <w:bookmarkEnd w:id="29"/>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0" w:name="_Toc30364"/>
      <w:bookmarkStart w:id="31" w:name="_Toc24532"/>
      <w:r>
        <w:rPr>
          <w:rFonts w:hint="eastAsia" w:ascii="黑体" w:hAnsi="黑体" w:eastAsia="仿宋_GB2312" w:cs="宋体"/>
          <w:bCs/>
          <w:color w:val="auto"/>
          <w:kern w:val="0"/>
          <w:sz w:val="32"/>
          <w:szCs w:val="32"/>
          <w:highlight w:val="none"/>
        </w:rPr>
        <w:t>二、《收入决算表》</w:t>
      </w:r>
      <w:bookmarkEnd w:id="30"/>
      <w:bookmarkEnd w:id="31"/>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2" w:name="_Toc21304"/>
      <w:bookmarkStart w:id="33" w:name="_Toc32434"/>
      <w:r>
        <w:rPr>
          <w:rFonts w:hint="eastAsia" w:ascii="黑体" w:hAnsi="黑体" w:eastAsia="仿宋_GB2312" w:cs="宋体"/>
          <w:bCs/>
          <w:color w:val="auto"/>
          <w:kern w:val="0"/>
          <w:sz w:val="32"/>
          <w:szCs w:val="32"/>
          <w:highlight w:val="none"/>
        </w:rPr>
        <w:t>三、《支出决算表》</w:t>
      </w:r>
      <w:bookmarkEnd w:id="32"/>
      <w:bookmarkEnd w:id="33"/>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4" w:name="_Toc28786"/>
      <w:bookmarkStart w:id="35" w:name="_Toc14238"/>
      <w:r>
        <w:rPr>
          <w:rFonts w:hint="eastAsia" w:ascii="黑体" w:hAnsi="黑体" w:eastAsia="仿宋_GB2312" w:cs="宋体"/>
          <w:bCs/>
          <w:color w:val="auto"/>
          <w:kern w:val="0"/>
          <w:sz w:val="32"/>
          <w:szCs w:val="32"/>
          <w:highlight w:val="none"/>
        </w:rPr>
        <w:t>四、《财政拨款收入支出决算总表》</w:t>
      </w:r>
      <w:bookmarkEnd w:id="34"/>
      <w:bookmarkEnd w:id="35"/>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6" w:name="_Toc14869"/>
      <w:bookmarkStart w:id="37" w:name="_Toc10347"/>
      <w:r>
        <w:rPr>
          <w:rFonts w:hint="eastAsia" w:ascii="黑体" w:hAnsi="黑体" w:eastAsia="仿宋_GB2312" w:cs="宋体"/>
          <w:bCs/>
          <w:color w:val="auto"/>
          <w:kern w:val="0"/>
          <w:sz w:val="32"/>
          <w:szCs w:val="32"/>
          <w:highlight w:val="none"/>
        </w:rPr>
        <w:t>五、《一般公共预算财政拨款支出决算表》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8" w:name="_Toc8884"/>
      <w:bookmarkStart w:id="39" w:name="_Toc5626"/>
      <w:r>
        <w:rPr>
          <w:rFonts w:hint="eastAsia" w:ascii="黑体" w:hAnsi="黑体" w:eastAsia="仿宋_GB2312" w:cs="宋体"/>
          <w:bCs/>
          <w:color w:val="auto"/>
          <w:kern w:val="0"/>
          <w:sz w:val="32"/>
          <w:szCs w:val="32"/>
          <w:highlight w:val="none"/>
        </w:rPr>
        <w:t>六、《一般公共预算财政拨款基本支出决算表》</w:t>
      </w:r>
      <w:bookmarkEnd w:id="38"/>
      <w:bookmarkEnd w:id="39"/>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0" w:name="_Toc29106"/>
      <w:bookmarkStart w:id="41" w:name="_Toc32663"/>
      <w:r>
        <w:rPr>
          <w:rFonts w:hint="eastAsia" w:ascii="黑体" w:hAnsi="黑体" w:eastAsia="仿宋_GB2312" w:cs="宋体"/>
          <w:bCs/>
          <w:color w:val="auto"/>
          <w:kern w:val="0"/>
          <w:sz w:val="32"/>
          <w:szCs w:val="32"/>
          <w:highlight w:val="none"/>
        </w:rPr>
        <w:t>《财政拨款“三公”经费支出决算表》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2" w:name="_Toc5453"/>
      <w:bookmarkStart w:id="43" w:name="_Toc7643"/>
      <w:r>
        <w:rPr>
          <w:rFonts w:hint="eastAsia" w:ascii="黑体" w:hAnsi="黑体" w:eastAsia="仿宋_GB2312" w:cs="宋体"/>
          <w:bCs/>
          <w:color w:val="auto"/>
          <w:kern w:val="0"/>
          <w:sz w:val="32"/>
          <w:szCs w:val="32"/>
          <w:highlight w:val="none"/>
        </w:rPr>
        <w:t>八、《政府性基金预算财政拨款收入支出决算表》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20" w:lineRule="exact"/>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E05EEE"/>
    <w:multiLevelType w:val="singleLevel"/>
    <w:tmpl w:val="D6E05EEE"/>
    <w:lvl w:ilvl="0" w:tentative="0">
      <w:start w:val="12"/>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2IxYjA3ZTAzYjQyYmNlNmUwNjQ3NDM4YzkwNjcifQ=="/>
    <w:docVar w:name="KSO_WPS_MARK_KEY" w:val="41ee2a61-2d54-4f93-83be-afdb9a40d732"/>
  </w:docVars>
  <w:rsids>
    <w:rsidRoot w:val="00000000"/>
    <w:rsid w:val="00213C59"/>
    <w:rsid w:val="003210CE"/>
    <w:rsid w:val="00B70D59"/>
    <w:rsid w:val="00F52A8D"/>
    <w:rsid w:val="019404F8"/>
    <w:rsid w:val="01C30B6B"/>
    <w:rsid w:val="01ED22F2"/>
    <w:rsid w:val="02254A05"/>
    <w:rsid w:val="02BD3108"/>
    <w:rsid w:val="02F73D26"/>
    <w:rsid w:val="034D4FEF"/>
    <w:rsid w:val="035D1785"/>
    <w:rsid w:val="039F47CE"/>
    <w:rsid w:val="03BD5310"/>
    <w:rsid w:val="03E05CE8"/>
    <w:rsid w:val="03F973EE"/>
    <w:rsid w:val="043E5B56"/>
    <w:rsid w:val="04C04386"/>
    <w:rsid w:val="04D1736D"/>
    <w:rsid w:val="04D96608"/>
    <w:rsid w:val="04F0309E"/>
    <w:rsid w:val="04F210E4"/>
    <w:rsid w:val="04F6271E"/>
    <w:rsid w:val="04FA68C4"/>
    <w:rsid w:val="04FC6AE0"/>
    <w:rsid w:val="053F5AE6"/>
    <w:rsid w:val="057C0B0F"/>
    <w:rsid w:val="05EF4B48"/>
    <w:rsid w:val="05F76ECA"/>
    <w:rsid w:val="06183A24"/>
    <w:rsid w:val="06792773"/>
    <w:rsid w:val="06FD75CA"/>
    <w:rsid w:val="07093795"/>
    <w:rsid w:val="07804730"/>
    <w:rsid w:val="079052BE"/>
    <w:rsid w:val="08016123"/>
    <w:rsid w:val="08145C21"/>
    <w:rsid w:val="08422688"/>
    <w:rsid w:val="085854ED"/>
    <w:rsid w:val="0879188F"/>
    <w:rsid w:val="08A0354D"/>
    <w:rsid w:val="08CD4C49"/>
    <w:rsid w:val="08D17611"/>
    <w:rsid w:val="09114954"/>
    <w:rsid w:val="095A5B83"/>
    <w:rsid w:val="096466E3"/>
    <w:rsid w:val="0968304D"/>
    <w:rsid w:val="09AF3D17"/>
    <w:rsid w:val="0A460579"/>
    <w:rsid w:val="0A7809B7"/>
    <w:rsid w:val="0A7B4867"/>
    <w:rsid w:val="0A840954"/>
    <w:rsid w:val="0A9928ED"/>
    <w:rsid w:val="0B61769D"/>
    <w:rsid w:val="0B8C3ECC"/>
    <w:rsid w:val="0B9C639D"/>
    <w:rsid w:val="0BB052B2"/>
    <w:rsid w:val="0BD33FFC"/>
    <w:rsid w:val="0BE97AC1"/>
    <w:rsid w:val="0BED451B"/>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904162"/>
    <w:rsid w:val="102224C5"/>
    <w:rsid w:val="105B0B5E"/>
    <w:rsid w:val="1073122E"/>
    <w:rsid w:val="10742A50"/>
    <w:rsid w:val="10C81F6C"/>
    <w:rsid w:val="112E58D0"/>
    <w:rsid w:val="11731CAC"/>
    <w:rsid w:val="119500A0"/>
    <w:rsid w:val="11C0733B"/>
    <w:rsid w:val="11D50D17"/>
    <w:rsid w:val="120E0809"/>
    <w:rsid w:val="127F665A"/>
    <w:rsid w:val="12F7068C"/>
    <w:rsid w:val="13411BFA"/>
    <w:rsid w:val="14207DC0"/>
    <w:rsid w:val="14B932DA"/>
    <w:rsid w:val="150A66AF"/>
    <w:rsid w:val="154C1139"/>
    <w:rsid w:val="158C5B77"/>
    <w:rsid w:val="15C26F8A"/>
    <w:rsid w:val="160D1149"/>
    <w:rsid w:val="163563C0"/>
    <w:rsid w:val="164315EF"/>
    <w:rsid w:val="16557DFE"/>
    <w:rsid w:val="167268FB"/>
    <w:rsid w:val="16770D0A"/>
    <w:rsid w:val="168D57EA"/>
    <w:rsid w:val="169A0039"/>
    <w:rsid w:val="16D50C50"/>
    <w:rsid w:val="16E120E1"/>
    <w:rsid w:val="17385A05"/>
    <w:rsid w:val="173B3901"/>
    <w:rsid w:val="176747F9"/>
    <w:rsid w:val="17954A6E"/>
    <w:rsid w:val="17BE2C86"/>
    <w:rsid w:val="180059E9"/>
    <w:rsid w:val="1813779F"/>
    <w:rsid w:val="184510FD"/>
    <w:rsid w:val="190648B0"/>
    <w:rsid w:val="19071D6C"/>
    <w:rsid w:val="19D26CD4"/>
    <w:rsid w:val="19E60D19"/>
    <w:rsid w:val="1A3E3450"/>
    <w:rsid w:val="1A977F4A"/>
    <w:rsid w:val="1AD807E5"/>
    <w:rsid w:val="1B39345B"/>
    <w:rsid w:val="1BFB2A1F"/>
    <w:rsid w:val="1C015D4A"/>
    <w:rsid w:val="1C290ED5"/>
    <w:rsid w:val="1C317E4F"/>
    <w:rsid w:val="1C472464"/>
    <w:rsid w:val="1D22799A"/>
    <w:rsid w:val="1D5C1A72"/>
    <w:rsid w:val="1DAF458D"/>
    <w:rsid w:val="1DF919B7"/>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A96B7E"/>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1E2191"/>
    <w:rsid w:val="29CB58F0"/>
    <w:rsid w:val="2A053397"/>
    <w:rsid w:val="2A145E96"/>
    <w:rsid w:val="2A2131BB"/>
    <w:rsid w:val="2AF5378F"/>
    <w:rsid w:val="2BB94DBF"/>
    <w:rsid w:val="2BF37410"/>
    <w:rsid w:val="2C6F314E"/>
    <w:rsid w:val="2C98364E"/>
    <w:rsid w:val="2CC206BE"/>
    <w:rsid w:val="2D1136DF"/>
    <w:rsid w:val="2D20606D"/>
    <w:rsid w:val="2D6729FE"/>
    <w:rsid w:val="2DB87198"/>
    <w:rsid w:val="2DB93C54"/>
    <w:rsid w:val="2E3D144C"/>
    <w:rsid w:val="2E891204"/>
    <w:rsid w:val="2F3C1776"/>
    <w:rsid w:val="2F3F0A28"/>
    <w:rsid w:val="2FBF7029"/>
    <w:rsid w:val="2FD0187F"/>
    <w:rsid w:val="2FD27414"/>
    <w:rsid w:val="2FFE4BB0"/>
    <w:rsid w:val="300E7B60"/>
    <w:rsid w:val="300F6E18"/>
    <w:rsid w:val="307774D4"/>
    <w:rsid w:val="30862F5F"/>
    <w:rsid w:val="30A4775A"/>
    <w:rsid w:val="314029C9"/>
    <w:rsid w:val="31C63837"/>
    <w:rsid w:val="31C82E39"/>
    <w:rsid w:val="32601BAD"/>
    <w:rsid w:val="32713DBA"/>
    <w:rsid w:val="329F6389"/>
    <w:rsid w:val="3389023A"/>
    <w:rsid w:val="33CB74FA"/>
    <w:rsid w:val="343642F2"/>
    <w:rsid w:val="343F3010"/>
    <w:rsid w:val="345D0A00"/>
    <w:rsid w:val="34713BFD"/>
    <w:rsid w:val="34C13589"/>
    <w:rsid w:val="353369E3"/>
    <w:rsid w:val="35B21E0B"/>
    <w:rsid w:val="35E00D72"/>
    <w:rsid w:val="36182797"/>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8A7F52"/>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2F6AC2"/>
    <w:rsid w:val="3FB77A1D"/>
    <w:rsid w:val="3FDC3674"/>
    <w:rsid w:val="3FED7F8A"/>
    <w:rsid w:val="40094AEF"/>
    <w:rsid w:val="405470BD"/>
    <w:rsid w:val="40794A29"/>
    <w:rsid w:val="40834692"/>
    <w:rsid w:val="41431AD5"/>
    <w:rsid w:val="414B3C0F"/>
    <w:rsid w:val="4152504E"/>
    <w:rsid w:val="417C1CE7"/>
    <w:rsid w:val="41900018"/>
    <w:rsid w:val="41944406"/>
    <w:rsid w:val="41CE128F"/>
    <w:rsid w:val="41DA6F12"/>
    <w:rsid w:val="42171FB1"/>
    <w:rsid w:val="42634926"/>
    <w:rsid w:val="42C10D7B"/>
    <w:rsid w:val="42C4007E"/>
    <w:rsid w:val="434E6957"/>
    <w:rsid w:val="43BA0E31"/>
    <w:rsid w:val="43C15147"/>
    <w:rsid w:val="43E14DD2"/>
    <w:rsid w:val="43E437A0"/>
    <w:rsid w:val="43F800E9"/>
    <w:rsid w:val="443A7E4B"/>
    <w:rsid w:val="444A7D08"/>
    <w:rsid w:val="452F5B3A"/>
    <w:rsid w:val="454E7FD2"/>
    <w:rsid w:val="46061BDC"/>
    <w:rsid w:val="461404F8"/>
    <w:rsid w:val="46413018"/>
    <w:rsid w:val="464B7E04"/>
    <w:rsid w:val="468041AA"/>
    <w:rsid w:val="468123C6"/>
    <w:rsid w:val="46901EEE"/>
    <w:rsid w:val="469C74D2"/>
    <w:rsid w:val="46A57A4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683B54"/>
    <w:rsid w:val="4B8553A9"/>
    <w:rsid w:val="4BDB3730"/>
    <w:rsid w:val="4C200F7A"/>
    <w:rsid w:val="4CEE3180"/>
    <w:rsid w:val="4D0F4AF6"/>
    <w:rsid w:val="4DF94F37"/>
    <w:rsid w:val="4E0A1DD5"/>
    <w:rsid w:val="4E3160E5"/>
    <w:rsid w:val="4E4D37AF"/>
    <w:rsid w:val="4E8C6496"/>
    <w:rsid w:val="4EFD18DE"/>
    <w:rsid w:val="4F0911AA"/>
    <w:rsid w:val="4F144236"/>
    <w:rsid w:val="4F663C87"/>
    <w:rsid w:val="4F7E29A8"/>
    <w:rsid w:val="4F9E1FFC"/>
    <w:rsid w:val="50447CC2"/>
    <w:rsid w:val="50874A7C"/>
    <w:rsid w:val="50895EE7"/>
    <w:rsid w:val="50921B9D"/>
    <w:rsid w:val="50D16158"/>
    <w:rsid w:val="50DB5F45"/>
    <w:rsid w:val="51025EB1"/>
    <w:rsid w:val="51141503"/>
    <w:rsid w:val="513C450E"/>
    <w:rsid w:val="518D0ED5"/>
    <w:rsid w:val="51F16108"/>
    <w:rsid w:val="525C687F"/>
    <w:rsid w:val="52A3740A"/>
    <w:rsid w:val="52F647F7"/>
    <w:rsid w:val="52F92565"/>
    <w:rsid w:val="53AE735E"/>
    <w:rsid w:val="53D03877"/>
    <w:rsid w:val="542F73CA"/>
    <w:rsid w:val="5430786D"/>
    <w:rsid w:val="545A1D2A"/>
    <w:rsid w:val="54C811C0"/>
    <w:rsid w:val="556A442D"/>
    <w:rsid w:val="55993FB3"/>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C25234"/>
    <w:rsid w:val="5A394721"/>
    <w:rsid w:val="5A5D23AA"/>
    <w:rsid w:val="5A60780B"/>
    <w:rsid w:val="5AB34579"/>
    <w:rsid w:val="5AB40E78"/>
    <w:rsid w:val="5AF3053E"/>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0679F8"/>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9C7E99"/>
    <w:rsid w:val="66CC12D7"/>
    <w:rsid w:val="67134CEF"/>
    <w:rsid w:val="671F1ABD"/>
    <w:rsid w:val="67521A59"/>
    <w:rsid w:val="67C304AB"/>
    <w:rsid w:val="683F0658"/>
    <w:rsid w:val="684036C0"/>
    <w:rsid w:val="684761C0"/>
    <w:rsid w:val="689C6793"/>
    <w:rsid w:val="68DB0208"/>
    <w:rsid w:val="68FB170C"/>
    <w:rsid w:val="691B3D98"/>
    <w:rsid w:val="69363CC8"/>
    <w:rsid w:val="693748F0"/>
    <w:rsid w:val="69846A0E"/>
    <w:rsid w:val="69AA1366"/>
    <w:rsid w:val="69AD798C"/>
    <w:rsid w:val="69D005C0"/>
    <w:rsid w:val="69D80B96"/>
    <w:rsid w:val="69F47AD7"/>
    <w:rsid w:val="6A2C39D4"/>
    <w:rsid w:val="6B68175F"/>
    <w:rsid w:val="6BFD799F"/>
    <w:rsid w:val="6C200197"/>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3829D7"/>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5117</Words>
  <Characters>5678</Characters>
  <Lines>0</Lines>
  <Paragraphs>0</Paragraphs>
  <TotalTime>20</TotalTime>
  <ScaleCrop>false</ScaleCrop>
  <LinksUpToDate>false</LinksUpToDate>
  <CharactersWithSpaces>5715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2024-12-02T03:42:43Z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