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沙湾市大泉乡中心学校</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spacing w:line="240" w:lineRule="auto"/>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spacing w:line="240" w:lineRule="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spacing w:line="240" w:lineRule="auto"/>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spacing w:line="240" w:lineRule="auto"/>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spacing w:line="240" w:lineRule="auto"/>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spacing w:line="240" w:lineRule="auto"/>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240" w:lineRule="auto"/>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spacing w:line="240" w:lineRule="auto"/>
      </w:pPr>
      <w:r>
        <w:rPr>
          <w:rFonts w:hint="eastAsia" w:ascii="仿宋_GB2312" w:hAnsi="仿宋_GB2312" w:eastAsia="仿宋_GB2312" w:cs="仿宋_GB2312"/>
          <w:sz w:val="32"/>
          <w:szCs w:val="32"/>
        </w:rPr>
        <w:fldChar w:fldCharType="end"/>
      </w:r>
    </w:p>
    <w:p>
      <w:pPr>
        <w:spacing w:line="240" w:lineRule="auto"/>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0"/>
        <w:rPr>
          <w:rFonts w:hint="eastAsia" w:ascii="黑体" w:hAnsi="黑体" w:eastAsia="黑体"/>
          <w:sz w:val="32"/>
          <w:szCs w:val="32"/>
        </w:rPr>
      </w:pPr>
      <w:bookmarkStart w:id="2" w:name="_Toc30738"/>
      <w:bookmarkStart w:id="3" w:name="_Toc30567"/>
      <w:r>
        <w:rPr>
          <w:rFonts w:hint="eastAsia" w:ascii="黑体" w:hAnsi="黑体" w:eastAsia="黑体"/>
          <w:sz w:val="32"/>
          <w:szCs w:val="32"/>
        </w:rPr>
        <w:t>一、主要职能</w:t>
      </w:r>
      <w:bookmarkEnd w:id="2"/>
      <w:bookmarkEnd w:id="3"/>
    </w:p>
    <w:p>
      <w:pPr>
        <w:spacing w:line="240" w:lineRule="auto"/>
        <w:ind w:firstLine="640" w:firstLineChars="200"/>
        <w:rPr>
          <w:rFonts w:ascii="仿宋_GB2312" w:hAnsi="仿宋_GB2312" w:eastAsia="仿宋_GB2312" w:cs="仿宋_GB2312"/>
          <w:sz w:val="32"/>
          <w:szCs w:val="32"/>
        </w:rPr>
      </w:pPr>
      <w:bookmarkStart w:id="4" w:name="_Toc31238"/>
      <w:bookmarkStart w:id="5" w:name="_Toc2151"/>
      <w:r>
        <w:rPr>
          <w:rFonts w:hint="eastAsia" w:ascii="仿宋_GB2312" w:hAnsi="仿宋_GB2312" w:eastAsia="仿宋_GB2312" w:cs="仿宋_GB2312"/>
          <w:sz w:val="32"/>
          <w:szCs w:val="32"/>
        </w:rPr>
        <w:t>认真贯彻执行党的教育方针，根据我校的特点，结合实际出发，以国家拨付的教育经费为主要资金来源，妥善科学的管理使用各项资金，更好地为我校教育教学工作服务。</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沙湾市大泉乡中心学校2023年度，实有人数</w:t>
      </w:r>
      <w:r>
        <w:rPr>
          <w:rFonts w:hint="eastAsia" w:ascii="仿宋_GB2312" w:eastAsia="仿宋_GB2312"/>
          <w:sz w:val="32"/>
          <w:szCs w:val="32"/>
          <w:lang w:val="zh-CN"/>
        </w:rPr>
        <w:t>228</w:t>
      </w:r>
      <w:r>
        <w:rPr>
          <w:rFonts w:hint="eastAsia" w:ascii="仿宋_GB2312" w:eastAsia="仿宋_GB2312"/>
          <w:sz w:val="32"/>
          <w:szCs w:val="32"/>
        </w:rPr>
        <w:t>人，其中：在职人员</w:t>
      </w:r>
      <w:r>
        <w:rPr>
          <w:rFonts w:hint="eastAsia" w:ascii="仿宋_GB2312" w:eastAsia="仿宋_GB2312"/>
          <w:sz w:val="32"/>
          <w:szCs w:val="32"/>
          <w:lang w:val="zh-CN"/>
        </w:rPr>
        <w:t>123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105</w:t>
      </w:r>
      <w:r>
        <w:rPr>
          <w:rFonts w:hint="eastAsia" w:ascii="仿宋_GB2312" w:eastAsia="仿宋_GB2312"/>
          <w:sz w:val="32"/>
          <w:szCs w:val="32"/>
        </w:rPr>
        <w:t>人。</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本单位</w:t>
      </w:r>
      <w:r>
        <w:rPr>
          <w:rFonts w:ascii="仿宋_GB2312" w:eastAsia="仿宋_GB2312"/>
          <w:sz w:val="32"/>
          <w:szCs w:val="32"/>
        </w:rPr>
        <w:t>无下属</w:t>
      </w:r>
      <w:r>
        <w:rPr>
          <w:rFonts w:hint="eastAsia" w:ascii="仿宋_GB2312" w:eastAsia="仿宋_GB2312"/>
          <w:sz w:val="32"/>
          <w:szCs w:val="32"/>
        </w:rPr>
        <w:t>预算</w:t>
      </w:r>
      <w:r>
        <w:rPr>
          <w:rFonts w:ascii="仿宋_GB2312" w:eastAsia="仿宋_GB2312"/>
          <w:sz w:val="32"/>
          <w:szCs w:val="32"/>
        </w:rPr>
        <w:t>单位</w:t>
      </w:r>
      <w:r>
        <w:rPr>
          <w:rFonts w:hint="eastAsia" w:ascii="仿宋_GB2312" w:eastAsia="仿宋_GB2312"/>
          <w:sz w:val="32"/>
          <w:szCs w:val="32"/>
        </w:rPr>
        <w:t>，下</w:t>
      </w:r>
      <w:r>
        <w:rPr>
          <w:rFonts w:ascii="仿宋_GB2312" w:eastAsia="仿宋_GB2312"/>
          <w:sz w:val="32"/>
          <w:szCs w:val="32"/>
        </w:rPr>
        <w:t>设5个处室，分别是：教务处、财务处、总务处、德育处、</w:t>
      </w:r>
      <w:r>
        <w:rPr>
          <w:rFonts w:hint="eastAsia" w:ascii="仿宋_GB2312" w:eastAsia="仿宋_GB2312"/>
          <w:sz w:val="32"/>
          <w:szCs w:val="32"/>
        </w:rPr>
        <w:t>党建室</w:t>
      </w:r>
      <w:r>
        <w:rPr>
          <w:rFonts w:ascii="仿宋_GB2312" w:eastAsia="仿宋_GB2312"/>
          <w:sz w:val="32"/>
          <w:szCs w:val="32"/>
        </w:rPr>
        <w:t>。</w:t>
      </w:r>
      <w:bookmarkStart w:id="6" w:name="_Toc3092"/>
      <w:bookmarkStart w:id="7" w:name="_Toc29374"/>
    </w:p>
    <w:p>
      <w:pPr>
        <w:spacing w:line="240" w:lineRule="auto"/>
        <w:rPr>
          <w:rFonts w:ascii="仿宋_GB2312" w:eastAsia="仿宋_GB2312"/>
          <w:sz w:val="32"/>
          <w:szCs w:val="32"/>
        </w:rPr>
      </w:pPr>
      <w:r>
        <w:rPr>
          <w:rFonts w:ascii="仿宋_GB2312" w:eastAsia="仿宋_GB2312"/>
          <w:sz w:val="32"/>
          <w:szCs w:val="32"/>
        </w:rPr>
        <w:br w:type="page"/>
      </w:r>
    </w:p>
    <w:p>
      <w:pPr>
        <w:spacing w:line="240" w:lineRule="auto"/>
        <w:ind w:firstLine="640" w:firstLineChars="200"/>
        <w:jc w:val="center"/>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0"/>
        <w:rPr>
          <w:rFonts w:hint="eastAsia" w:ascii="黑体" w:hAnsi="黑体" w:eastAsia="黑体"/>
          <w:sz w:val="32"/>
          <w:szCs w:val="32"/>
        </w:rPr>
      </w:pPr>
      <w:bookmarkStart w:id="8" w:name="_Toc25314"/>
      <w:bookmarkStart w:id="9" w:name="_Toc12566"/>
      <w:r>
        <w:rPr>
          <w:rFonts w:hint="eastAsia" w:ascii="黑体" w:hAnsi="黑体" w:eastAsia="黑体"/>
          <w:sz w:val="32"/>
          <w:szCs w:val="32"/>
        </w:rPr>
        <w:t>一、收入支出决算总体情况说明</w:t>
      </w:r>
      <w:bookmarkEnd w:id="8"/>
      <w:bookmarkEnd w:id="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2023年度收入总计2,788.13万元，其中：本年收入合计2,788.13万元，使用非财政拨款结余0.00万元，年初结转和结余0.00万元。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2023年度支出总计2,788.13万元，其中：本年支出合计2,788.13万元，结余分配0.00万元，年末结转和结余0.00万元。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增加136.51万元</w:t>
      </w:r>
      <w:r>
        <w:rPr>
          <w:rFonts w:hint="eastAsia" w:ascii="仿宋_GB2312" w:eastAsia="仿宋_GB2312"/>
          <w:sz w:val="32"/>
          <w:szCs w:val="32"/>
        </w:rPr>
        <w:t>，增长5.15%，主要原因是：本年度发放了2023年教师考核工资、基础性绩效工资增资，补发了2020年绩效奖金；财政拨付以前年度工程款资金；</w:t>
      </w:r>
      <w:r>
        <w:rPr>
          <w:rFonts w:hint="eastAsia" w:ascii="仿宋_GB2312" w:eastAsia="仿宋_GB2312"/>
          <w:sz w:val="32"/>
          <w:szCs w:val="32"/>
          <w:lang w:val="zh-CN"/>
        </w:rPr>
        <w:t>本年度财政拨付学前教育</w:t>
      </w:r>
      <w:r>
        <w:rPr>
          <w:rFonts w:hint="eastAsia" w:ascii="仿宋_GB2312" w:eastAsia="仿宋_GB2312"/>
          <w:sz w:val="32"/>
          <w:szCs w:val="32"/>
        </w:rPr>
        <w:t>2020年-2022年三年配经费</w:t>
      </w:r>
      <w:r>
        <w:rPr>
          <w:rFonts w:hint="eastAsia" w:ascii="仿宋_GB2312"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本年收入2,788.13万元，其中：财政拨款收入</w:t>
      </w:r>
      <w:r>
        <w:rPr>
          <w:rFonts w:hint="eastAsia" w:ascii="仿宋_GB2312" w:eastAsia="仿宋_GB2312"/>
          <w:sz w:val="32"/>
          <w:szCs w:val="32"/>
          <w:lang w:val="zh-CN"/>
        </w:rPr>
        <w:t>2,720.73</w:t>
      </w:r>
      <w:r>
        <w:rPr>
          <w:rFonts w:hint="eastAsia" w:ascii="仿宋_GB2312" w:eastAsia="仿宋_GB2312"/>
          <w:sz w:val="32"/>
          <w:szCs w:val="32"/>
        </w:rPr>
        <w:t>万元，占</w:t>
      </w:r>
      <w:r>
        <w:rPr>
          <w:rFonts w:hint="eastAsia" w:ascii="仿宋_GB2312" w:eastAsia="仿宋_GB2312"/>
          <w:sz w:val="32"/>
          <w:szCs w:val="32"/>
          <w:lang w:val="zh-CN"/>
        </w:rPr>
        <w:t>97.58%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67.40</w:t>
      </w:r>
      <w:r>
        <w:rPr>
          <w:rFonts w:hint="eastAsia" w:ascii="仿宋_GB2312" w:eastAsia="仿宋_GB2312"/>
          <w:sz w:val="32"/>
          <w:szCs w:val="32"/>
        </w:rPr>
        <w:t>万元，占</w:t>
      </w:r>
      <w:r>
        <w:rPr>
          <w:rFonts w:hint="eastAsia" w:ascii="仿宋_GB2312" w:eastAsia="仿宋_GB2312"/>
          <w:sz w:val="32"/>
          <w:szCs w:val="32"/>
          <w:lang w:val="zh-CN"/>
        </w:rPr>
        <w:t>2.42%</w:t>
      </w:r>
      <w:r>
        <w:rPr>
          <w:rFonts w:hint="eastAsia" w:ascii="仿宋_GB2312" w:eastAsia="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本年支出2,788.13万元，其中：基本支出2,308.15万元，占82.78%；项目支出479.98万元，占17.22%；上缴上级支出0.00万元，占0.00%；经营支出0.00万元，占0.00%；对附属单位补助支出0.00万元，占0.00%。</w:t>
      </w:r>
    </w:p>
    <w:p>
      <w:pPr>
        <w:spacing w:line="240" w:lineRule="auto"/>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2,720.73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2,720.73</w:t>
      </w:r>
      <w:r>
        <w:rPr>
          <w:rFonts w:hint="eastAsia" w:ascii="仿宋_GB2312" w:eastAsia="仿宋_GB2312"/>
          <w:sz w:val="32"/>
          <w:szCs w:val="32"/>
        </w:rPr>
        <w:t>万元。财政拨款支出总计</w:t>
      </w:r>
      <w:r>
        <w:rPr>
          <w:rFonts w:hint="eastAsia" w:ascii="仿宋_GB2312" w:eastAsia="仿宋_GB2312"/>
          <w:sz w:val="32"/>
          <w:szCs w:val="32"/>
          <w:lang w:val="zh-CN"/>
        </w:rPr>
        <w:t>2,720.73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2,720.73</w:t>
      </w:r>
      <w:r>
        <w:rPr>
          <w:rFonts w:hint="eastAsia" w:ascii="仿宋_GB2312" w:eastAsia="仿宋_GB2312"/>
          <w:sz w:val="32"/>
          <w:szCs w:val="32"/>
        </w:rPr>
        <w:t>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增加190.86万元</w:t>
      </w:r>
      <w:r>
        <w:rPr>
          <w:rFonts w:hint="eastAsia" w:ascii="仿宋_GB2312" w:eastAsia="仿宋_GB2312"/>
          <w:sz w:val="32"/>
          <w:szCs w:val="32"/>
        </w:rPr>
        <w:t>，增长7.54%,主要原因是：本年度人员工资增资及财政拨付以前年度工程款及</w:t>
      </w:r>
      <w:r>
        <w:rPr>
          <w:rFonts w:hint="eastAsia" w:ascii="仿宋_GB2312" w:eastAsia="仿宋_GB2312"/>
          <w:sz w:val="32"/>
          <w:szCs w:val="32"/>
          <w:lang w:val="zh-CN"/>
        </w:rPr>
        <w:t>学前教育</w:t>
      </w:r>
      <w:r>
        <w:rPr>
          <w:rFonts w:hint="eastAsia" w:ascii="仿宋_GB2312" w:eastAsia="仿宋_GB2312"/>
          <w:sz w:val="32"/>
          <w:szCs w:val="32"/>
        </w:rPr>
        <w:t>2020年-2022年三年市配经费</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2,331.58</w:t>
      </w:r>
      <w:r>
        <w:rPr>
          <w:rFonts w:hint="eastAsia" w:ascii="仿宋_GB2312" w:eastAsia="仿宋_GB2312"/>
          <w:sz w:val="32"/>
          <w:szCs w:val="32"/>
        </w:rPr>
        <w:t>万元，决算数</w:t>
      </w:r>
      <w:r>
        <w:rPr>
          <w:rFonts w:hint="eastAsia" w:ascii="仿宋_GB2312" w:eastAsia="仿宋_GB2312"/>
          <w:sz w:val="32"/>
          <w:szCs w:val="32"/>
          <w:lang w:val="zh-CN"/>
        </w:rPr>
        <w:t>2,720.73</w:t>
      </w:r>
      <w:r>
        <w:rPr>
          <w:rFonts w:hint="eastAsia" w:ascii="仿宋_GB2312" w:eastAsia="仿宋_GB2312"/>
          <w:sz w:val="32"/>
          <w:szCs w:val="32"/>
        </w:rPr>
        <w:t>万元，预决算差异率16.69%，主要原因是：本年度人员工资增资及追加以前年度工程款及</w:t>
      </w:r>
      <w:r>
        <w:rPr>
          <w:rFonts w:hint="eastAsia" w:ascii="仿宋_GB2312" w:eastAsia="仿宋_GB2312"/>
          <w:sz w:val="32"/>
          <w:szCs w:val="32"/>
          <w:lang w:val="zh-CN"/>
        </w:rPr>
        <w:t>学前教育</w:t>
      </w:r>
      <w:r>
        <w:rPr>
          <w:rFonts w:hint="eastAsia" w:ascii="仿宋_GB2312" w:eastAsia="仿宋_GB2312"/>
          <w:sz w:val="32"/>
          <w:szCs w:val="32"/>
        </w:rPr>
        <w:t>2020年-2022年三年市配经费</w:t>
      </w:r>
      <w:r>
        <w:rPr>
          <w:rFonts w:hint="eastAsia" w:ascii="仿宋_GB2312"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rPr>
        <w:t>2023年度一般公共预算财政拨款支出2,720.73万元，占本年支出合计的</w:t>
      </w:r>
      <w:r>
        <w:rPr>
          <w:rFonts w:hint="eastAsia" w:ascii="仿宋_GB2312" w:eastAsia="仿宋_GB2312"/>
          <w:sz w:val="32"/>
          <w:szCs w:val="32"/>
          <w:lang w:val="zh-CN"/>
        </w:rPr>
        <w:t>97.58%</w:t>
      </w:r>
      <w:r>
        <w:rPr>
          <w:rFonts w:hint="eastAsia" w:ascii="仿宋_GB2312" w:eastAsia="仿宋_GB2312"/>
          <w:sz w:val="32"/>
          <w:szCs w:val="32"/>
        </w:rPr>
        <w:t>。与上年相比，</w:t>
      </w:r>
      <w:r>
        <w:rPr>
          <w:rFonts w:hint="eastAsia" w:ascii="仿宋_GB2312" w:eastAsia="仿宋_GB2312"/>
          <w:sz w:val="32"/>
          <w:szCs w:val="32"/>
          <w:lang w:val="zh-CN"/>
        </w:rPr>
        <w:t>增加190.86万元</w:t>
      </w:r>
      <w:r>
        <w:rPr>
          <w:rFonts w:hint="eastAsia" w:ascii="仿宋_GB2312" w:eastAsia="仿宋_GB2312"/>
          <w:sz w:val="32"/>
          <w:szCs w:val="32"/>
        </w:rPr>
        <w:t>，增长7.54%,主要原因是本年度发放了2023年教师考核工资、基础性绩效工资增资，补发了2020年绩效奖金；财政拨付以前年度工程款资金；</w:t>
      </w:r>
      <w:r>
        <w:rPr>
          <w:rFonts w:hint="eastAsia" w:ascii="仿宋_GB2312" w:eastAsia="仿宋_GB2312"/>
          <w:sz w:val="32"/>
          <w:szCs w:val="32"/>
          <w:lang w:val="zh-CN"/>
        </w:rPr>
        <w:t>本年度财政拨付学前教育</w:t>
      </w:r>
      <w:r>
        <w:rPr>
          <w:rFonts w:hint="eastAsia" w:ascii="仿宋_GB2312" w:eastAsia="仿宋_GB2312"/>
          <w:sz w:val="32"/>
          <w:szCs w:val="32"/>
        </w:rPr>
        <w:t>2020年-2022年三年市配经费</w:t>
      </w:r>
      <w:r>
        <w:rPr>
          <w:rFonts w:hint="eastAsia" w:ascii="仿宋_GB2312" w:eastAsia="仿宋_GB2312"/>
          <w:sz w:val="32"/>
          <w:szCs w:val="32"/>
          <w:lang w:val="zh-CN"/>
        </w:rPr>
        <w:t>。</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2,331.58</w:t>
      </w:r>
      <w:r>
        <w:rPr>
          <w:rFonts w:hint="eastAsia" w:ascii="仿宋_GB2312" w:eastAsia="仿宋_GB2312"/>
          <w:sz w:val="32"/>
          <w:szCs w:val="32"/>
        </w:rPr>
        <w:t>万元，决算数</w:t>
      </w:r>
      <w:r>
        <w:rPr>
          <w:rFonts w:hint="eastAsia" w:ascii="仿宋_GB2312" w:eastAsia="仿宋_GB2312"/>
          <w:sz w:val="32"/>
          <w:szCs w:val="32"/>
          <w:lang w:val="zh-CN"/>
        </w:rPr>
        <w:t>2,720.73</w:t>
      </w:r>
      <w:r>
        <w:rPr>
          <w:rFonts w:hint="eastAsia" w:ascii="仿宋_GB2312" w:eastAsia="仿宋_GB2312"/>
          <w:sz w:val="32"/>
          <w:szCs w:val="32"/>
        </w:rPr>
        <w:t>万元，预决算差异率</w:t>
      </w:r>
      <w:r>
        <w:rPr>
          <w:rFonts w:hint="eastAsia" w:ascii="仿宋_GB2312" w:eastAsia="仿宋_GB2312"/>
          <w:sz w:val="32"/>
          <w:szCs w:val="32"/>
          <w:lang w:val="zh-CN"/>
        </w:rPr>
        <w:t>16.69%</w:t>
      </w:r>
      <w:r>
        <w:rPr>
          <w:rFonts w:hint="eastAsia" w:ascii="仿宋_GB2312" w:eastAsia="仿宋_GB2312"/>
          <w:sz w:val="32"/>
          <w:szCs w:val="32"/>
        </w:rPr>
        <w:t>，主要原因是：本年度人员工资增资及追加以前年度工程款及</w:t>
      </w:r>
      <w:r>
        <w:rPr>
          <w:rFonts w:hint="eastAsia" w:ascii="仿宋_GB2312" w:eastAsia="仿宋_GB2312"/>
          <w:sz w:val="32"/>
          <w:szCs w:val="32"/>
          <w:lang w:val="zh-CN"/>
        </w:rPr>
        <w:t>学前教育</w:t>
      </w:r>
      <w:r>
        <w:rPr>
          <w:rFonts w:hint="eastAsia" w:ascii="仿宋_GB2312" w:eastAsia="仿宋_GB2312"/>
          <w:sz w:val="32"/>
          <w:szCs w:val="32"/>
        </w:rPr>
        <w:t>2020年-2022年三年市配经费</w:t>
      </w:r>
      <w:r>
        <w:rPr>
          <w:rFonts w:hint="eastAsia" w:ascii="仿宋_GB2312" w:eastAsia="仿宋_GB2312"/>
          <w:sz w:val="32"/>
          <w:szCs w:val="32"/>
          <w:lang w:val="zh-CN"/>
        </w:rPr>
        <w:t>。</w:t>
      </w:r>
    </w:p>
    <w:p>
      <w:pPr>
        <w:numPr>
          <w:ilvl w:val="0"/>
          <w:numId w:val="1"/>
        </w:num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line="240" w:lineRule="auto"/>
        <w:ind w:firstLine="640" w:firstLineChars="200"/>
        <w:rPr>
          <w:rFonts w:ascii="仿宋_GB2312" w:eastAsia="仿宋_GB2312"/>
          <w:kern w:val="2"/>
          <w:sz w:val="32"/>
          <w:szCs w:val="32"/>
          <w:lang w:val="zh-CN"/>
        </w:rPr>
      </w:pPr>
      <w:r>
        <w:rPr>
          <w:rFonts w:ascii="仿宋_GB2312" w:eastAsia="仿宋_GB2312"/>
          <w:kern w:val="2"/>
          <w:sz w:val="32"/>
          <w:szCs w:val="32"/>
          <w:lang w:val="zh-CN"/>
        </w:rPr>
        <w:t>1.教育支出（类）</w:t>
      </w:r>
      <w:r>
        <w:rPr>
          <w:rFonts w:hint="eastAsia" w:ascii="仿宋_GB2312" w:eastAsia="仿宋_GB2312"/>
          <w:kern w:val="2"/>
          <w:sz w:val="32"/>
          <w:szCs w:val="32"/>
          <w:lang w:val="zh-CN"/>
        </w:rPr>
        <w:t>2,719.10</w:t>
      </w:r>
      <w:r>
        <w:rPr>
          <w:rFonts w:ascii="仿宋_GB2312" w:eastAsia="仿宋_GB2312"/>
          <w:kern w:val="2"/>
          <w:sz w:val="32"/>
          <w:szCs w:val="32"/>
          <w:lang w:val="zh-CN"/>
        </w:rPr>
        <w:t>万元，占</w:t>
      </w:r>
      <w:r>
        <w:rPr>
          <w:rFonts w:hint="eastAsia" w:ascii="仿宋_GB2312" w:eastAsia="仿宋_GB2312"/>
          <w:kern w:val="2"/>
          <w:sz w:val="32"/>
          <w:szCs w:val="32"/>
          <w:lang w:val="zh-CN"/>
        </w:rPr>
        <w:t>99.94%</w:t>
      </w:r>
      <w:r>
        <w:rPr>
          <w:rFonts w:ascii="仿宋_GB2312" w:eastAsia="仿宋_GB2312"/>
          <w:kern w:val="2"/>
          <w:sz w:val="32"/>
          <w:szCs w:val="32"/>
          <w:lang w:val="zh-CN"/>
        </w:rPr>
        <w:t>；</w:t>
      </w:r>
    </w:p>
    <w:p>
      <w:pPr>
        <w:pStyle w:val="9"/>
        <w:widowControl/>
        <w:spacing w:before="0" w:beforeAutospacing="0" w:after="0" w:afterAutospacing="0" w:line="240" w:lineRule="auto"/>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1.63</w:t>
      </w:r>
      <w:r>
        <w:rPr>
          <w:rFonts w:ascii="仿宋_GB2312" w:eastAsia="仿宋_GB2312"/>
          <w:kern w:val="2"/>
          <w:sz w:val="32"/>
          <w:szCs w:val="32"/>
          <w:lang w:val="zh-CN"/>
        </w:rPr>
        <w:t>万元，占</w:t>
      </w:r>
      <w:r>
        <w:rPr>
          <w:rFonts w:hint="eastAsia" w:ascii="仿宋_GB2312" w:eastAsia="仿宋_GB2312"/>
          <w:kern w:val="2"/>
          <w:sz w:val="32"/>
          <w:szCs w:val="32"/>
          <w:lang w:val="zh-CN"/>
        </w:rPr>
        <w:t>0.06%。</w:t>
      </w:r>
    </w:p>
    <w:p>
      <w:pPr>
        <w:spacing w:line="240" w:lineRule="auto"/>
        <w:ind w:firstLine="643" w:firstLineChars="200"/>
        <w:jc w:val="left"/>
        <w:outlineLvl w:val="2"/>
        <w:rPr>
          <w:rFonts w:hint="eastAsia" w:ascii="楷体" w:hAnsi="楷体" w:eastAsia="楷体" w:cs="楷体"/>
          <w:b/>
          <w:bCs/>
          <w:sz w:val="32"/>
          <w:szCs w:val="32"/>
        </w:rPr>
      </w:pPr>
      <w:r>
        <w:rPr>
          <w:rFonts w:hint="eastAsia" w:ascii="楷体" w:hAnsi="楷体" w:eastAsia="楷体" w:cs="楷体"/>
          <w:b/>
          <w:bCs/>
          <w:sz w:val="32"/>
          <w:szCs w:val="32"/>
        </w:rPr>
        <w:t>（</w:t>
      </w:r>
      <w:r>
        <w:rPr>
          <w:rFonts w:hint="eastAsia" w:ascii="黑体" w:hAnsi="黑体" w:eastAsia="黑体"/>
          <w:sz w:val="32"/>
          <w:szCs w:val="32"/>
        </w:rPr>
        <w:t>三）一般公共预算财政拨款支出决算具体情况</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教育支出（类）教育费附加安排的支出（款）其他教育费附加安排的支出（项）:支出决算数为90.29万元，比上年决算增加62.29万元，增长222.46%，主要原因是：本年度财政拨付大泉乡中心学校及分校以前年度大型修缮工程款、拨付学前教育以前年度维修工程款</w:t>
      </w:r>
      <w:r>
        <w:rPr>
          <w:rFonts w:hint="eastAsia" w:ascii="仿宋_GB2312" w:hAnsi="仿宋_GB2312" w:eastAsia="仿宋_GB2312" w:cs="仿宋_GB2312"/>
          <w:sz w:val="32"/>
          <w:szCs w:val="32"/>
          <w:lang w:val="zh-CN"/>
        </w:rPr>
        <w:t>。</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2.教育支出（类）普通教育（款）小学教育（项）:支出决算数为1,875.03万元，比上年决算增加16.23万元，增长0.87%，主要原因是：本年度财政拨付大泉乡中心学校及分校以前年度待支付设备采购款</w:t>
      </w:r>
      <w:r>
        <w:rPr>
          <w:rFonts w:hint="eastAsia" w:ascii="仿宋_GB2312" w:hAnsi="仿宋_GB2312" w:eastAsia="仿宋_GB2312" w:cs="仿宋_GB2312"/>
          <w:sz w:val="32"/>
          <w:szCs w:val="32"/>
          <w:lang w:val="zh-CN"/>
        </w:rPr>
        <w:t>。</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3.社会保障和就业支出（类）行政事业单位养老支出（款）事业单位离退休（项）:支出决算数为1.63万元，比上年决算增加1.63万元，增长100%，主要原因是：</w:t>
      </w:r>
      <w:r>
        <w:rPr>
          <w:rFonts w:hint="eastAsia" w:ascii="仿宋_GB2312" w:hAnsi="仿宋_GB2312" w:eastAsia="仿宋_GB2312" w:cs="仿宋_GB2312"/>
          <w:sz w:val="32"/>
          <w:szCs w:val="32"/>
          <w:lang w:val="zh-CN"/>
        </w:rPr>
        <w:t>工资科目调剂</w:t>
      </w:r>
      <w:r>
        <w:rPr>
          <w:rFonts w:hint="eastAsia" w:ascii="仿宋_GB2312" w:hAnsi="仿宋_GB2312" w:eastAsia="仿宋_GB2312" w:cs="仿宋_GB2312"/>
          <w:sz w:val="32"/>
          <w:szCs w:val="32"/>
          <w:lang w:val="en-US" w:eastAsia="zh-CN"/>
        </w:rPr>
        <w:t>2022年事业单位离退休科目没有支出，2023年支出退休人员取暖费等本</w:t>
      </w:r>
      <w:bookmarkStart w:id="48" w:name="_GoBack"/>
      <w:bookmarkEnd w:id="48"/>
      <w:r>
        <w:rPr>
          <w:rFonts w:hint="eastAsia" w:ascii="仿宋_GB2312" w:hAnsi="仿宋_GB2312" w:eastAsia="仿宋_GB2312" w:cs="仿宋_GB2312"/>
          <w:sz w:val="32"/>
          <w:szCs w:val="32"/>
          <w:lang w:val="en-US" w:eastAsia="zh-CN"/>
        </w:rPr>
        <w:t>科目中反应</w:t>
      </w:r>
      <w:r>
        <w:rPr>
          <w:rFonts w:hint="eastAsia" w:ascii="仿宋_GB2312" w:hAnsi="仿宋_GB2312" w:eastAsia="仿宋_GB2312" w:cs="仿宋_GB2312"/>
          <w:sz w:val="32"/>
          <w:szCs w:val="32"/>
          <w:lang w:val="zh-CN"/>
        </w:rPr>
        <w:t>。</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4.教育支出（类）普通教育（款）学前教育（项）:支出决算数为481.51万元，比上年决算增加179.50万元，增长59.44%，主要原因是：</w:t>
      </w:r>
      <w:r>
        <w:rPr>
          <w:rFonts w:hint="eastAsia" w:ascii="仿宋_GB2312" w:hAnsi="仿宋_GB2312" w:eastAsia="仿宋_GB2312" w:cs="仿宋_GB2312"/>
          <w:sz w:val="32"/>
          <w:szCs w:val="32"/>
          <w:lang w:val="zh-CN"/>
        </w:rPr>
        <w:t>本年度财政拨付大泉乡中心幼儿园、东西分园、天博生态幼儿园</w:t>
      </w:r>
      <w:r>
        <w:rPr>
          <w:rFonts w:hint="eastAsia" w:ascii="仿宋_GB2312" w:hAnsi="仿宋_GB2312" w:eastAsia="仿宋_GB2312" w:cs="仿宋_GB2312"/>
          <w:sz w:val="32"/>
          <w:szCs w:val="32"/>
        </w:rPr>
        <w:t>2020年-2022年三年市配经费</w:t>
      </w:r>
      <w:r>
        <w:rPr>
          <w:rFonts w:hint="eastAsia" w:ascii="仿宋_GB2312" w:hAnsi="仿宋_GB2312" w:eastAsia="仿宋_GB2312" w:cs="仿宋_GB2312"/>
          <w:sz w:val="32"/>
          <w:szCs w:val="32"/>
          <w:lang w:val="zh-CN"/>
        </w:rPr>
        <w:t>。</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5.教育支出（类）普通教育（款）初中教育（项）:支出决算数为272.28万元，比上年决算减少68.78万元，下降20.17%，主要原因是：</w:t>
      </w:r>
      <w:r>
        <w:rPr>
          <w:rFonts w:hint="eastAsia" w:ascii="仿宋_GB2312" w:hAnsi="仿宋_GB2312" w:eastAsia="仿宋_GB2312" w:cs="仿宋_GB2312"/>
          <w:sz w:val="32"/>
          <w:szCs w:val="32"/>
          <w:lang w:val="zh-CN"/>
        </w:rPr>
        <w:t>初中部撤消，无学生经费支出，只有初中教育人员类的支出。</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2,308.15万元，其中：人员经费2,308.15万元，公用经费0.00万元，包括：基本工资、津贴补贴、奖金、绩效工资、机关事业单位基本养老保险缴费、职业年金缴费、职工基本医疗保险缴费、其他社会保障缴费、住房公积金、其他工资福利支出、离休费、退休费、抚恤金、生活补助、奖励金。</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主要原因是：本单位无“三公”经费支出。其中：因公出国（境）费支出0.00万元，占0.00%，比上年增加0.00万元，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主要原因是：本单位无因公出国（境）费支出；公务用车购置及运行维护费支出0.00万元，占0.00%，比上年增加0.00万元，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主要原因是：本单位无公务用车购置及运行维护费支出；公务接待费支出0.00万元，占0.00%，比上年增加0.00万元，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主要原因是：本单位无公务接待费支出。</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w:t>
      </w:r>
      <w:r>
        <w:rPr>
          <w:rFonts w:hint="eastAsia" w:ascii="仿宋_GB2312" w:eastAsia="仿宋_GB2312"/>
          <w:sz w:val="32"/>
          <w:szCs w:val="32"/>
        </w:rPr>
        <w:t>包括</w:t>
      </w:r>
      <w:r>
        <w:rPr>
          <w:rFonts w:hint="eastAsia" w:ascii="仿宋_GB2312" w:eastAsia="仿宋_GB2312"/>
          <w:sz w:val="32"/>
          <w:szCs w:val="32"/>
          <w:lang w:val="zh-CN"/>
        </w:rPr>
        <w:t>无因公出国（境）费支出。单位全年安排的因公出国（境）团组0个，因公出国（境）0人次。</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w:t>
      </w:r>
      <w:r>
        <w:rPr>
          <w:rFonts w:hint="eastAsia" w:ascii="仿宋_GB2312" w:eastAsia="仿宋_GB2312"/>
          <w:sz w:val="32"/>
          <w:szCs w:val="32"/>
        </w:rPr>
        <w:t>包括</w:t>
      </w:r>
      <w:r>
        <w:rPr>
          <w:rFonts w:hint="eastAsia" w:ascii="仿宋_GB2312" w:eastAsia="仿宋_GB2312"/>
          <w:sz w:val="32"/>
          <w:szCs w:val="32"/>
          <w:lang w:val="zh-CN"/>
        </w:rPr>
        <w:t>无公务用车购置及运行维护费。公务用车购置数0辆，公务用车保有量0辆。国有资产占用情况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原因是：无公务用车。</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公务接待费0.00万元，开支内容：无公务接待费。单位全年安排的国内公务接待0批次，0人次。</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预算数0.00万元，决算数0.00万元，预决算差异率0.00%，主要原因是：本单位未安排财政拨款“三公”经费支出，预决算无差异。其中：因公出国（境）费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0.00万元，决算数0.00万元，预决算差异率0.00%，主要原因是：本单位未安排因公出国（境）费用支出，预决算无差异；公务用车购置费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预算数0.00万元，决算数0.00万元，预决算差异率0.00%，主要原因是：本单位未安排公务用车购置费支出，预决算无差异；公务用车运行费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预算数0.00万元，决算数0.00万元，预决算差异率0.00%，主要原因是：本单位未安排公务用车运行费支出，预决算无差异；公务接待费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预算数0.00万元，决算数0.00万元，预决算差异率0.00%，主要原因是：本单位未安排公务接待费支出，预决算无差异。</w:t>
      </w:r>
    </w:p>
    <w:p>
      <w:pPr>
        <w:spacing w:line="240" w:lineRule="auto"/>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lang w:val="zh-CN"/>
        </w:rPr>
        <w:t>我</w:t>
      </w:r>
      <w:r>
        <w:rPr>
          <w:rFonts w:hint="eastAsia" w:ascii="仿宋_GB2312" w:eastAsia="仿宋_GB2312"/>
          <w:sz w:val="32"/>
          <w:szCs w:val="32"/>
        </w:rPr>
        <w:t>单位</w:t>
      </w:r>
      <w:r>
        <w:rPr>
          <w:rFonts w:hint="eastAsia" w:ascii="仿宋_GB2312" w:eastAsia="仿宋_GB2312"/>
          <w:sz w:val="32"/>
          <w:szCs w:val="32"/>
          <w:lang w:val="zh-CN"/>
        </w:rPr>
        <w:t>本年度无政府性基金预算财政拨款收入、支出</w:t>
      </w:r>
      <w:r>
        <w:rPr>
          <w:rFonts w:hint="eastAsia" w:ascii="仿宋_GB2312" w:eastAsia="仿宋_GB2312"/>
          <w:sz w:val="32"/>
          <w:szCs w:val="32"/>
        </w:rPr>
        <w:t>及结转和结余</w:t>
      </w:r>
      <w:r>
        <w:rPr>
          <w:rFonts w:hint="eastAsia" w:ascii="仿宋_GB2312" w:eastAsia="仿宋_GB2312"/>
          <w:sz w:val="32"/>
          <w:szCs w:val="32"/>
          <w:lang w:val="zh-CN"/>
        </w:rPr>
        <w:t>，政府性基金预算财</w:t>
      </w:r>
      <w:r>
        <w:rPr>
          <w:rFonts w:hint="eastAsia" w:ascii="仿宋_GB2312" w:eastAsia="仿宋_GB2312"/>
          <w:sz w:val="32"/>
          <w:szCs w:val="32"/>
        </w:rPr>
        <w:t>政拨款收入支出决算表为空表。</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spacing w:line="240" w:lineRule="auto"/>
        <w:ind w:firstLine="640" w:firstLineChars="200"/>
        <w:rPr>
          <w:rFonts w:ascii="仿宋_GB2312" w:hAnsi="仿宋_GB2312" w:eastAsia="仿宋_GB2312" w:cs="仿宋_GB2312"/>
          <w:sz w:val="32"/>
          <w:szCs w:val="32"/>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沙湾市大泉乡中心学校（事业单位）公用经费支出0.00万元，</w:t>
      </w:r>
      <w:r>
        <w:rPr>
          <w:rFonts w:hint="eastAsia" w:ascii="仿宋_GB2312" w:hAnsi="仿宋_GB2312" w:eastAsia="仿宋_GB2312" w:cs="仿宋_GB2312"/>
          <w:sz w:val="32"/>
          <w:szCs w:val="32"/>
          <w:lang w:val="zh-CN"/>
        </w:rPr>
        <w:t>比上年减少17.40万元，下降100.00%，主要原因是：上年度调整财聘工资，本年度没有调整。</w:t>
      </w:r>
    </w:p>
    <w:p>
      <w:pPr>
        <w:spacing w:line="240" w:lineRule="auto"/>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2023年度政府采购支出总额1.13万元，其中：政府采购货物支出0.54万元、政府采购工程支出0.00万元、政府采购服务支出0.59万元。</w:t>
      </w:r>
    </w:p>
    <w:p>
      <w:pPr>
        <w:spacing w:line="240" w:lineRule="auto"/>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授予中小企业合同金额1.13万元，占政府采购支出总额的100.00%，其中：授予小微企业合同金额0.99万元，占政府采购支出总额的87.61%</w:t>
      </w:r>
      <w:r>
        <w:rPr>
          <w:rFonts w:hint="eastAsia" w:ascii="仿宋_GB2312" w:hAnsi="仿宋_GB2312" w:eastAsia="仿宋_GB2312" w:cs="仿宋_GB2312"/>
          <w:sz w:val="32"/>
          <w:szCs w:val="32"/>
        </w:rPr>
        <w:t>。</w:t>
      </w:r>
    </w:p>
    <w:p>
      <w:pPr>
        <w:spacing w:line="240" w:lineRule="auto"/>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spacing w:line="240" w:lineRule="auto"/>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1,602.62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屋10,787.10平方米，价值823.06万元。车辆0辆，价值0.00万元，其中：副部（省）级及以上领导用车0辆、主要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spacing w:line="240" w:lineRule="auto"/>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2801.60万元，实际执行总额2788.13万元；预算绩效评价项目7个，全年预算数485.92万元，全年执行数479.98万元，本单位sm项目1个，全年预算数200.07万元，全年执行数200.07万元，不予以公开。预算绩效管理取得的成效：一是能按时完成相关绩效工作；二是规范了资金的审批及使用流程。发现的问题及原因：一是预算绩效管理缺乏系统的培训，造成预算绩效管理指导不到位、认识不到位，理解不充分，对预算绩效管理工作重点把握不到位；二是经费预算编制精准度有待提高。由于预算执行中的不确定性，实际经费核算的科目、支出内容与预算会出现一定偏差。下一步改进措施：一是加强绩效目标意识，提高绩效目标申报的规范性。绩效目标是财政预算资金计划在一定期限内达到的产出和效果，是预算绩效管理的基础，是整个预算绩效管理系统的前提。因此在2023年年初申报项目时，我校专门开展了绩效管理目标培训，提高绩效指标设置合理性，使部门整体绩效考核具有可操作性。提高年初预算绩效目标可行性、科学性、梳理全年重点工作，制定切实可行的项目执行绩效目标，确保绩效目标如期完成；二是加强绩效管理工作。根据部门主要职责、年度主要重点工作为内容进一步完善细化绩效目标，强化全过程绩效管理，将绩效管理贯穿于项目实施的每一个环节，及时发现并纠正绩效管理过程中存在的问题。</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具体项目自评情况附绩效自评表及自评报告。</w:t>
      </w:r>
    </w:p>
    <w:p>
      <w:pPr>
        <w:spacing w:line="240" w:lineRule="auto"/>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jc w:val="left"/>
        <w:rPr>
          <w:rFonts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本单位sm项目1个，全年预算数200.07万元，全年执行数200.07万元，不予以公开绩效自评表。</w:t>
      </w:r>
    </w:p>
    <w:p>
      <w:pPr>
        <w:spacing w:line="240" w:lineRule="auto"/>
        <w:ind w:firstLine="640" w:firstLineChars="200"/>
        <w:jc w:val="center"/>
        <w:rPr>
          <w:rFonts w:hint="eastAsia" w:ascii="黑体" w:hAnsi="黑体" w:eastAsia="黑体"/>
          <w:sz w:val="32"/>
          <w:szCs w:val="32"/>
        </w:rPr>
      </w:pPr>
      <w:r>
        <w:rPr>
          <w:rFonts w:hint="eastAsia" w:ascii="仿宋_GB2312" w:hAnsi="仿宋_GB2312" w:eastAsia="仿宋_GB2312" w:cs="仿宋_GB2312"/>
          <w:sz w:val="32"/>
          <w:szCs w:val="32"/>
          <w:lang w:val="zh-CN"/>
        </w:rPr>
        <w:br w:type="page"/>
      </w: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outlineLvl w:val="1"/>
        <w:rPr>
          <w:rFonts w:ascii="黑体" w:hAnsi="黑体" w:eastAsia="仿宋_GB2312" w:cs="宋体"/>
          <w:bCs/>
          <w:kern w:val="0"/>
          <w:sz w:val="32"/>
          <w:szCs w:val="32"/>
        </w:rPr>
      </w:pPr>
    </w:p>
    <w:p>
      <w:pPr>
        <w:spacing w:line="240" w:lineRule="auto"/>
        <w:ind w:firstLine="640" w:firstLineChars="200"/>
        <w:jc w:val="left"/>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A7584A"/>
    <w:rsid w:val="00213C59"/>
    <w:rsid w:val="003210CE"/>
    <w:rsid w:val="004C25B6"/>
    <w:rsid w:val="00870C0C"/>
    <w:rsid w:val="00A7584A"/>
    <w:rsid w:val="00B04C56"/>
    <w:rsid w:val="00B70D59"/>
    <w:rsid w:val="00B750DF"/>
    <w:rsid w:val="00F52A8D"/>
    <w:rsid w:val="01570E4E"/>
    <w:rsid w:val="017C2792"/>
    <w:rsid w:val="019404F8"/>
    <w:rsid w:val="01C30B6B"/>
    <w:rsid w:val="01ED22F2"/>
    <w:rsid w:val="023F763D"/>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3A1A02"/>
    <w:rsid w:val="08422688"/>
    <w:rsid w:val="085854ED"/>
    <w:rsid w:val="0879188F"/>
    <w:rsid w:val="08A0354D"/>
    <w:rsid w:val="08CD4C49"/>
    <w:rsid w:val="09114954"/>
    <w:rsid w:val="095A5B83"/>
    <w:rsid w:val="096466E3"/>
    <w:rsid w:val="0968304D"/>
    <w:rsid w:val="09AF3D17"/>
    <w:rsid w:val="0A3C02C1"/>
    <w:rsid w:val="0A7809B7"/>
    <w:rsid w:val="0A7B4867"/>
    <w:rsid w:val="0A840954"/>
    <w:rsid w:val="0A9928ED"/>
    <w:rsid w:val="0AB27C13"/>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EC6564"/>
    <w:rsid w:val="0E432065"/>
    <w:rsid w:val="0E640559"/>
    <w:rsid w:val="0F1113DA"/>
    <w:rsid w:val="0F78534A"/>
    <w:rsid w:val="0F89358A"/>
    <w:rsid w:val="0F8C6D51"/>
    <w:rsid w:val="105B0B5E"/>
    <w:rsid w:val="112E58D0"/>
    <w:rsid w:val="11731CAC"/>
    <w:rsid w:val="119500A0"/>
    <w:rsid w:val="11C0733B"/>
    <w:rsid w:val="11D50D17"/>
    <w:rsid w:val="120E0809"/>
    <w:rsid w:val="122155F9"/>
    <w:rsid w:val="12737FD2"/>
    <w:rsid w:val="127F665A"/>
    <w:rsid w:val="12F7068C"/>
    <w:rsid w:val="13E4555D"/>
    <w:rsid w:val="13EB4A41"/>
    <w:rsid w:val="14174C4B"/>
    <w:rsid w:val="14207DC0"/>
    <w:rsid w:val="144539B4"/>
    <w:rsid w:val="14B932DA"/>
    <w:rsid w:val="150A66AF"/>
    <w:rsid w:val="154C1139"/>
    <w:rsid w:val="158C5B77"/>
    <w:rsid w:val="160D1149"/>
    <w:rsid w:val="163563C0"/>
    <w:rsid w:val="164315EF"/>
    <w:rsid w:val="16557DFE"/>
    <w:rsid w:val="167268FB"/>
    <w:rsid w:val="16770D0A"/>
    <w:rsid w:val="169A0039"/>
    <w:rsid w:val="169F1A64"/>
    <w:rsid w:val="16D50C50"/>
    <w:rsid w:val="16E120E1"/>
    <w:rsid w:val="16EB4DC4"/>
    <w:rsid w:val="171A6B3B"/>
    <w:rsid w:val="17385A05"/>
    <w:rsid w:val="173B3901"/>
    <w:rsid w:val="176747F9"/>
    <w:rsid w:val="17954A6E"/>
    <w:rsid w:val="17B003B7"/>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12742"/>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4B4BAA"/>
    <w:rsid w:val="2380045B"/>
    <w:rsid w:val="23986C56"/>
    <w:rsid w:val="23BC04D2"/>
    <w:rsid w:val="23EF1892"/>
    <w:rsid w:val="246A4A3F"/>
    <w:rsid w:val="2483647E"/>
    <w:rsid w:val="24A32D55"/>
    <w:rsid w:val="24CE6D9A"/>
    <w:rsid w:val="24E06F8D"/>
    <w:rsid w:val="25292727"/>
    <w:rsid w:val="252E5CA9"/>
    <w:rsid w:val="25405B2F"/>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9D42976"/>
    <w:rsid w:val="2A053397"/>
    <w:rsid w:val="2A145E96"/>
    <w:rsid w:val="2A1F21B1"/>
    <w:rsid w:val="2A2131BB"/>
    <w:rsid w:val="2AF5378F"/>
    <w:rsid w:val="2BB94DBF"/>
    <w:rsid w:val="2BF37410"/>
    <w:rsid w:val="2C6F314E"/>
    <w:rsid w:val="2CC206BE"/>
    <w:rsid w:val="2CD64DA7"/>
    <w:rsid w:val="2D1136DF"/>
    <w:rsid w:val="2D20606D"/>
    <w:rsid w:val="2D6729FE"/>
    <w:rsid w:val="2DB87198"/>
    <w:rsid w:val="2DB93C54"/>
    <w:rsid w:val="2E3D144C"/>
    <w:rsid w:val="2E891204"/>
    <w:rsid w:val="2EC57B5B"/>
    <w:rsid w:val="2F3F0A28"/>
    <w:rsid w:val="2FB42C81"/>
    <w:rsid w:val="2FBF7029"/>
    <w:rsid w:val="2FD0187F"/>
    <w:rsid w:val="2FD27414"/>
    <w:rsid w:val="2FFE4BB0"/>
    <w:rsid w:val="30073E90"/>
    <w:rsid w:val="300E7B60"/>
    <w:rsid w:val="300F6E18"/>
    <w:rsid w:val="30760C45"/>
    <w:rsid w:val="30862F5F"/>
    <w:rsid w:val="30A4775A"/>
    <w:rsid w:val="314029C9"/>
    <w:rsid w:val="314D541B"/>
    <w:rsid w:val="31C63837"/>
    <w:rsid w:val="31C82E39"/>
    <w:rsid w:val="32601BAD"/>
    <w:rsid w:val="327C74B0"/>
    <w:rsid w:val="329B24A7"/>
    <w:rsid w:val="329F6389"/>
    <w:rsid w:val="3389023A"/>
    <w:rsid w:val="33CB74FA"/>
    <w:rsid w:val="343642F2"/>
    <w:rsid w:val="343F3010"/>
    <w:rsid w:val="345D0A00"/>
    <w:rsid w:val="34607098"/>
    <w:rsid w:val="34713BFD"/>
    <w:rsid w:val="34C13589"/>
    <w:rsid w:val="353369E3"/>
    <w:rsid w:val="35B21E0B"/>
    <w:rsid w:val="35E00D72"/>
    <w:rsid w:val="36965B9D"/>
    <w:rsid w:val="36C549FD"/>
    <w:rsid w:val="37A755DD"/>
    <w:rsid w:val="37F33BFE"/>
    <w:rsid w:val="37F94FA0"/>
    <w:rsid w:val="380D3381"/>
    <w:rsid w:val="38115B1F"/>
    <w:rsid w:val="385E3AC3"/>
    <w:rsid w:val="387D6B9E"/>
    <w:rsid w:val="388E12A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940A1F"/>
    <w:rsid w:val="3DCC2473"/>
    <w:rsid w:val="3DEB0883"/>
    <w:rsid w:val="3DF170A5"/>
    <w:rsid w:val="3E2527BF"/>
    <w:rsid w:val="3E70484C"/>
    <w:rsid w:val="3E731662"/>
    <w:rsid w:val="3E8168DD"/>
    <w:rsid w:val="3EA7725F"/>
    <w:rsid w:val="3EB03713"/>
    <w:rsid w:val="3EBF1A11"/>
    <w:rsid w:val="3EC52607"/>
    <w:rsid w:val="3EEC6CEF"/>
    <w:rsid w:val="3F183429"/>
    <w:rsid w:val="3FB77A1D"/>
    <w:rsid w:val="3FDC3674"/>
    <w:rsid w:val="3FED7F8A"/>
    <w:rsid w:val="40094AEF"/>
    <w:rsid w:val="404771FE"/>
    <w:rsid w:val="405470BD"/>
    <w:rsid w:val="40794A29"/>
    <w:rsid w:val="40834692"/>
    <w:rsid w:val="40ED0383"/>
    <w:rsid w:val="41431AD5"/>
    <w:rsid w:val="414B3C0F"/>
    <w:rsid w:val="417C1CE7"/>
    <w:rsid w:val="41900018"/>
    <w:rsid w:val="41944406"/>
    <w:rsid w:val="41CE128F"/>
    <w:rsid w:val="41DA6F12"/>
    <w:rsid w:val="42171FB1"/>
    <w:rsid w:val="42C10D7B"/>
    <w:rsid w:val="42C22298"/>
    <w:rsid w:val="434E6957"/>
    <w:rsid w:val="438755D2"/>
    <w:rsid w:val="43A5227B"/>
    <w:rsid w:val="43BA0E31"/>
    <w:rsid w:val="43C15147"/>
    <w:rsid w:val="43C3013B"/>
    <w:rsid w:val="43E14DD2"/>
    <w:rsid w:val="43F800E9"/>
    <w:rsid w:val="443A7E4B"/>
    <w:rsid w:val="444A7D08"/>
    <w:rsid w:val="44A43C5C"/>
    <w:rsid w:val="45236723"/>
    <w:rsid w:val="452F5B3A"/>
    <w:rsid w:val="454E7FD2"/>
    <w:rsid w:val="46061BDC"/>
    <w:rsid w:val="461404F8"/>
    <w:rsid w:val="46413018"/>
    <w:rsid w:val="464B7E04"/>
    <w:rsid w:val="468041AA"/>
    <w:rsid w:val="468123C6"/>
    <w:rsid w:val="46901EEE"/>
    <w:rsid w:val="469C74D2"/>
    <w:rsid w:val="46D447DE"/>
    <w:rsid w:val="47445515"/>
    <w:rsid w:val="474B4782"/>
    <w:rsid w:val="47D90D14"/>
    <w:rsid w:val="47DE1152"/>
    <w:rsid w:val="48387FB0"/>
    <w:rsid w:val="483A6114"/>
    <w:rsid w:val="488727DB"/>
    <w:rsid w:val="48B82268"/>
    <w:rsid w:val="48C05E0E"/>
    <w:rsid w:val="48C354B3"/>
    <w:rsid w:val="493D58B5"/>
    <w:rsid w:val="494A7A04"/>
    <w:rsid w:val="49605EF7"/>
    <w:rsid w:val="498455FF"/>
    <w:rsid w:val="4A0A26D2"/>
    <w:rsid w:val="4A2019A5"/>
    <w:rsid w:val="4A241A0B"/>
    <w:rsid w:val="4A5C2BD7"/>
    <w:rsid w:val="4A7B2875"/>
    <w:rsid w:val="4A8A780D"/>
    <w:rsid w:val="4A934476"/>
    <w:rsid w:val="4AAA220A"/>
    <w:rsid w:val="4AE12E67"/>
    <w:rsid w:val="4B4C0111"/>
    <w:rsid w:val="4B8553A9"/>
    <w:rsid w:val="4BDB3730"/>
    <w:rsid w:val="4C200F7A"/>
    <w:rsid w:val="4CEE3180"/>
    <w:rsid w:val="4D0F4AF6"/>
    <w:rsid w:val="4DA100EC"/>
    <w:rsid w:val="4DF94F37"/>
    <w:rsid w:val="4E0A1DD5"/>
    <w:rsid w:val="4E3160E5"/>
    <w:rsid w:val="4E4D37AF"/>
    <w:rsid w:val="4E8C6496"/>
    <w:rsid w:val="4EC44DE3"/>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1D27B8A"/>
    <w:rsid w:val="525C687F"/>
    <w:rsid w:val="52A3740A"/>
    <w:rsid w:val="52F647F7"/>
    <w:rsid w:val="52F92565"/>
    <w:rsid w:val="53AE735E"/>
    <w:rsid w:val="53D03877"/>
    <w:rsid w:val="53D13C91"/>
    <w:rsid w:val="542F73CA"/>
    <w:rsid w:val="5430786D"/>
    <w:rsid w:val="545A1D2A"/>
    <w:rsid w:val="54C811C0"/>
    <w:rsid w:val="54DD3138"/>
    <w:rsid w:val="556A442D"/>
    <w:rsid w:val="55AF7CDF"/>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A330CE"/>
    <w:rsid w:val="5CBB0CE2"/>
    <w:rsid w:val="5CC17177"/>
    <w:rsid w:val="5CF306BC"/>
    <w:rsid w:val="5D3F3D64"/>
    <w:rsid w:val="5D833043"/>
    <w:rsid w:val="5DBD6763"/>
    <w:rsid w:val="5DD92690"/>
    <w:rsid w:val="5DDB1CFD"/>
    <w:rsid w:val="5E7E6D93"/>
    <w:rsid w:val="5E82459B"/>
    <w:rsid w:val="5ED44800"/>
    <w:rsid w:val="5F350BDE"/>
    <w:rsid w:val="5F61632C"/>
    <w:rsid w:val="5FA17648"/>
    <w:rsid w:val="5FA75D04"/>
    <w:rsid w:val="5FE705CB"/>
    <w:rsid w:val="6007714E"/>
    <w:rsid w:val="603D5080"/>
    <w:rsid w:val="606842D0"/>
    <w:rsid w:val="60D0261B"/>
    <w:rsid w:val="61210C28"/>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4228B"/>
    <w:rsid w:val="651E5741"/>
    <w:rsid w:val="655D7702"/>
    <w:rsid w:val="658A4877"/>
    <w:rsid w:val="65A00902"/>
    <w:rsid w:val="65AC6EDD"/>
    <w:rsid w:val="65D97752"/>
    <w:rsid w:val="66085536"/>
    <w:rsid w:val="66105BF7"/>
    <w:rsid w:val="66150023"/>
    <w:rsid w:val="6628010D"/>
    <w:rsid w:val="664843E8"/>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6FDF4447"/>
    <w:rsid w:val="702227FB"/>
    <w:rsid w:val="702B4D16"/>
    <w:rsid w:val="7034214B"/>
    <w:rsid w:val="70AA6621"/>
    <w:rsid w:val="7111480F"/>
    <w:rsid w:val="71261F49"/>
    <w:rsid w:val="712E6956"/>
    <w:rsid w:val="71473612"/>
    <w:rsid w:val="71504F32"/>
    <w:rsid w:val="7152309F"/>
    <w:rsid w:val="718F7F65"/>
    <w:rsid w:val="71DA6992"/>
    <w:rsid w:val="71FB6657"/>
    <w:rsid w:val="727B234E"/>
    <w:rsid w:val="728A58B0"/>
    <w:rsid w:val="72BB7A56"/>
    <w:rsid w:val="72D068C7"/>
    <w:rsid w:val="72E42ED8"/>
    <w:rsid w:val="72FC34C3"/>
    <w:rsid w:val="735F4CB9"/>
    <w:rsid w:val="73674C62"/>
    <w:rsid w:val="73845865"/>
    <w:rsid w:val="739B6D9E"/>
    <w:rsid w:val="73BC1D76"/>
    <w:rsid w:val="73FB6630"/>
    <w:rsid w:val="748D790E"/>
    <w:rsid w:val="749820CC"/>
    <w:rsid w:val="74CE04EC"/>
    <w:rsid w:val="74E76DCD"/>
    <w:rsid w:val="74F55E2B"/>
    <w:rsid w:val="751D7C0A"/>
    <w:rsid w:val="75722D56"/>
    <w:rsid w:val="75C7002F"/>
    <w:rsid w:val="75DB5477"/>
    <w:rsid w:val="75FC6AC3"/>
    <w:rsid w:val="7616619B"/>
    <w:rsid w:val="76660D7C"/>
    <w:rsid w:val="766C5968"/>
    <w:rsid w:val="768C0BED"/>
    <w:rsid w:val="76BE0C8F"/>
    <w:rsid w:val="76CA5E1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1C73CA"/>
    <w:rsid w:val="793C0F89"/>
    <w:rsid w:val="795A0A34"/>
    <w:rsid w:val="797339C3"/>
    <w:rsid w:val="79D57D57"/>
    <w:rsid w:val="79F00650"/>
    <w:rsid w:val="7A6242BF"/>
    <w:rsid w:val="7A794513"/>
    <w:rsid w:val="7A893B99"/>
    <w:rsid w:val="7A9B3811"/>
    <w:rsid w:val="7AA41611"/>
    <w:rsid w:val="7AB467DA"/>
    <w:rsid w:val="7AB9318D"/>
    <w:rsid w:val="7AE952D2"/>
    <w:rsid w:val="7B9F26AF"/>
    <w:rsid w:val="7BB218E9"/>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1026</Words>
  <Characters>5852</Characters>
  <Lines>48</Lines>
  <Paragraphs>13</Paragraphs>
  <TotalTime>16</TotalTime>
  <ScaleCrop>false</ScaleCrop>
  <LinksUpToDate>false</LinksUpToDate>
  <CharactersWithSpaces>6865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2025-04-09T05:03:55Z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1951D6C0757E45ACA8C3BA4A405E979C</vt:lpwstr>
  </property>
</Properties>
</file>