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沙湾市城西幼儿园</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bookmarkStart w:id="0" w:name="_Toc32314"/>
      <w:bookmarkStart w:id="1" w:name="_Toc24028"/>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贯彻执行党和国家有关幼儿教育的方针、政策以及教育法规、规章,坚持正确的办园方向。执行上级的指示和决议;贯彻执行《幼儿教育纲要》和《幼儿园工作规程》,深化改革,强化管理,使各项工作程序化,规范化,制度化,不断提高保教水平。制定好各类教育工作计划，并认真实施，有计划有步骤地开展班级保教工作。树立正确的儿童观、教育观，热爱幼儿、尊重幼儿，对幼儿做到关心、细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沙湾市城西幼儿园2023年度，实有人数</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27</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单位无下属预算单位，下设6个处室，分别是：园办、后勤组、保育组、大班组、中班组、小班组。</w:t>
      </w:r>
      <w:bookmarkStart w:id="6" w:name="_Toc29374"/>
      <w:bookmarkStart w:id="7" w:name="_Toc3092"/>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8" w:name="_Toc12566"/>
      <w:bookmarkStart w:id="9" w:name="_Toc25314"/>
      <w:r>
        <w:rPr>
          <w:rFonts w:hint="eastAsia" w:ascii="黑体" w:hAnsi="黑体" w:eastAsia="黑体"/>
          <w:color w:val="auto"/>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1,062.37万元，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1,062.37万元，使用非财政拨款结余0.00万元，年初结转和结余0.00万元。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1,062.37万元，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1,062.37万元，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宋体" w:eastAsia="仿宋_GB2312" w:cs="宋体"/>
          <w:color w:val="auto"/>
          <w:kern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增加431.88万元</w:t>
      </w:r>
      <w:r>
        <w:rPr>
          <w:rFonts w:hint="eastAsia" w:ascii="仿宋_GB2312" w:eastAsia="仿宋_GB2312"/>
          <w:color w:val="auto"/>
          <w:spacing w:val="0"/>
          <w:sz w:val="32"/>
          <w:szCs w:val="32"/>
          <w:highlight w:val="none"/>
          <w:lang w:eastAsia="zh-CN"/>
        </w:rPr>
        <w:t>，增长68.50%，主要原因是：</w:t>
      </w:r>
      <w:r>
        <w:rPr>
          <w:rFonts w:hint="eastAsia" w:ascii="仿宋_GB2312" w:hAnsi="仿宋" w:eastAsia="仿宋_GB2312" w:cs="Times New Roman"/>
          <w:sz w:val="32"/>
          <w:szCs w:val="32"/>
          <w:highlight w:val="none"/>
          <w:lang w:val="en-US" w:eastAsia="zh-CN"/>
        </w:rPr>
        <w:t>财政拨付了2020年至2023年保教费和生活补助经费；财政补发了2018年下半年和2020年大绩效。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1,062.37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1,062.37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本年支出1,062.37万元，其中：基本支出444.89万元，占41.88%；项目支出617.48万元，占58.12%；上缴上级支出0.00万元，占0.00%；经营支出0.00万元，占0.00%；对附属单位补助支出0.00万元，占0.00%。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zh-CN"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1,062.37万元，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1,062.37万元。财政拨款支出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1,062.37万元，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1,062.37万元。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zh-CN"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增加431.88万元，</w:t>
      </w:r>
      <w:r>
        <w:rPr>
          <w:rFonts w:hint="eastAsia" w:ascii="仿宋_GB2312" w:eastAsia="仿宋_GB2312"/>
          <w:color w:val="auto"/>
          <w:spacing w:val="0"/>
          <w:sz w:val="32"/>
          <w:szCs w:val="32"/>
          <w:highlight w:val="none"/>
          <w:lang w:val="en-US" w:eastAsia="zh-CN"/>
        </w:rPr>
        <w:t>增长68.50%,</w:t>
      </w:r>
      <w:r>
        <w:rPr>
          <w:rFonts w:hint="eastAsia" w:ascii="仿宋_GB2312" w:eastAsia="仿宋_GB2312"/>
          <w:color w:val="auto"/>
          <w:spacing w:val="0"/>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财政拨付了2020年至2023年保教费和生活补助经费；财政补发了2018年下半年和2020年大绩效。</w:t>
      </w:r>
      <w:r>
        <w:rPr>
          <w:rFonts w:hint="eastAsia" w:ascii="仿宋_GB2312" w:eastAsia="仿宋_GB2312"/>
          <w:color w:val="auto"/>
          <w:spacing w:val="0"/>
          <w:sz w:val="32"/>
          <w:szCs w:val="32"/>
          <w:highlight w:val="none"/>
          <w:lang w:val="zh-CN" w:eastAsia="zh-CN"/>
        </w:rPr>
        <w:t>与年初预算相比，年初预</w:t>
      </w:r>
      <w:r>
        <w:rPr>
          <w:rFonts w:hint="eastAsia" w:ascii="仿宋_GB2312" w:eastAsia="仿宋_GB2312"/>
          <w:color w:val="auto"/>
          <w:spacing w:val="0"/>
          <w:sz w:val="32"/>
          <w:szCs w:val="32"/>
          <w:highlight w:val="none"/>
          <w:lang w:val="en-US" w:eastAsia="zh-CN"/>
        </w:rPr>
        <w:t>算</w:t>
      </w:r>
      <w:r>
        <w:rPr>
          <w:rFonts w:hint="eastAsia" w:ascii="仿宋_GB2312" w:eastAsia="仿宋_GB2312"/>
          <w:color w:val="auto"/>
          <w:spacing w:val="0"/>
          <w:sz w:val="32"/>
          <w:szCs w:val="32"/>
          <w:highlight w:val="none"/>
          <w:lang w:val="zh-CN" w:eastAsia="zh-CN"/>
        </w:rPr>
        <w:t>数836.89万元，决算数1,062.37万元，预决算差异率26.94%，主要原因是：</w:t>
      </w:r>
      <w:r>
        <w:rPr>
          <w:rFonts w:hint="eastAsia" w:ascii="仿宋_GB2312" w:eastAsia="仿宋_GB2312"/>
          <w:color w:val="auto"/>
          <w:spacing w:val="0"/>
          <w:sz w:val="32"/>
          <w:szCs w:val="32"/>
          <w:highlight w:val="none"/>
          <w:lang w:val="en-US" w:eastAsia="zh-CN"/>
        </w:rPr>
        <w:t>本年年终拨付2020-2023年保教费及生活补助经费；补发了2018年下半年和2020年大绩效，此项目为年中追加项目。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宋体" w:eastAsia="仿宋_GB2312" w:cs="宋体"/>
          <w:color w:val="auto"/>
          <w:kern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2023年度一般公共预算财政拨款支出1,062.37万元，占本年支出合计的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增加431.88万元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增长68.50%,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财政拨付了2020年至2023年保教费和生活补助经费；财政补发了2018年下半年和2020年大绩效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836.89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1,062.37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26.94%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本年年终拨付2020-2023年保教费及生活补助经费；补发了2018年下半年和2020年大绩效，此项目为年中追加项目。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20" w:firstLineChars="1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（二）一般公共预算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1,062.37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1.教育支出（类）教育费附加安排的支出（款）其他教育费附加安排的支出（项）:支出决算数为13.00万元，比上年决算减少5.68万元，下降30.41%，主要原因是：</w:t>
      </w:r>
      <w:r>
        <w:rPr>
          <w:rFonts w:hint="eastAsia" w:ascii="仿宋_GB2312" w:hAnsi="仿宋_GB2312" w:eastAsia="仿宋_GB2312" w:cs="仿宋_GB2312"/>
          <w:color w:val="auto"/>
          <w:kern w:val="2"/>
          <w:sz w:val="32"/>
          <w:szCs w:val="32"/>
          <w:highlight w:val="none"/>
          <w:lang w:val="zh-CN" w:eastAsia="zh-CN" w:bidi="ar-SA"/>
        </w:rPr>
        <w:t>幼儿园大型修缮、房屋建筑物构建等支出减少。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2.教育支出（类）普通教育（款）学前教育（项）:支出决算数为1,049.37万元，比上年决算增加437.56万元，增长71.52%，主要原因是：财政拨付了2020年至2023年历欠保教费和生活补助经费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2023年度一般公共预算财政拨款基本支出444.89万元，其中：人员经费443.92万元，包括：</w:t>
      </w:r>
      <w:r>
        <w:rPr>
          <w:rFonts w:hint="eastAsia" w:ascii="仿宋_GB2312" w:eastAsia="仿宋_GB2312"/>
          <w:color w:val="auto"/>
          <w:spacing w:val="0"/>
          <w:sz w:val="32"/>
          <w:szCs w:val="32"/>
          <w:highlight w:val="none"/>
          <w:lang w:val="en-US" w:eastAsia="zh-CN"/>
        </w:rPr>
        <w:t>基本工资、津贴补贴、奖金、绩效工资、机关事业单位基本养老保险缴费、职工基本医疗保险缴费、其他社会保障缴费、住房公积金、其他工资福利支出、退休费、奖励金。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宋体" w:cs="Times New Roman"/>
          <w:kern w:val="2"/>
          <w:sz w:val="21"/>
          <w:szCs w:val="24"/>
          <w:highlight w:val="none"/>
          <w:lang w:val="en-US" w:eastAsia="zh-CN" w:bidi="ar-SA"/>
        </w:rPr>
      </w:pPr>
      <w:r>
        <w:rPr>
          <w:rFonts w:hint="eastAsia" w:ascii="仿宋_GB2312" w:eastAsia="仿宋_GB2312"/>
          <w:color w:val="auto"/>
          <w:spacing w:val="0"/>
          <w:sz w:val="32"/>
          <w:szCs w:val="32"/>
          <w:highlight w:val="none"/>
          <w:lang w:eastAsia="zh-CN"/>
        </w:rPr>
        <w:t>公用经费0.97万元，包括：</w:t>
      </w:r>
      <w:r>
        <w:rPr>
          <w:rFonts w:hint="eastAsia" w:ascii="仿宋_GB2312" w:eastAsia="仿宋_GB2312"/>
          <w:color w:val="auto"/>
          <w:spacing w:val="0"/>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七、财政拨款“三公”经费支出决算情况说明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宋体" w:cs="Times New Roman"/>
          <w:kern w:val="2"/>
          <w:sz w:val="21"/>
          <w:szCs w:val="24"/>
          <w:highlight w:val="none"/>
          <w:lang w:val="en-US" w:eastAsia="zh-CN" w:bidi="ar-SA"/>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lang w:eastAsia="zh-CN"/>
        </w:rPr>
        <w:t>我</w:t>
      </w:r>
      <w:r>
        <w:rPr>
          <w:rFonts w:hint="eastAsia" w:ascii="仿宋_GB2312" w:eastAsia="仿宋_GB2312"/>
          <w:sz w:val="32"/>
          <w:szCs w:val="32"/>
          <w:highlight w:val="none"/>
        </w:rPr>
        <w:t>单位无“三公”经费支出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p>
    <w:p>
      <w:pPr>
        <w:keepNext w:val="0"/>
        <w:keepLines w:val="0"/>
        <w:pageBreakBefore w:val="0"/>
        <w:widowControl w:val="0"/>
        <w:tabs>
          <w:tab w:val="left" w:pos="753"/>
        </w:tabs>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宋体" w:cs="Times New Roman"/>
          <w:kern w:val="2"/>
          <w:sz w:val="21"/>
          <w:szCs w:val="24"/>
          <w:highlight w:val="none"/>
          <w:lang w:val="en-US" w:eastAsia="zh-CN" w:bidi="ar-SA"/>
        </w:rPr>
      </w:pPr>
      <w:r>
        <w:rPr>
          <w:rFonts w:hint="eastAsia" w:ascii="仿宋_GB2312" w:eastAsia="仿宋_GB2312"/>
          <w:color w:val="auto"/>
          <w:sz w:val="32"/>
          <w:szCs w:val="32"/>
          <w:highlight w:val="none"/>
          <w:lang w:val="zh-CN" w:eastAsia="zh-CN"/>
        </w:rPr>
        <w:t>公务接待费0.00万元，开支内容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我单位无公务接待费。单位全年安排的国内公务接待0批次，0人次。</w:t>
      </w:r>
    </w:p>
    <w:p>
      <w:pPr>
        <w:keepNext w:val="0"/>
        <w:keepLines w:val="0"/>
        <w:pageBreakBefore w:val="0"/>
        <w:widowControl w:val="0"/>
        <w:tabs>
          <w:tab w:val="left" w:pos="837"/>
        </w:tabs>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eastAsia="zh-CN"/>
        </w:rPr>
        <w:t>我</w:t>
      </w:r>
      <w:r>
        <w:rPr>
          <w:rFonts w:hint="eastAsia" w:ascii="仿宋_GB2312" w:eastAsia="仿宋_GB2312"/>
          <w:sz w:val="32"/>
          <w:szCs w:val="32"/>
          <w:highlight w:val="none"/>
        </w:rPr>
        <w:t>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我单位无因公出国（境）费，预决算无差异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w:t>
      </w:r>
      <w:r>
        <w:rPr>
          <w:rFonts w:hint="eastAsia" w:ascii="仿宋_GB2312" w:hAnsi="宋体" w:eastAsia="仿宋_GB2312" w:cs="宋体"/>
          <w:kern w:val="0"/>
          <w:sz w:val="32"/>
          <w:szCs w:val="32"/>
          <w:highlight w:val="none"/>
        </w:rPr>
        <w:t>单位</w:t>
      </w:r>
      <w:r>
        <w:rPr>
          <w:rFonts w:hint="eastAsia" w:ascii="仿宋_GB2312" w:hAnsi="宋体" w:eastAsia="仿宋_GB2312" w:cs="宋体"/>
          <w:kern w:val="0"/>
          <w:sz w:val="32"/>
          <w:szCs w:val="32"/>
          <w:highlight w:val="none"/>
          <w:lang w:eastAsia="zh-CN"/>
        </w:rPr>
        <w:t>无</w:t>
      </w:r>
      <w:r>
        <w:rPr>
          <w:rFonts w:hint="eastAsia" w:ascii="仿宋_GB2312" w:hAnsi="宋体" w:eastAsia="仿宋_GB2312" w:cs="宋体"/>
          <w:kern w:val="0"/>
          <w:sz w:val="32"/>
          <w:szCs w:val="32"/>
          <w:highlight w:val="none"/>
        </w:rPr>
        <w:t>公务用车</w:t>
      </w:r>
      <w:r>
        <w:rPr>
          <w:rFonts w:hint="eastAsia" w:ascii="仿宋_GB2312" w:eastAsia="仿宋_GB2312"/>
          <w:color w:val="auto"/>
          <w:sz w:val="32"/>
          <w:szCs w:val="32"/>
          <w:highlight w:val="none"/>
          <w:lang w:val="zh-CN" w:eastAsia="zh-CN"/>
        </w:rPr>
        <w:t>购置费</w:t>
      </w:r>
      <w:r>
        <w:rPr>
          <w:rFonts w:hint="eastAsia" w:ascii="仿宋_GB2312" w:hAnsi="宋体" w:eastAsia="仿宋_GB2312" w:cs="宋体"/>
          <w:kern w:val="0"/>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w:t>
      </w:r>
      <w:r>
        <w:rPr>
          <w:rFonts w:hint="eastAsia" w:ascii="仿宋_GB2312" w:hAnsi="宋体" w:eastAsia="仿宋_GB2312" w:cs="宋体"/>
          <w:kern w:val="0"/>
          <w:sz w:val="32"/>
          <w:szCs w:val="32"/>
          <w:highlight w:val="none"/>
        </w:rPr>
        <w:t>单位</w:t>
      </w:r>
      <w:r>
        <w:rPr>
          <w:rFonts w:hint="eastAsia" w:ascii="仿宋_GB2312" w:hAnsi="宋体" w:eastAsia="仿宋_GB2312" w:cs="宋体"/>
          <w:kern w:val="0"/>
          <w:sz w:val="32"/>
          <w:szCs w:val="32"/>
          <w:highlight w:val="none"/>
          <w:lang w:eastAsia="zh-CN"/>
        </w:rPr>
        <w:t>无</w:t>
      </w:r>
      <w:r>
        <w:rPr>
          <w:rFonts w:hint="eastAsia" w:ascii="仿宋_GB2312" w:hAnsi="宋体" w:eastAsia="仿宋_GB2312" w:cs="宋体"/>
          <w:kern w:val="0"/>
          <w:sz w:val="32"/>
          <w:szCs w:val="32"/>
          <w:highlight w:val="none"/>
        </w:rPr>
        <w:t>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eastAsia="zh-CN"/>
        </w:rPr>
        <w:t>我</w:t>
      </w:r>
      <w:r>
        <w:rPr>
          <w:rFonts w:hint="eastAsia" w:ascii="仿宋_GB2312" w:eastAsia="仿宋_GB2312"/>
          <w:sz w:val="32"/>
          <w:szCs w:val="32"/>
          <w:highlight w:val="none"/>
        </w:rPr>
        <w:t>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公务接待费，预决算无差异</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13105"/>
      <w:bookmarkStart w:id="23" w:name="_Toc14519"/>
      <w:r>
        <w:rPr>
          <w:rFonts w:hint="eastAsia" w:ascii="黑体" w:hAnsi="黑体" w:eastAsia="黑体" w:cs="宋体"/>
          <w:bCs/>
          <w:color w:val="auto"/>
          <w:kern w:val="0"/>
          <w:sz w:val="32"/>
          <w:szCs w:val="32"/>
          <w:highlight w:val="none"/>
          <w:lang w:eastAsia="zh-CN"/>
        </w:rPr>
        <w:t>（一）机关运行经费支出情况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沙湾市城西幼儿园（事业单位）公用经费支出0.97万元，</w:t>
      </w:r>
      <w:r>
        <w:rPr>
          <w:rFonts w:hint="eastAsia" w:ascii="仿宋_GB2312" w:hAnsi="仿宋_GB2312" w:eastAsia="仿宋_GB2312" w:cs="仿宋_GB2312"/>
          <w:color w:val="auto"/>
          <w:sz w:val="32"/>
          <w:szCs w:val="32"/>
          <w:highlight w:val="none"/>
          <w:lang w:val="zh-CN" w:eastAsia="zh-CN"/>
        </w:rPr>
        <w:t>比上年增加0.97万元，增长100.00%，主要原因是：财政拨付了</w:t>
      </w:r>
      <w:r>
        <w:rPr>
          <w:rFonts w:hint="eastAsia" w:ascii="仿宋_GB2312" w:hAnsi="仿宋_GB2312" w:eastAsia="仿宋_GB2312" w:cs="仿宋_GB2312"/>
          <w:color w:val="auto"/>
          <w:sz w:val="32"/>
          <w:szCs w:val="32"/>
          <w:highlight w:val="none"/>
          <w:lang w:val="en-US" w:eastAsia="zh-CN"/>
        </w:rPr>
        <w:t>2023年工会经费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4" w:name="_Toc26704"/>
      <w:bookmarkStart w:id="25" w:name="_Toc227"/>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额的0.00%，其中：授予小微企业合同金额0.00万元，占政</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1,311.55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屋9,275.00平方米，价值1,027.61万元。车辆0辆，价值0.00万元，其中：副部（省）级及以上领导用车0辆、主要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1个，全年预算总额1</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062</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37</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实际执行总额1</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062</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37</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全年预算数617.48</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全年执行数617.48</w:t>
      </w:r>
      <w:r>
        <w:rPr>
          <w:rFonts w:hint="eastAsia" w:ascii="仿宋_GB2312" w:eastAsia="仿宋_GB2312"/>
          <w:color w:val="auto"/>
          <w:sz w:val="32"/>
          <w:szCs w:val="32"/>
          <w:highlight w:val="none"/>
          <w:lang w:eastAsia="zh-CN"/>
        </w:rPr>
        <w:t>万元，本单位</w:t>
      </w:r>
      <w:r>
        <w:rPr>
          <w:rFonts w:hint="eastAsia" w:ascii="仿宋_GB2312" w:eastAsia="仿宋_GB2312"/>
          <w:color w:val="auto"/>
          <w:sz w:val="32"/>
          <w:szCs w:val="32"/>
          <w:highlight w:val="none"/>
          <w:lang w:val="en-US" w:eastAsia="zh-CN"/>
        </w:rPr>
        <w:t>sm项目2个，全年</w:t>
      </w:r>
      <w:bookmarkStart w:id="48" w:name="_GoBack"/>
      <w:bookmarkEnd w:id="48"/>
      <w:r>
        <w:rPr>
          <w:rFonts w:hint="eastAsia" w:ascii="仿宋_GB2312" w:eastAsia="仿宋_GB2312"/>
          <w:color w:val="auto"/>
          <w:sz w:val="32"/>
          <w:szCs w:val="32"/>
          <w:highlight w:val="none"/>
          <w:lang w:val="en-US" w:eastAsia="zh-CN"/>
        </w:rPr>
        <w:t>预算数43万元，全年执行数43万元，不予以公开</w:t>
      </w:r>
      <w:r>
        <w:rPr>
          <w:rFonts w:hint="eastAsia" w:ascii="仿宋_GB2312" w:eastAsia="仿宋_GB2312"/>
          <w:color w:val="auto"/>
          <w:sz w:val="32"/>
          <w:szCs w:val="32"/>
          <w:highlight w:val="none"/>
          <w:lang w:eastAsia="zh-CN"/>
        </w:rPr>
        <w:t>。预算绩效管理取得的成效：一是通过该项目的实施，改善了教师工作环境、教学环境，为教育教学工作正常开展提供良好的硬件软件环境；二是幼儿园生活补助资金，有效减轻幼儿阶段困难学生家庭负担。发现的问题及原因：一是项目绩效目标设置需要更加科学、合理，完整；二是项目绩效跟</w:t>
      </w:r>
      <w:r>
        <w:rPr>
          <w:rFonts w:hint="eastAsia" w:ascii="仿宋_GB2312" w:eastAsia="仿宋_GB2312"/>
          <w:color w:val="auto"/>
          <w:sz w:val="32"/>
          <w:szCs w:val="32"/>
          <w:highlight w:val="none"/>
          <w:lang w:val="en-US" w:eastAsia="zh-CN"/>
        </w:rPr>
        <w:t>踪</w:t>
      </w:r>
      <w:r>
        <w:rPr>
          <w:rFonts w:hint="eastAsia" w:ascii="仿宋_GB2312" w:eastAsia="仿宋_GB2312"/>
          <w:color w:val="auto"/>
          <w:sz w:val="32"/>
          <w:szCs w:val="32"/>
          <w:highlight w:val="none"/>
          <w:lang w:eastAsia="zh-CN"/>
        </w:rPr>
        <w:t>监控需要更加严格，规范。下一步改进措施：一是继续完善预算目标制定；二是完善执行过程，保障项目顺利实施。具体项目自评情况附绩效自评表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30" w:name="_Toc3250"/>
      <w:bookmarkStart w:id="31" w:name="_Toc24143"/>
      <w:r>
        <w:rPr>
          <w:rFonts w:hint="eastAsia" w:ascii="仿宋_GB2312" w:eastAsia="仿宋_GB2312"/>
          <w:color w:val="auto"/>
          <w:sz w:val="32"/>
          <w:szCs w:val="32"/>
          <w:highlight w:val="none"/>
          <w:lang w:val="en-US" w:eastAsia="zh-CN"/>
        </w:rPr>
        <w:t>授予中小企业合同金额、授予小微企业合同金额为0万元，主要原因是：我单位无政府采购平台，无相关数据。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本单位</w:t>
      </w:r>
      <w:r>
        <w:rPr>
          <w:rFonts w:hint="eastAsia" w:ascii="仿宋_GB2312" w:eastAsia="仿宋_GB2312"/>
          <w:color w:val="auto"/>
          <w:sz w:val="32"/>
          <w:szCs w:val="32"/>
          <w:highlight w:val="none"/>
          <w:lang w:val="en-US" w:eastAsia="zh-CN"/>
        </w:rPr>
        <w:t>sm项目2个，全年预算数43万元，全年执行数43万元，不予以公开绩效自评表</w:t>
      </w:r>
      <w:r>
        <w:rPr>
          <w:rFonts w:hint="eastAsia" w:ascii="仿宋_GB2312" w:eastAsia="仿宋_GB2312"/>
          <w:color w:val="auto"/>
          <w:sz w:val="32"/>
          <w:szCs w:val="32"/>
          <w:highlight w:val="none"/>
          <w:lang w:eastAsia="zh-CN"/>
        </w:rPr>
        <w:t>。</w:t>
      </w:r>
      <w:bookmarkEnd w:id="30"/>
      <w:bookmarkEnd w:id="31"/>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br w:type="page"/>
      </w:r>
    </w:p>
    <w:p>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center"/>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仿宋_GB2312" w:hAnsi="仿宋_GB2312" w:eastAsia="仿宋_GB2312" w:cs="仿宋_GB2312"/>
          <w:color w:val="auto"/>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orHAnsi">
    <w:altName w:val="Segoe Print"/>
    <w:panose1 w:val="00000000000000000000"/>
    <w:charset w:val="00"/>
    <w:family w:val="auto"/>
    <w:pitch w:val="default"/>
    <w:sig w:usb0="00000000" w:usb1="00000000" w:usb2="00000000" w:usb3="00000000" w:csb0="00000000" w:csb1="00000000"/>
  </w:font>
  <w:font w:name="minorEastAsia">
    <w:altName w:val="宋体"/>
    <w:panose1 w:val="00000000000000000000"/>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CA29EB"/>
    <w:rsid w:val="05EF4B48"/>
    <w:rsid w:val="05F76ECA"/>
    <w:rsid w:val="06183A24"/>
    <w:rsid w:val="06792773"/>
    <w:rsid w:val="06FD75CA"/>
    <w:rsid w:val="07093795"/>
    <w:rsid w:val="07804730"/>
    <w:rsid w:val="079052BE"/>
    <w:rsid w:val="07D337E6"/>
    <w:rsid w:val="08145C21"/>
    <w:rsid w:val="08422688"/>
    <w:rsid w:val="085854ED"/>
    <w:rsid w:val="0879188F"/>
    <w:rsid w:val="08A0354D"/>
    <w:rsid w:val="08CD4C49"/>
    <w:rsid w:val="09114954"/>
    <w:rsid w:val="095A5B83"/>
    <w:rsid w:val="096466E3"/>
    <w:rsid w:val="0968304D"/>
    <w:rsid w:val="09AF3D17"/>
    <w:rsid w:val="09BA68D7"/>
    <w:rsid w:val="0A6169FF"/>
    <w:rsid w:val="0A7809B7"/>
    <w:rsid w:val="0A7B4867"/>
    <w:rsid w:val="0A840954"/>
    <w:rsid w:val="0A9928ED"/>
    <w:rsid w:val="0AE91A83"/>
    <w:rsid w:val="0B61769D"/>
    <w:rsid w:val="0B8C3ECC"/>
    <w:rsid w:val="0B9C639D"/>
    <w:rsid w:val="0BB052B2"/>
    <w:rsid w:val="0BD33FFC"/>
    <w:rsid w:val="0BE97AC1"/>
    <w:rsid w:val="0BEE2322"/>
    <w:rsid w:val="0BF94565"/>
    <w:rsid w:val="0C1C4780"/>
    <w:rsid w:val="0C3613A3"/>
    <w:rsid w:val="0C5E519C"/>
    <w:rsid w:val="0C7227A7"/>
    <w:rsid w:val="0CA52EE8"/>
    <w:rsid w:val="0CBD6988"/>
    <w:rsid w:val="0CD208AC"/>
    <w:rsid w:val="0D172DAA"/>
    <w:rsid w:val="0D4903E8"/>
    <w:rsid w:val="0D7A4A46"/>
    <w:rsid w:val="0E074018"/>
    <w:rsid w:val="0E106127"/>
    <w:rsid w:val="0E640559"/>
    <w:rsid w:val="0F1113DA"/>
    <w:rsid w:val="0F78534A"/>
    <w:rsid w:val="0F89358A"/>
    <w:rsid w:val="0F8C6D51"/>
    <w:rsid w:val="105B0B5E"/>
    <w:rsid w:val="112E58D0"/>
    <w:rsid w:val="11731CAC"/>
    <w:rsid w:val="119500A0"/>
    <w:rsid w:val="11A561CE"/>
    <w:rsid w:val="11C0733B"/>
    <w:rsid w:val="11D50D17"/>
    <w:rsid w:val="120E0809"/>
    <w:rsid w:val="127F665A"/>
    <w:rsid w:val="12F7068C"/>
    <w:rsid w:val="14207DC0"/>
    <w:rsid w:val="14B932DA"/>
    <w:rsid w:val="150A66AF"/>
    <w:rsid w:val="153C37DB"/>
    <w:rsid w:val="154C1139"/>
    <w:rsid w:val="158C5B77"/>
    <w:rsid w:val="160D1149"/>
    <w:rsid w:val="163563C0"/>
    <w:rsid w:val="164315EF"/>
    <w:rsid w:val="16557DFE"/>
    <w:rsid w:val="167268FB"/>
    <w:rsid w:val="16770D0A"/>
    <w:rsid w:val="169A0039"/>
    <w:rsid w:val="16D50C50"/>
    <w:rsid w:val="16E120E1"/>
    <w:rsid w:val="16FD1EC3"/>
    <w:rsid w:val="17385A05"/>
    <w:rsid w:val="173B3901"/>
    <w:rsid w:val="176747F9"/>
    <w:rsid w:val="17954A6E"/>
    <w:rsid w:val="17BE2C86"/>
    <w:rsid w:val="17FB282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C65375"/>
    <w:rsid w:val="1D207293"/>
    <w:rsid w:val="1D22799A"/>
    <w:rsid w:val="1D5C1A72"/>
    <w:rsid w:val="1DAF458D"/>
    <w:rsid w:val="1E086ACE"/>
    <w:rsid w:val="1E2E4686"/>
    <w:rsid w:val="1E476652"/>
    <w:rsid w:val="1E62130A"/>
    <w:rsid w:val="1E97358B"/>
    <w:rsid w:val="1EAA4A5F"/>
    <w:rsid w:val="1EE869A7"/>
    <w:rsid w:val="1F1D3483"/>
    <w:rsid w:val="1F3F37CF"/>
    <w:rsid w:val="1FA15E62"/>
    <w:rsid w:val="1FED69B6"/>
    <w:rsid w:val="2064678E"/>
    <w:rsid w:val="20DC1AB9"/>
    <w:rsid w:val="20DD6197"/>
    <w:rsid w:val="212631E0"/>
    <w:rsid w:val="2138666F"/>
    <w:rsid w:val="2142471F"/>
    <w:rsid w:val="21742080"/>
    <w:rsid w:val="21A53757"/>
    <w:rsid w:val="21F879E1"/>
    <w:rsid w:val="221236C6"/>
    <w:rsid w:val="22D7662C"/>
    <w:rsid w:val="23127975"/>
    <w:rsid w:val="23326B7F"/>
    <w:rsid w:val="2380045B"/>
    <w:rsid w:val="23BC04D2"/>
    <w:rsid w:val="23EF1892"/>
    <w:rsid w:val="2483647E"/>
    <w:rsid w:val="24A32D55"/>
    <w:rsid w:val="24C37EDE"/>
    <w:rsid w:val="24CE6D9A"/>
    <w:rsid w:val="25292727"/>
    <w:rsid w:val="252E5CA9"/>
    <w:rsid w:val="2563208C"/>
    <w:rsid w:val="256F7692"/>
    <w:rsid w:val="25BA2154"/>
    <w:rsid w:val="25C8773F"/>
    <w:rsid w:val="25E0638D"/>
    <w:rsid w:val="26235823"/>
    <w:rsid w:val="264A7253"/>
    <w:rsid w:val="26F0170C"/>
    <w:rsid w:val="26FE3B9A"/>
    <w:rsid w:val="27201D62"/>
    <w:rsid w:val="27286E73"/>
    <w:rsid w:val="27CF2642"/>
    <w:rsid w:val="27E777F5"/>
    <w:rsid w:val="27EA1D4C"/>
    <w:rsid w:val="27EA2E41"/>
    <w:rsid w:val="27F730E0"/>
    <w:rsid w:val="282459E2"/>
    <w:rsid w:val="283A7FE5"/>
    <w:rsid w:val="285F51FF"/>
    <w:rsid w:val="28DA4193"/>
    <w:rsid w:val="28DF2665"/>
    <w:rsid w:val="29072599"/>
    <w:rsid w:val="290A60E3"/>
    <w:rsid w:val="290E3F0A"/>
    <w:rsid w:val="291029F3"/>
    <w:rsid w:val="292502C4"/>
    <w:rsid w:val="29CB58F0"/>
    <w:rsid w:val="2A053397"/>
    <w:rsid w:val="2A145E96"/>
    <w:rsid w:val="2A2131BB"/>
    <w:rsid w:val="2AF5378F"/>
    <w:rsid w:val="2B6A14E3"/>
    <w:rsid w:val="2BB94DBF"/>
    <w:rsid w:val="2BF37410"/>
    <w:rsid w:val="2C6F314E"/>
    <w:rsid w:val="2CC206BE"/>
    <w:rsid w:val="2CEE2546"/>
    <w:rsid w:val="2D1136DF"/>
    <w:rsid w:val="2D20606D"/>
    <w:rsid w:val="2D6729FE"/>
    <w:rsid w:val="2DB87198"/>
    <w:rsid w:val="2DB93C54"/>
    <w:rsid w:val="2E3D144C"/>
    <w:rsid w:val="2E891204"/>
    <w:rsid w:val="2F3F0A28"/>
    <w:rsid w:val="2FBF7029"/>
    <w:rsid w:val="2FC00BBB"/>
    <w:rsid w:val="2FD0187F"/>
    <w:rsid w:val="2FD27414"/>
    <w:rsid w:val="2FFE4BB0"/>
    <w:rsid w:val="300E7B60"/>
    <w:rsid w:val="300F6E18"/>
    <w:rsid w:val="30862F5F"/>
    <w:rsid w:val="30A4775A"/>
    <w:rsid w:val="314029C9"/>
    <w:rsid w:val="318325D9"/>
    <w:rsid w:val="31C63837"/>
    <w:rsid w:val="31C82E39"/>
    <w:rsid w:val="32601BAD"/>
    <w:rsid w:val="329F6389"/>
    <w:rsid w:val="3389023A"/>
    <w:rsid w:val="33CB74FA"/>
    <w:rsid w:val="343642F2"/>
    <w:rsid w:val="343F3010"/>
    <w:rsid w:val="345A26F2"/>
    <w:rsid w:val="345D0A00"/>
    <w:rsid w:val="34713BFD"/>
    <w:rsid w:val="34C13589"/>
    <w:rsid w:val="353369E3"/>
    <w:rsid w:val="35B21E0B"/>
    <w:rsid w:val="35E00D72"/>
    <w:rsid w:val="366A5CD5"/>
    <w:rsid w:val="36965B9D"/>
    <w:rsid w:val="36967973"/>
    <w:rsid w:val="36C549FD"/>
    <w:rsid w:val="374004C6"/>
    <w:rsid w:val="374B5FE8"/>
    <w:rsid w:val="37A755DD"/>
    <w:rsid w:val="37F33BFE"/>
    <w:rsid w:val="37F94FA0"/>
    <w:rsid w:val="380D3381"/>
    <w:rsid w:val="38115B1F"/>
    <w:rsid w:val="385E3AC3"/>
    <w:rsid w:val="387D6B9E"/>
    <w:rsid w:val="38B75FF0"/>
    <w:rsid w:val="38D45016"/>
    <w:rsid w:val="38D90432"/>
    <w:rsid w:val="3914510A"/>
    <w:rsid w:val="3926770B"/>
    <w:rsid w:val="397634C6"/>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BA60CC"/>
    <w:rsid w:val="41CE128F"/>
    <w:rsid w:val="41DA6F12"/>
    <w:rsid w:val="421125E1"/>
    <w:rsid w:val="42171FB1"/>
    <w:rsid w:val="42813173"/>
    <w:rsid w:val="42C10D7B"/>
    <w:rsid w:val="434E6957"/>
    <w:rsid w:val="43BA0E31"/>
    <w:rsid w:val="43C15147"/>
    <w:rsid w:val="43E14DD2"/>
    <w:rsid w:val="43F800E9"/>
    <w:rsid w:val="442963A0"/>
    <w:rsid w:val="443A7E4B"/>
    <w:rsid w:val="444A7D08"/>
    <w:rsid w:val="44DC1395"/>
    <w:rsid w:val="452F5B3A"/>
    <w:rsid w:val="454E3850"/>
    <w:rsid w:val="454E7FD2"/>
    <w:rsid w:val="46061BDC"/>
    <w:rsid w:val="461404F8"/>
    <w:rsid w:val="46413018"/>
    <w:rsid w:val="464B7E04"/>
    <w:rsid w:val="468041AA"/>
    <w:rsid w:val="468123C6"/>
    <w:rsid w:val="46901EEE"/>
    <w:rsid w:val="469C74D2"/>
    <w:rsid w:val="47445515"/>
    <w:rsid w:val="474B4782"/>
    <w:rsid w:val="47D90D14"/>
    <w:rsid w:val="47DE1152"/>
    <w:rsid w:val="47E221B3"/>
    <w:rsid w:val="48387FB0"/>
    <w:rsid w:val="483A6114"/>
    <w:rsid w:val="488727DB"/>
    <w:rsid w:val="48B82268"/>
    <w:rsid w:val="48BB54CB"/>
    <w:rsid w:val="48C354B3"/>
    <w:rsid w:val="493D58B5"/>
    <w:rsid w:val="494A7A04"/>
    <w:rsid w:val="4957639F"/>
    <w:rsid w:val="49605EF7"/>
    <w:rsid w:val="499C3FBC"/>
    <w:rsid w:val="4A0A26D2"/>
    <w:rsid w:val="4A0B0E6D"/>
    <w:rsid w:val="4A2019A5"/>
    <w:rsid w:val="4A241A0B"/>
    <w:rsid w:val="4A5C2BD7"/>
    <w:rsid w:val="4A7B2875"/>
    <w:rsid w:val="4A934476"/>
    <w:rsid w:val="4AAA220A"/>
    <w:rsid w:val="4AE12E67"/>
    <w:rsid w:val="4B4C0111"/>
    <w:rsid w:val="4B8553A9"/>
    <w:rsid w:val="4BDB3730"/>
    <w:rsid w:val="4C200F7A"/>
    <w:rsid w:val="4CE55B35"/>
    <w:rsid w:val="4CEE3180"/>
    <w:rsid w:val="4D0F4AF6"/>
    <w:rsid w:val="4DF94F37"/>
    <w:rsid w:val="4E0A1DD5"/>
    <w:rsid w:val="4E3160E5"/>
    <w:rsid w:val="4E4D37AF"/>
    <w:rsid w:val="4E8C6496"/>
    <w:rsid w:val="4EFD18DE"/>
    <w:rsid w:val="4F144236"/>
    <w:rsid w:val="4F663C87"/>
    <w:rsid w:val="4F7E29A8"/>
    <w:rsid w:val="4F9E1FFC"/>
    <w:rsid w:val="50447CC2"/>
    <w:rsid w:val="50667C06"/>
    <w:rsid w:val="50874A7C"/>
    <w:rsid w:val="50895EE7"/>
    <w:rsid w:val="508F1A38"/>
    <w:rsid w:val="50921B9D"/>
    <w:rsid w:val="509D786A"/>
    <w:rsid w:val="50D16158"/>
    <w:rsid w:val="50DB5F45"/>
    <w:rsid w:val="51025EB1"/>
    <w:rsid w:val="51141503"/>
    <w:rsid w:val="513C450E"/>
    <w:rsid w:val="518D0ED5"/>
    <w:rsid w:val="51A51396"/>
    <w:rsid w:val="525C687F"/>
    <w:rsid w:val="52A3740A"/>
    <w:rsid w:val="52F647F7"/>
    <w:rsid w:val="52F92565"/>
    <w:rsid w:val="530A2397"/>
    <w:rsid w:val="53AE735E"/>
    <w:rsid w:val="53D03877"/>
    <w:rsid w:val="53DC013D"/>
    <w:rsid w:val="542F73CA"/>
    <w:rsid w:val="5430786D"/>
    <w:rsid w:val="545A1D2A"/>
    <w:rsid w:val="54C811C0"/>
    <w:rsid w:val="54D62BEB"/>
    <w:rsid w:val="552F3A91"/>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5C41C6"/>
    <w:rsid w:val="58CD2491"/>
    <w:rsid w:val="591B41B2"/>
    <w:rsid w:val="59254A26"/>
    <w:rsid w:val="59326325"/>
    <w:rsid w:val="595C505B"/>
    <w:rsid w:val="595E55C3"/>
    <w:rsid w:val="596E7E20"/>
    <w:rsid w:val="59A7360F"/>
    <w:rsid w:val="5A5D23AA"/>
    <w:rsid w:val="5A60780B"/>
    <w:rsid w:val="5AB34579"/>
    <w:rsid w:val="5AB40E78"/>
    <w:rsid w:val="5AF80B40"/>
    <w:rsid w:val="5AFC6609"/>
    <w:rsid w:val="5B113480"/>
    <w:rsid w:val="5B90261A"/>
    <w:rsid w:val="5BD456CE"/>
    <w:rsid w:val="5C0D1F49"/>
    <w:rsid w:val="5CBB0CE2"/>
    <w:rsid w:val="5CC17177"/>
    <w:rsid w:val="5CF306BC"/>
    <w:rsid w:val="5D3F3D64"/>
    <w:rsid w:val="5D833043"/>
    <w:rsid w:val="5DD92690"/>
    <w:rsid w:val="5DDB1CFD"/>
    <w:rsid w:val="5DEF4F16"/>
    <w:rsid w:val="5E7E6D93"/>
    <w:rsid w:val="5E82459B"/>
    <w:rsid w:val="5E8E676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34788"/>
    <w:rsid w:val="625D7D1A"/>
    <w:rsid w:val="62660469"/>
    <w:rsid w:val="62DD7D21"/>
    <w:rsid w:val="62FA42E3"/>
    <w:rsid w:val="637D586B"/>
    <w:rsid w:val="63A5560B"/>
    <w:rsid w:val="63E9091F"/>
    <w:rsid w:val="64322AF9"/>
    <w:rsid w:val="64D6010D"/>
    <w:rsid w:val="64D82665"/>
    <w:rsid w:val="64E47C96"/>
    <w:rsid w:val="651E5741"/>
    <w:rsid w:val="653B3791"/>
    <w:rsid w:val="655D7702"/>
    <w:rsid w:val="658A4877"/>
    <w:rsid w:val="65A00902"/>
    <w:rsid w:val="65AC6EDD"/>
    <w:rsid w:val="65D97752"/>
    <w:rsid w:val="66085536"/>
    <w:rsid w:val="66105BF7"/>
    <w:rsid w:val="66150023"/>
    <w:rsid w:val="6628010D"/>
    <w:rsid w:val="669B4528"/>
    <w:rsid w:val="66CC12D7"/>
    <w:rsid w:val="66F05DE1"/>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593F66"/>
    <w:rsid w:val="6D77358F"/>
    <w:rsid w:val="6D8030E4"/>
    <w:rsid w:val="6D8B5878"/>
    <w:rsid w:val="6DFE64C1"/>
    <w:rsid w:val="6E0E35C4"/>
    <w:rsid w:val="6E0F7A08"/>
    <w:rsid w:val="6E3947F5"/>
    <w:rsid w:val="6E6733A0"/>
    <w:rsid w:val="6E6E3938"/>
    <w:rsid w:val="6E9C74ED"/>
    <w:rsid w:val="6EF72976"/>
    <w:rsid w:val="6F795A80"/>
    <w:rsid w:val="6F7C1D2E"/>
    <w:rsid w:val="6F8E0407"/>
    <w:rsid w:val="6FDD069F"/>
    <w:rsid w:val="702B4D16"/>
    <w:rsid w:val="70725D52"/>
    <w:rsid w:val="70AA6621"/>
    <w:rsid w:val="7111480F"/>
    <w:rsid w:val="71261F49"/>
    <w:rsid w:val="712E6956"/>
    <w:rsid w:val="71473612"/>
    <w:rsid w:val="71504F32"/>
    <w:rsid w:val="7152309F"/>
    <w:rsid w:val="71674009"/>
    <w:rsid w:val="718F7F65"/>
    <w:rsid w:val="71DA6992"/>
    <w:rsid w:val="727B234E"/>
    <w:rsid w:val="728A58B0"/>
    <w:rsid w:val="72A5220B"/>
    <w:rsid w:val="72D068C7"/>
    <w:rsid w:val="72E42ED8"/>
    <w:rsid w:val="72FC34C3"/>
    <w:rsid w:val="732C72C2"/>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4B6104"/>
    <w:rsid w:val="776526CC"/>
    <w:rsid w:val="77A262E1"/>
    <w:rsid w:val="77B13C33"/>
    <w:rsid w:val="77DC095A"/>
    <w:rsid w:val="77ED6F44"/>
    <w:rsid w:val="77F45548"/>
    <w:rsid w:val="77FC440B"/>
    <w:rsid w:val="784E7CA6"/>
    <w:rsid w:val="78574801"/>
    <w:rsid w:val="7873527F"/>
    <w:rsid w:val="78F602E8"/>
    <w:rsid w:val="790A6425"/>
    <w:rsid w:val="790E2D96"/>
    <w:rsid w:val="791B54B2"/>
    <w:rsid w:val="793C0F89"/>
    <w:rsid w:val="795A0A34"/>
    <w:rsid w:val="797339C3"/>
    <w:rsid w:val="79D57D57"/>
    <w:rsid w:val="79F00650"/>
    <w:rsid w:val="7A6242BF"/>
    <w:rsid w:val="7A687B82"/>
    <w:rsid w:val="7A794513"/>
    <w:rsid w:val="7A9B3811"/>
    <w:rsid w:val="7AB467DA"/>
    <w:rsid w:val="7AB9318D"/>
    <w:rsid w:val="7AE952D2"/>
    <w:rsid w:val="7B9F26AF"/>
    <w:rsid w:val="7BB607FE"/>
    <w:rsid w:val="7BD818F4"/>
    <w:rsid w:val="7C7248A0"/>
    <w:rsid w:val="7C976D69"/>
    <w:rsid w:val="7CD752DA"/>
    <w:rsid w:val="7CDE40AB"/>
    <w:rsid w:val="7CF057E2"/>
    <w:rsid w:val="7D1548B5"/>
    <w:rsid w:val="7D37719A"/>
    <w:rsid w:val="7DF84014"/>
    <w:rsid w:val="7E207949"/>
    <w:rsid w:val="7E502C77"/>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4698</Words>
  <Characters>5340</Characters>
  <Lines>0</Lines>
  <Paragraphs>0</Paragraphs>
  <TotalTime>1</TotalTime>
  <ScaleCrop>false</ScaleCrop>
  <LinksUpToDate>false</LinksUpToDate>
  <CharactersWithSpaces>5351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2024-11-19T03:00:12Z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036510F2F1AD464BAF0B917F0C568154</vt:lpwstr>
  </property>
</Properties>
</file>