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沙湾市城东幼儿园</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第一部分</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第一部分</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贯彻执行党和国家有关幼儿教育的方针、政策以及教育法规、规章，坚持正确的办园方向，根据我园的特点，结合实际情况出发，以国家拨给的教育经费为主要资金来源，妥善科学的管理使用各项资金，更好地为教育教学工作服务。负责教职工的政治思想工作、职业道德教育，组织文化、业务学习；维护教职工的正当权益，关心并逐步改善教职工的生活和工作条件；发挥教职工代表大会在幼儿园民主管理中的作用，调动和发挥教职工的主动性、积极性和创造性。主持幼儿园的保教工作。领导和组织安全保卫、卫生保健工作，贯彻有关的法规和规章，确保幼儿在园安全、卫生和健康；领导和组织教育工作，贯彻执行国家幼儿园课程标准，促进幼儿身心和谐发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沙湾市城东幼儿园</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6" w:name="_Toc29374"/>
      <w:bookmarkStart w:id="7" w:name="_Toc3092"/>
      <w:r>
        <w:rPr>
          <w:rFonts w:hint="eastAsia" w:ascii="仿宋_GB2312" w:eastAsia="仿宋_GB2312"/>
          <w:color w:val="auto"/>
          <w:sz w:val="32"/>
          <w:szCs w:val="32"/>
          <w:highlight w:val="none"/>
          <w:lang w:val="en-US" w:eastAsia="zh-CN"/>
        </w:rPr>
        <w:t>单位无下属预算单位，</w:t>
      </w:r>
      <w:r>
        <w:rPr>
          <w:rFonts w:hint="eastAsia" w:ascii="仿宋_GB2312" w:eastAsia="仿宋_GB2312"/>
          <w:color w:val="auto"/>
          <w:sz w:val="32"/>
          <w:szCs w:val="32"/>
          <w:highlight w:val="none"/>
          <w:lang w:val="en-US" w:eastAsia="zh-Hans"/>
        </w:rPr>
        <w:t>下设</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val="en-US" w:eastAsia="zh-Hans"/>
        </w:rPr>
        <w:t>个办公室，分别为：</w:t>
      </w:r>
      <w:r>
        <w:rPr>
          <w:rFonts w:hint="eastAsia" w:ascii="仿宋_GB2312" w:eastAsia="仿宋_GB2312"/>
          <w:color w:val="auto"/>
          <w:sz w:val="32"/>
          <w:szCs w:val="32"/>
          <w:highlight w:val="none"/>
          <w:lang w:val="en-US" w:eastAsia="zh-CN"/>
        </w:rPr>
        <w:t>园长办公室、党建室、教研室、园办、保健室。</w:t>
      </w:r>
    </w:p>
    <w:p>
      <w:pPr>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680.81万元，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680.81万元，使用非财政拨款结余0.00万元，年初结转和结余0.00万元。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680.81万元，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680.81万元，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增加121.49万元</w:t>
      </w:r>
      <w:r>
        <w:rPr>
          <w:rFonts w:hint="eastAsia" w:ascii="仿宋_GB2312" w:eastAsia="仿宋_GB2312"/>
          <w:color w:val="auto"/>
          <w:spacing w:val="0"/>
          <w:sz w:val="32"/>
          <w:szCs w:val="32"/>
          <w:highlight w:val="none"/>
          <w:lang w:eastAsia="zh-CN"/>
        </w:rPr>
        <w:t>，增长21.72%，主要原因是：</w:t>
      </w:r>
      <w:r>
        <w:rPr>
          <w:rFonts w:hint="eastAsia" w:ascii="仿宋_GB2312" w:eastAsia="仿宋_GB2312"/>
          <w:color w:val="auto"/>
          <w:spacing w:val="0"/>
          <w:sz w:val="32"/>
          <w:szCs w:val="32"/>
          <w:highlight w:val="none"/>
          <w:lang w:val="en-US" w:eastAsia="zh-CN"/>
        </w:rPr>
        <w:t>今年财政拨付以前年度欠款保教费及伙食费</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680.81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680.81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本年支出680.81万元，其中：基本支出376.26万元，占55.27%；项目支出304.56万元，占44.73%；上缴上级支出0.00万元，占0.00%；经营支出0.00万元，占0.00%；对附属单位补助支出0.00万元，占0.00%。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680.81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680.81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680.81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680.81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增加121.49万元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增长21.72%,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今年财政拨付以前年欠款保教费，取暖费及伙食费</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514.35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680.81</w:t>
      </w:r>
      <w:r>
        <w:rPr>
          <w:rFonts w:hint="eastAsia" w:ascii="仿宋_GB2312" w:eastAsia="仿宋_GB2312"/>
          <w:color w:val="auto"/>
          <w:spacing w:val="0"/>
          <w:sz w:val="32"/>
          <w:szCs w:val="32"/>
          <w:highlight w:val="none"/>
          <w:lang w:eastAsia="zh-CN"/>
        </w:rPr>
        <w:t>万元，预决算差异率32.36%，主要原因是：</w:t>
      </w:r>
      <w:r>
        <w:rPr>
          <w:rFonts w:hint="eastAsia" w:ascii="仿宋_GB2312" w:eastAsia="仿宋_GB2312"/>
          <w:color w:val="auto"/>
          <w:spacing w:val="0"/>
          <w:sz w:val="32"/>
          <w:szCs w:val="32"/>
          <w:highlight w:val="none"/>
          <w:lang w:val="en-US" w:eastAsia="zh-CN"/>
        </w:rPr>
        <w:t>今年年终追加预算项目，支付以前年欠款保教费，取暖费及伙食费</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2023年度一般公共预算财政拨款支出680.81万元，占本年支出合计的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增加121.49万元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增长21.72%,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今年财政拨付以前年欠款保教费，取暖费及伙食费</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514.35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680.81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32.36%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今年年终追加预算项目，支付以前年欠款保教费，取暖费及伙食费</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680.81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100.00%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1.教育支出（类）教育费附加安排的支出（款）其他教育费附加安排的支出（项）:支出决算数为10.00万元，比上年决算增加4.00万元，增长66.67%，主要原因是：今年新增财政拨付四幼教学楼维修改造工程。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2.教育支出（类）普通教育（款）学前教育（项）:支出决算数为670.81万元，比上年决算增加117.49万元，增长21.23%，主要原因是：今年财政拨付以前年度欠款保教费，取暖费及伙食费。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376.26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375.35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基本工资、津贴补贴、奖金、绩效工资、机关事业单位基本养老保险缴费、职工基本医疗保险缴费、其他社会保障缴费、住房公积金、其他工资福利支出、奖励金、。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0.90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r>
        <w:rPr>
          <w:rFonts w:hint="eastAsia" w:ascii="仿宋_GB2312" w:eastAsia="仿宋_GB2312"/>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w:t>
      </w:r>
      <w:r>
        <w:rPr>
          <w:rFonts w:hint="eastAsia" w:ascii="仿宋_GB2312" w:eastAsia="仿宋_GB2312"/>
          <w:color w:val="auto"/>
          <w:sz w:val="32"/>
          <w:szCs w:val="32"/>
          <w:highlight w:val="none"/>
          <w:lang w:val="en-US" w:eastAsia="zh-CN"/>
        </w:rPr>
        <w:t>无“三公”经费支出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公务用车购置及运行维护费0.00万元，其中：公务用车购置费0.00万元，公务用车运行维护费0.00万元。公务用车运行维护费开支内容包括我单位无公务用车</w:t>
      </w:r>
      <w:r>
        <w:rPr>
          <w:rFonts w:hint="eastAsia" w:ascii="仿宋_GB2312" w:eastAsia="仿宋_GB2312"/>
          <w:color w:val="auto"/>
          <w:sz w:val="32"/>
          <w:szCs w:val="32"/>
          <w:highlight w:val="none"/>
          <w:lang w:val="en-US" w:eastAsia="zh-CN"/>
        </w:rPr>
        <w:t>运行维护费</w:t>
      </w:r>
      <w:bookmarkStart w:id="48" w:name="_GoBack"/>
      <w:bookmarkEnd w:id="48"/>
      <w:r>
        <w:rPr>
          <w:rFonts w:hint="eastAsia" w:ascii="仿宋_GB2312" w:eastAsia="仿宋_GB2312"/>
          <w:color w:val="auto"/>
          <w:sz w:val="32"/>
          <w:szCs w:val="32"/>
          <w:highlight w:val="none"/>
          <w:lang w:val="zh-CN" w:eastAsia="zh-CN"/>
        </w:rPr>
        <w:t>支出。公务用车购置数0辆，公务用车保有量0辆。国有资产占用情况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原因是：我单位无公务用车。</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预算数0.00万元，决算数0.00万元，预决算差异率0.00%，主要原因是：我单位未安排“三公”经费支出，预决算无差异。其中：因公出国（境）费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沙湾市城东幼儿园（事业单位）公用经费支出0.90万元，</w:t>
      </w:r>
      <w:r>
        <w:rPr>
          <w:rFonts w:hint="eastAsia" w:ascii="仿宋_GB2312" w:hAnsi="仿宋_GB2312" w:eastAsia="仿宋_GB2312" w:cs="仿宋_GB2312"/>
          <w:color w:val="auto"/>
          <w:sz w:val="32"/>
          <w:szCs w:val="32"/>
          <w:highlight w:val="none"/>
          <w:lang w:val="zh-CN" w:eastAsia="zh-CN"/>
        </w:rPr>
        <w:t>比上年增加0.90万元，增长100.00%，主要原因是：</w:t>
      </w:r>
      <w:r>
        <w:rPr>
          <w:rFonts w:hint="eastAsia" w:ascii="仿宋_GB2312" w:hAnsi="仿宋_GB2312" w:eastAsia="仿宋_GB2312" w:cs="仿宋_GB2312"/>
          <w:color w:val="auto"/>
          <w:sz w:val="32"/>
          <w:szCs w:val="32"/>
          <w:highlight w:val="none"/>
          <w:lang w:val="en-US" w:eastAsia="zh-CN"/>
        </w:rPr>
        <w:t>本年度支</w:t>
      </w:r>
      <w:r>
        <w:rPr>
          <w:rFonts w:hint="eastAsia" w:ascii="仿宋_GB2312" w:hAnsi="仿宋_GB2312" w:eastAsia="仿宋_GB2312" w:cs="仿宋_GB2312"/>
          <w:color w:val="auto"/>
          <w:sz w:val="32"/>
          <w:szCs w:val="32"/>
          <w:highlight w:val="none"/>
          <w:lang w:val="zh-CN" w:eastAsia="zh-CN"/>
        </w:rPr>
        <w:t>付了工会经费。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1,670.06</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屋5,014.68平方米，价值1,493.87万元。车辆0辆，价值0.00万元，其中：副部（省）级及以上领导用车0辆、主要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hAnsi="仿宋_GB2312" w:eastAsia="仿宋_GB2312" w:cs="仿宋_GB2312"/>
          <w:color w:val="auto"/>
          <w:sz w:val="32"/>
          <w:szCs w:val="32"/>
          <w:highlight w:val="none"/>
          <w:lang w:val="en-US" w:eastAsia="zh-CN"/>
        </w:rPr>
        <w:t>我单位没有其他用车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2023年度预算绩效管理整体</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lang w:eastAsia="zh-CN"/>
        </w:rPr>
        <w:t>绩效自评表</w:t>
      </w:r>
      <w:r>
        <w:rPr>
          <w:rFonts w:hint="eastAsia" w:ascii="仿宋_GB2312" w:eastAsia="仿宋_GB2312"/>
          <w:color w:val="auto"/>
          <w:sz w:val="32"/>
          <w:szCs w:val="32"/>
          <w:highlight w:val="none"/>
          <w:lang w:val="en-US" w:eastAsia="zh-CN"/>
        </w:rPr>
        <w:t>1个，全年预算总额</w:t>
      </w:r>
      <w:r>
        <w:rPr>
          <w:rFonts w:hint="eastAsia" w:ascii="仿宋_GB2312" w:eastAsia="仿宋_GB2312"/>
          <w:color w:val="auto"/>
          <w:sz w:val="32"/>
          <w:szCs w:val="32"/>
          <w:highlight w:val="none"/>
          <w:lang w:eastAsia="zh-CN"/>
        </w:rPr>
        <w:t>680.</w:t>
      </w:r>
      <w:r>
        <w:rPr>
          <w:rFonts w:hint="eastAsia" w:ascii="仿宋_GB2312" w:eastAsia="仿宋_GB2312"/>
          <w:color w:val="auto"/>
          <w:sz w:val="32"/>
          <w:szCs w:val="32"/>
          <w:highlight w:val="none"/>
          <w:lang w:val="en-US" w:eastAsia="zh-CN"/>
        </w:rPr>
        <w:t>92</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680.</w:t>
      </w:r>
      <w:r>
        <w:rPr>
          <w:rFonts w:hint="eastAsia" w:ascii="仿宋_GB2312" w:eastAsia="仿宋_GB2312"/>
          <w:color w:val="auto"/>
          <w:sz w:val="32"/>
          <w:szCs w:val="32"/>
          <w:highlight w:val="none"/>
          <w:lang w:val="en-US" w:eastAsia="zh-CN"/>
        </w:rPr>
        <w:t>92</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5</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全年预算数398.75</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全年执行数304.56</w:t>
      </w:r>
      <w:r>
        <w:rPr>
          <w:rFonts w:hint="eastAsia" w:ascii="仿宋_GB2312" w:eastAsia="仿宋_GB2312"/>
          <w:color w:val="auto"/>
          <w:sz w:val="32"/>
          <w:szCs w:val="32"/>
          <w:highlight w:val="none"/>
          <w:lang w:eastAsia="zh-CN"/>
        </w:rPr>
        <w:t>万元，其中：</w:t>
      </w:r>
      <w:r>
        <w:rPr>
          <w:rFonts w:hint="eastAsia" w:ascii="仿宋_GB2312" w:eastAsia="仿宋_GB2312"/>
          <w:color w:val="auto"/>
          <w:sz w:val="32"/>
          <w:szCs w:val="32"/>
          <w:highlight w:val="none"/>
          <w:lang w:val="en-US" w:eastAsia="zh-CN"/>
        </w:rPr>
        <w:t>本单位sm项目1个，全年预算数10万元，全年执行数10万元，不予以公开。</w:t>
      </w:r>
      <w:r>
        <w:rPr>
          <w:rFonts w:hint="eastAsia" w:ascii="仿宋_GB2312" w:eastAsia="仿宋_GB2312"/>
          <w:color w:val="auto"/>
          <w:sz w:val="32"/>
          <w:szCs w:val="32"/>
          <w:highlight w:val="none"/>
          <w:lang w:eastAsia="zh-CN"/>
        </w:rPr>
        <w:t>预算绩效管理取得的成效：一是保障了特岗教师工资、社保及公积金的正常发放，促进了沙湾市教育事业的发展；二是保障了幼儿园正常运转，提高了幼儿生活质量。发现的问题及原因：一是预算编制前根据年度内单位可预见的工作任务，确定了单位年度预算目标，细化了预算指标，但是在实际支付过程中，个别时候未严格按照预算指标执行；二是针对不符合目标设置的项目内容展开充分的调研与分析，并找出项目在实施过程中的问题不足，总结有效经验，有助于保障财经资金的最大效益。下一步改进措施：一是加强学习，提高思想认识。组织单位财务人员认真学习《</w:t>
      </w:r>
      <w:r>
        <w:rPr>
          <w:rFonts w:hint="eastAsia" w:ascii="仿宋_GB2312" w:eastAsia="仿宋_GB2312"/>
          <w:color w:val="auto"/>
          <w:sz w:val="32"/>
          <w:szCs w:val="32"/>
          <w:highlight w:val="none"/>
          <w:lang w:val="en-US" w:eastAsia="zh-CN"/>
        </w:rPr>
        <w:t>中华人民共和国</w:t>
      </w:r>
      <w:r>
        <w:rPr>
          <w:rFonts w:hint="eastAsia" w:ascii="仿宋_GB2312" w:eastAsia="仿宋_GB2312"/>
          <w:color w:val="auto"/>
          <w:sz w:val="32"/>
          <w:szCs w:val="32"/>
          <w:highlight w:val="none"/>
          <w:lang w:eastAsia="zh-CN"/>
        </w:rPr>
        <w:t>预算法》等相关法规、制度，提高单位领导对全面预算管理的重视程度，增强财务人员的预算意识；二是规范财务运行，加强预算支出管理。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具体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lang w:val="en-US" w:eastAsia="zh-CN"/>
        </w:rPr>
        <w:t>授予中小企业合同金额、授予小微企业合同金额为0万元，主要原因是：我单位无政府采购平台，无相关数据。</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本单位sm项目1个，全年预算数10万元，全年执行数10万元，不予以公开绩效自评表。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1D3290"/>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61726F"/>
    <w:rsid w:val="06792773"/>
    <w:rsid w:val="06FD75CA"/>
    <w:rsid w:val="07035676"/>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7E0811"/>
    <w:rsid w:val="14B932DA"/>
    <w:rsid w:val="150A66AF"/>
    <w:rsid w:val="153B3599"/>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62535B"/>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46151B"/>
    <w:rsid w:val="2380045B"/>
    <w:rsid w:val="23BC04D2"/>
    <w:rsid w:val="23EF1892"/>
    <w:rsid w:val="2483647E"/>
    <w:rsid w:val="24A32D55"/>
    <w:rsid w:val="24CE6D9A"/>
    <w:rsid w:val="25292727"/>
    <w:rsid w:val="252E5CA9"/>
    <w:rsid w:val="256F7692"/>
    <w:rsid w:val="259863DF"/>
    <w:rsid w:val="25BA2154"/>
    <w:rsid w:val="25C8773F"/>
    <w:rsid w:val="26235823"/>
    <w:rsid w:val="264A7253"/>
    <w:rsid w:val="26F0170C"/>
    <w:rsid w:val="26FE3B9A"/>
    <w:rsid w:val="26FF6AC6"/>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0C36EB"/>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8E914D9"/>
    <w:rsid w:val="3914510A"/>
    <w:rsid w:val="3926770B"/>
    <w:rsid w:val="3982065B"/>
    <w:rsid w:val="398D3668"/>
    <w:rsid w:val="39DA0497"/>
    <w:rsid w:val="3A893816"/>
    <w:rsid w:val="3A893B6D"/>
    <w:rsid w:val="3AD1763A"/>
    <w:rsid w:val="3B112886"/>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8C536A"/>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6CA4606"/>
    <w:rsid w:val="47445515"/>
    <w:rsid w:val="474B4782"/>
    <w:rsid w:val="47D90D14"/>
    <w:rsid w:val="47DE1152"/>
    <w:rsid w:val="48387FB0"/>
    <w:rsid w:val="483A6114"/>
    <w:rsid w:val="48526594"/>
    <w:rsid w:val="488727DB"/>
    <w:rsid w:val="48B82268"/>
    <w:rsid w:val="48C354B3"/>
    <w:rsid w:val="493D58B5"/>
    <w:rsid w:val="494A7A04"/>
    <w:rsid w:val="49605EF7"/>
    <w:rsid w:val="4A0A26D2"/>
    <w:rsid w:val="4A2019A5"/>
    <w:rsid w:val="4A241A0B"/>
    <w:rsid w:val="4A415EAC"/>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73269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3E213D3"/>
    <w:rsid w:val="542F73CA"/>
    <w:rsid w:val="5430786D"/>
    <w:rsid w:val="545A1D2A"/>
    <w:rsid w:val="54B51960"/>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A13E6F"/>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8F3777"/>
    <w:rsid w:val="61947DCA"/>
    <w:rsid w:val="61A46725"/>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128A4"/>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334387"/>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83C70"/>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3250ED"/>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5030</Words>
  <Characters>5563</Characters>
  <Lines>0</Lines>
  <Paragraphs>0</Paragraphs>
  <TotalTime>34</TotalTime>
  <ScaleCrop>false</ScaleCrop>
  <LinksUpToDate>false</LinksUpToDate>
  <CharactersWithSpaces>5575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2025-04-08T11:21:17Z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