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沙湾市商户地乡中心小学项目支出</w:t>
      </w:r>
    </w:p>
    <w:p>
      <w:pPr>
        <w:spacing w:line="540" w:lineRule="exact"/>
        <w:jc w:val="center"/>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绩效自评报告</w:t>
      </w:r>
    </w:p>
    <w:p>
      <w:pPr>
        <w:spacing w:line="540" w:lineRule="exact"/>
        <w:jc w:val="center"/>
        <w:rPr>
          <w:rFonts w:hint="eastAsia" w:ascii="方正小标宋简体" w:hAnsi="方正小标宋简体" w:eastAsia="方正小标宋简体" w:cs="方正小标宋简体"/>
          <w:color w:val="auto"/>
          <w:sz w:val="44"/>
          <w:szCs w:val="44"/>
          <w:highlight w:val="none"/>
          <w:lang w:val="en-US" w:eastAsia="zh-CN"/>
        </w:rPr>
      </w:pPr>
    </w:p>
    <w:p>
      <w:pPr>
        <w:spacing w:line="540" w:lineRule="exact"/>
        <w:jc w:val="center"/>
        <w:rPr>
          <w:rFonts w:hint="eastAsia" w:ascii="方正小标宋简体" w:hAnsi="方正小标宋简体" w:eastAsia="方正小标宋简体" w:cs="方正小标宋简体"/>
          <w:color w:val="auto"/>
          <w:sz w:val="32"/>
          <w:szCs w:val="32"/>
          <w:highlight w:val="none"/>
          <w:lang w:val="en-US" w:eastAsia="zh-CN"/>
        </w:rPr>
      </w:pPr>
      <w:r>
        <w:rPr>
          <w:rFonts w:hint="eastAsia" w:ascii="方正小标宋简体" w:hAnsi="方正小标宋简体" w:eastAsia="方正小标宋简体" w:cs="方正小标宋简体"/>
          <w:color w:val="auto"/>
          <w:sz w:val="32"/>
          <w:szCs w:val="32"/>
          <w:highlight w:val="none"/>
          <w:lang w:val="en-US" w:eastAsia="zh-CN"/>
        </w:rPr>
        <w:t>（   2023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800" w:firstLineChars="250"/>
        <w:jc w:val="left"/>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项目名称：</w:t>
      </w:r>
      <w:r>
        <w:rPr>
          <w:rStyle w:val="18"/>
          <w:rFonts w:hint="eastAsia" w:ascii="仿宋_GB2312" w:hAnsi="仿宋_GB2312" w:eastAsia="仿宋_GB2312" w:cs="仿宋_GB2312"/>
          <w:b w:val="0"/>
          <w:bCs w:val="0"/>
          <w:spacing w:val="-4"/>
          <w:sz w:val="32"/>
          <w:szCs w:val="32"/>
        </w:rPr>
        <w:t>塔地财教〔2022〕54号沙财教〔2023〕12号城乡义务教育补助经费中央直达（校舍安全保障资金）</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Fonts w:hint="eastAsia" w:ascii="仿宋_GB2312" w:hAnsi="仿宋_GB2312" w:eastAsia="仿宋_GB2312" w:cs="仿宋_GB2312"/>
          <w:b w:val="0"/>
          <w:bCs w:val="0"/>
          <w:spacing w:val="-4"/>
          <w:sz w:val="32"/>
          <w:szCs w:val="32"/>
          <w:lang w:eastAsia="zh-CN"/>
        </w:rPr>
      </w:pPr>
      <w:r>
        <w:rPr>
          <w:rFonts w:hint="eastAsia" w:ascii="仿宋_GB2312" w:hAnsi="仿宋_GB2312" w:eastAsia="仿宋_GB2312" w:cs="仿宋_GB2312"/>
          <w:b w:val="0"/>
          <w:bCs w:val="0"/>
          <w:kern w:val="0"/>
          <w:sz w:val="32"/>
          <w:szCs w:val="32"/>
        </w:rPr>
        <w:t xml:space="preserve">  实施单位（公章）：</w:t>
      </w:r>
      <w:r>
        <w:rPr>
          <w:rStyle w:val="18"/>
          <w:rFonts w:hint="eastAsia" w:ascii="仿宋_GB2312" w:hAnsi="仿宋_GB2312" w:eastAsia="仿宋_GB2312" w:cs="仿宋_GB2312"/>
          <w:b w:val="0"/>
          <w:bCs w:val="0"/>
          <w:spacing w:val="-4"/>
          <w:sz w:val="32"/>
          <w:szCs w:val="32"/>
        </w:rPr>
        <w:t>沙湾市商户地乡中心</w:t>
      </w:r>
      <w:r>
        <w:rPr>
          <w:rStyle w:val="18"/>
          <w:rFonts w:hint="eastAsia" w:ascii="仿宋_GB2312" w:hAnsi="仿宋_GB2312" w:eastAsia="仿宋_GB2312" w:cs="仿宋_GB2312"/>
          <w:b w:val="0"/>
          <w:bCs w:val="0"/>
          <w:spacing w:val="-4"/>
          <w:sz w:val="32"/>
          <w:szCs w:val="32"/>
          <w:lang w:eastAsia="zh-CN"/>
        </w:rPr>
        <w:t>小学</w:t>
      </w:r>
    </w:p>
    <w:p>
      <w:pPr>
        <w:keepNext w:val="0"/>
        <w:keepLines w:val="0"/>
        <w:pageBreakBefore w:val="0"/>
        <w:widowControl w:val="0"/>
        <w:kinsoku/>
        <w:wordWrap/>
        <w:overflowPunct/>
        <w:topLinePunct w:val="0"/>
        <w:autoSpaceDE/>
        <w:autoSpaceDN/>
        <w:bidi w:val="0"/>
        <w:adjustRightInd/>
        <w:snapToGrid/>
        <w:spacing w:line="520" w:lineRule="exact"/>
        <w:ind w:firstLine="800" w:firstLineChars="250"/>
        <w:textAlignment w:val="auto"/>
        <w:rPr>
          <w:rFonts w:hint="eastAsia" w:ascii="仿宋_GB2312" w:hAnsi="仿宋_GB2312" w:eastAsia="仿宋_GB2312" w:cs="仿宋_GB2312"/>
          <w:b w:val="0"/>
          <w:bCs w:val="0"/>
          <w:spacing w:val="-4"/>
          <w:sz w:val="32"/>
          <w:szCs w:val="32"/>
          <w:lang w:eastAsia="zh-CN"/>
        </w:rPr>
      </w:pPr>
      <w:r>
        <w:rPr>
          <w:rFonts w:hint="eastAsia" w:ascii="仿宋_GB2312" w:hAnsi="仿宋_GB2312" w:eastAsia="仿宋_GB2312" w:cs="仿宋_GB2312"/>
          <w:b w:val="0"/>
          <w:bCs w:val="0"/>
          <w:kern w:val="0"/>
          <w:sz w:val="32"/>
          <w:szCs w:val="32"/>
        </w:rPr>
        <w:t>主管部门（公章）：</w:t>
      </w:r>
      <w:r>
        <w:rPr>
          <w:rStyle w:val="18"/>
          <w:rFonts w:hint="eastAsia" w:ascii="仿宋_GB2312" w:hAnsi="仿宋_GB2312" w:eastAsia="仿宋_GB2312" w:cs="仿宋_GB2312"/>
          <w:b w:val="0"/>
          <w:bCs w:val="0"/>
          <w:spacing w:val="-4"/>
          <w:sz w:val="32"/>
          <w:szCs w:val="32"/>
        </w:rPr>
        <w:t>沙湾市商户地乡中心</w:t>
      </w:r>
      <w:r>
        <w:rPr>
          <w:rStyle w:val="18"/>
          <w:rFonts w:hint="eastAsia" w:ascii="仿宋_GB2312" w:hAnsi="仿宋_GB2312" w:eastAsia="仿宋_GB2312" w:cs="仿宋_GB2312"/>
          <w:b w:val="0"/>
          <w:bCs w:val="0"/>
          <w:spacing w:val="-4"/>
          <w:sz w:val="32"/>
          <w:szCs w:val="32"/>
          <w:lang w:eastAsia="zh-CN"/>
        </w:rPr>
        <w:t>小学</w:t>
      </w:r>
    </w:p>
    <w:p>
      <w:pPr>
        <w:keepNext w:val="0"/>
        <w:keepLines w:val="0"/>
        <w:pageBreakBefore w:val="0"/>
        <w:widowControl w:val="0"/>
        <w:kinsoku/>
        <w:wordWrap/>
        <w:overflowPunct/>
        <w:topLinePunct w:val="0"/>
        <w:autoSpaceDE/>
        <w:autoSpaceDN/>
        <w:bidi w:val="0"/>
        <w:adjustRightInd/>
        <w:snapToGrid/>
        <w:spacing w:line="520" w:lineRule="exact"/>
        <w:ind w:firstLine="800" w:firstLineChars="25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项目负责人（签章）：</w:t>
      </w:r>
      <w:r>
        <w:rPr>
          <w:rStyle w:val="18"/>
          <w:rFonts w:hint="eastAsia" w:ascii="仿宋_GB2312" w:hAnsi="仿宋_GB2312" w:eastAsia="仿宋_GB2312" w:cs="仿宋_GB2312"/>
          <w:b w:val="0"/>
          <w:bCs w:val="0"/>
          <w:spacing w:val="-4"/>
          <w:sz w:val="32"/>
          <w:szCs w:val="32"/>
        </w:rPr>
        <w:t>张建利</w:t>
      </w:r>
    </w:p>
    <w:p>
      <w:pPr>
        <w:keepNext w:val="0"/>
        <w:keepLines w:val="0"/>
        <w:pageBreakBefore w:val="0"/>
        <w:widowControl w:val="0"/>
        <w:kinsoku/>
        <w:wordWrap/>
        <w:overflowPunct/>
        <w:topLinePunct w:val="0"/>
        <w:autoSpaceDE/>
        <w:autoSpaceDN/>
        <w:bidi w:val="0"/>
        <w:adjustRightInd/>
        <w:snapToGrid/>
        <w:spacing w:line="520" w:lineRule="exact"/>
        <w:ind w:left="273" w:firstLine="567"/>
        <w:textAlignment w:val="auto"/>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填报时间：</w:t>
      </w:r>
      <w:r>
        <w:rPr>
          <w:rStyle w:val="18"/>
          <w:rFonts w:hint="eastAsia" w:ascii="仿宋_GB2312" w:hAnsi="仿宋_GB2312" w:eastAsia="仿宋_GB2312" w:cs="仿宋_GB2312"/>
          <w:b w:val="0"/>
          <w:bCs w:val="0"/>
          <w:spacing w:val="-4"/>
          <w:sz w:val="32"/>
          <w:szCs w:val="32"/>
        </w:rPr>
        <w:t>2024年05月08日</w:t>
      </w:r>
    </w:p>
    <w:p>
      <w:pPr>
        <w:keepNext w:val="0"/>
        <w:keepLines w:val="0"/>
        <w:pageBreakBefore w:val="0"/>
        <w:widowControl w:val="0"/>
        <w:kinsoku/>
        <w:wordWrap/>
        <w:overflowPunct/>
        <w:topLinePunct w:val="0"/>
        <w:autoSpaceDE/>
        <w:autoSpaceDN/>
        <w:bidi w:val="0"/>
        <w:adjustRightInd/>
        <w:snapToGrid/>
        <w:spacing w:line="520" w:lineRule="exact"/>
        <w:ind w:firstLine="755" w:firstLineChars="236"/>
        <w:jc w:val="left"/>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仿宋_GB2312" w:hAnsi="仿宋_GB2312" w:eastAsia="仿宋_GB2312" w:cs="仿宋_GB2312"/>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黑体" w:hAnsi="黑体" w:eastAsia="黑体" w:cs="黑体"/>
          <w:b/>
          <w:bCs w:val="0"/>
          <w:spacing w:val="-4"/>
          <w:sz w:val="32"/>
          <w:szCs w:val="32"/>
        </w:rPr>
      </w:pPr>
      <w:r>
        <w:rPr>
          <w:rStyle w:val="18"/>
          <w:rFonts w:hint="eastAsia" w:ascii="黑体" w:hAnsi="黑体" w:eastAsia="黑体" w:cs="黑体"/>
          <w:b/>
          <w:bCs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20" w:lineRule="exact"/>
        <w:ind w:left="313" w:hanging="313" w:hangingChars="100"/>
        <w:jc w:val="left"/>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学校校舍安全项目支出是学校建设中的一个重要环节，它对于学校的发展、教育质量和师生生活都具有重要的影响。首先，学校校舍安全项目支出可以提高学校的硬件设施水平，建立现代化、舒适、安全的教学、生活设施，为师生提供优质的学习、生活环境。其次，学校校舍安全项目支出还可以促进学校教育教学水平的提高，更好地满足教学需要，提高教学质量。随着教育事业不断发展，各个学校的规模也越来越大，由此而引发的教学楼、宿舍楼等建筑物的建设、改造、维修等工程需求也越来越高，相应的支出也逐年增加。实现高效使用公共财政资金，进一步提高资金使用效益，不仅是学校管理者的职责所在，更是社会责任的表现。根据《关于提前下达2023年城乡义务教育补助经费预算（中央直达资金）的通知》沙财教【2023】12号文件要求，持续巩固完善农村义务教育学校校舍安全保障长效机制，支持公办学校维修改造、抗震加固、改扩建校舍及其附属设施建设。为切实增强学校“校舍安全”项目实施的计划性、针对性和有效性，确保目标任务顺利完成，使学校办学条件基本满足教学和生活需要，促进基本公共教育服务均等化，保障教育公平。实施本项目的建设，为加快义务教育辅助步伐，全面改善薄弱学校基本办学条件，办人民满意的教育，提供了有效保障。</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项目主要内容及实施情况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主要内容为：根据《关于提前下达2023年城乡义务教育补助经费预算（中央直达资金）的通知》沙财教【2023】12号文件以及《关于对2023年沙湾市城乡义务教育农村校舍安全保障长效机制项目--校舍维护改造立项的批复》塔地教函【2023】27号文件要求，本项目实施内容为：教学楼90#暖气管40米、食堂100米改造；200平方米地坪铺设彩砖；综合楼150米下水维修；三个课堂教室吊顶、安装吸音板、窗套、屋顶粉刷等维护等，项目金额为23万元。通过项目实施，旨在增强校舍安全；提高学校的硬件设施水平 ；同时达到舒适、安全的教学、生活设施，为师生提供优质的学习、生活环境。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于2023年7月开始实施，截止2023年8月，该项目已实施完成，各项任务指标全部完成，通过本项目的实施，有效解决了校舍安全维修维护，提升了学校办学条件满足教学和生活需要，增强了教学科研设施服务及校园文化建设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3.项目实施主体</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2023年城乡义务教育补助经费中央直达（校舍安全保障资金）项目的实施主体为沙湾市商户地乡中心小学。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4.资金投入和使用情况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（1）项目资金安排落实、总投入情况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塔城地区财政局《关于提前下达2023年城乡义务教育补助经费预算的通知》（塔地财教〔2023〕54号）文件，2023年城乡义务教育补助经费中央直达（校舍安全保障资金）项目预算安排资金总额23万元，其中财政资金23万元、其他资金0万元；2023年实际收到预算资金23万元，预算资金到位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（2）项目资金实际使用情况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截至2023年12月31日，本项目实际支付资金23万元，预算执行率100%。项目资金主要用于支付校舍安全费用23万元。</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520" w:lineRule="exact"/>
        <w:ind w:left="313" w:hanging="313" w:hangingChars="100"/>
        <w:textAlignment w:val="auto"/>
        <w:rPr>
          <w:rStyle w:val="18"/>
          <w:rFonts w:hint="eastAsia" w:ascii="仿宋_GB2312" w:hAnsi="仿宋_GB2312" w:eastAsia="仿宋_GB2312" w:cs="仿宋_GB2312"/>
          <w:b/>
          <w:bCs/>
          <w:spacing w:val="-4"/>
          <w:sz w:val="32"/>
          <w:szCs w:val="32"/>
          <w:lang w:val="en-US" w:eastAsia="zh-CN"/>
        </w:rPr>
      </w:pPr>
      <w:r>
        <w:rPr>
          <w:rStyle w:val="18"/>
          <w:rFonts w:hint="eastAsia" w:ascii="仿宋_GB2312" w:hAnsi="仿宋_GB2312" w:eastAsia="仿宋_GB2312" w:cs="仿宋_GB2312"/>
          <w:b/>
          <w:bCs/>
          <w:spacing w:val="-4"/>
          <w:sz w:val="32"/>
          <w:szCs w:val="32"/>
        </w:rPr>
        <w:t>1.总体目标</w:t>
      </w:r>
      <w:r>
        <w:rPr>
          <w:rStyle w:val="18"/>
          <w:rFonts w:hint="eastAsia" w:ascii="仿宋_GB2312" w:hAnsi="仿宋_GB2312" w:eastAsia="仿宋_GB2312" w:cs="仿宋_GB2312"/>
          <w:b/>
          <w:bCs/>
          <w:spacing w:val="-4"/>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为切实增强学校“校舍安全”项目实施的计划性、针对性和有效性，确保目标任务顺利完成，使学校办学条件基本满足教学和生活需要，促进基本公共教育服务均等化，保障教育公平，全面改善薄弱学校基本办学条件，办人民满意的教育，提供了有效保障。目标1维修校舍安全数量8个，主要是教学楼90#暖气管40米、食堂100米改造；200平方米地坪铺设彩砖；综合楼150米下水维修；三个课堂教室吊顶、安装吸音板、窗套、屋顶粉刷等维护等；目标2维修成本验收合格率为100%；目标3项目资金使用时限为2023年12月20日前；目标4教学楼90#暖气管40米，食堂100米改造成本6万元，200平方米地坪铺设彩砖成本6，万元；综合楼150米下水维修成本,6万元，三个课堂教室吊顶、安装吸音板、窗套、屋顶粉刷等维护等成本5万元，计划通过本项目的实施，旨在增强校舍安全；提高学校的硬件设施水平 ；同时达到舒适、安全的教学、生活设施，为师生提供优质的学习、生活环境。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lang w:val="en-US" w:eastAsia="zh-CN"/>
        </w:rPr>
        <w:t>2.</w:t>
      </w:r>
      <w:r>
        <w:rPr>
          <w:rStyle w:val="18"/>
          <w:rFonts w:hint="eastAsia" w:ascii="仿宋_GB2312" w:hAnsi="仿宋_GB2312" w:eastAsia="仿宋_GB2312" w:cs="仿宋_GB2312"/>
          <w:b/>
          <w:bCs/>
          <w:spacing w:val="-4"/>
          <w:sz w:val="32"/>
          <w:szCs w:val="32"/>
        </w:rPr>
        <w:t>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①数量指标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“教学楼、食堂暖气改造（米）”指标，预期指标值为“等于140米”；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“地坪铺设彩砖（平方米）”指标，预期指标值为“大于等于200平方米”；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“综合楼下水维修（米）”指标，预期指标值为“大于等于150米”；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“三个课堂教室吊顶、安装吸音板、窗套、屋顶粉刷（间）”指标，预期指标值为“大于等于1间”；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②质量指标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“资金使用规范率（%）”指标，预期指标值为“等于100%”；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“工程验收合格率（%）”指标，预期指标值为“等于100%”；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③时效指标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“项目完成时限（年月日）”指标，预期指标值为“2023年12月20日前”；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①经济成本指标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“教学楼、食堂暖气改造（万元）”指标，预期指标值为“小于等于6万元”；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“地坪铺设彩砖（万元）”指标，预期指标值为“小于等于6万元”；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“综合楼下水维修（万元）”指标，预期指标值为“小于等于6万元”；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“三个课堂教室吊顶、安装吸音板、窗套、屋顶粉刷（间）”指标，预期指标值为“小于等于5万元”。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①经济效益指标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“降低学校存在安全隐患”指标，预期指标值为“有效降低”；</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“改善学校及学生学习环境”指标，预期指标值为“有效改善”；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（4）相关满意度目标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rPr>
        <w:t>“学生满意度（%）”指标，预期指标值为“大于等于95%”。</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黑体" w:hAnsi="黑体" w:eastAsia="黑体" w:cs="黑体"/>
          <w:b/>
          <w:bCs/>
          <w:spacing w:val="-4"/>
          <w:sz w:val="32"/>
          <w:szCs w:val="32"/>
        </w:rPr>
      </w:pPr>
      <w:r>
        <w:rPr>
          <w:rStyle w:val="18"/>
          <w:rFonts w:hint="eastAsia" w:ascii="黑体" w:hAnsi="黑体" w:eastAsia="黑体" w:cs="黑体"/>
          <w:b/>
          <w:bCs/>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bCs/>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20" w:lineRule="exact"/>
        <w:ind w:left="312" w:hanging="313" w:hangingChars="1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1.绩效评价的目的</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绩效评价的对象和范围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城乡义务教育补助经费中央直达（校舍安全保障资金）项目（本项目的全称）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城乡义务教育补助经费中央直达（校舍安全保障资金）项目实际开展情况，运用定量和定性分析相结合的方法，总结经验做法，反思项目实施和管理中的问题，以切实提升财政资金管理的科学化、规范化和精细化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根据以上原则，绩效评价遵循如下具体要求：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2.绩效评价指标体系及绩效评价标准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一级指标为：决策、过程、产出、成本、效益。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二级指标为：项目立项、绩效目标、资金投入、资金管理、组织实施、产出数量、产出质量、产出时效、产出成本、实施效益、满意度。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产出数量指标完成率、质量达标率、项目完成及时率、成本控制率、项目实施所产生的效益、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20" w:lineRule="exact"/>
        <w:ind w:left="624" w:hanging="624" w:hanging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第一阶段：前期准备。</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张建利任评价组组长，绩效评价工作职责为检查项目绩效指标完成情况、审定项目支出绩效评价结果及项目支出绩效评价报告。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郭玉娜任评价组副组长，绩效评价工作职责为组织和协调项目工作人员采取实地调查、资料检查等方式，核实项目绩效指标完成情况；组织受益对象对项目工作进行评价等。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国建会、张显东任评价组成员，绩效评价工作职责为做好项目支出绩效评价工作的沟通协调工作，对项目实施情况进行实地调查，编写项目支出绩效评价报告。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第二阶段：组织实施。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第三阶段：分析评价。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第四阶段：撰写与提交评价报告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第五阶段：归集档案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bCs/>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20" w:lineRule="exact"/>
        <w:ind w:left="312" w:hanging="313" w:hangingChars="1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w:t>
      </w:r>
      <w:r>
        <w:rPr>
          <w:rStyle w:val="18"/>
          <w:rFonts w:hint="eastAsia" w:ascii="仿宋_GB2312" w:hAnsi="仿宋_GB2312" w:eastAsia="仿宋_GB2312" w:cs="仿宋_GB2312"/>
          <w:b/>
          <w:bCs/>
          <w:spacing w:val="-4"/>
          <w:sz w:val="32"/>
          <w:szCs w:val="32"/>
          <w:lang w:val="en-US" w:eastAsia="zh-CN"/>
        </w:rPr>
        <w:t>1</w:t>
      </w:r>
      <w:r>
        <w:rPr>
          <w:rStyle w:val="18"/>
          <w:rFonts w:hint="eastAsia" w:ascii="仿宋_GB2312" w:hAnsi="仿宋_GB2312" w:eastAsia="仿宋_GB2312" w:cs="仿宋_GB2312"/>
          <w:b/>
          <w:bCs/>
          <w:spacing w:val="-4"/>
          <w:sz w:val="32"/>
          <w:szCs w:val="32"/>
        </w:rPr>
        <w:t>）综合评价情况</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通过城乡义务教育补助经费中央直达（校舍安全保障资金）项目的实施，解决了学校所存在的安全隐患问题，实现了优美的校园文化环境，为师生创造了一个良好的教育教学环境和生活环境效益，该项目预算执行率达100%，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（二）综合评价结论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对城乡义务教育补助经费中央直达（校舍安全保障资金）项目的绩效目标和各项具体绩效指标实现情况进行了客观评价，最终评分为100分。绩效评级为“优”，具体得分情况为：项目决策15分、项目过程15分、项目产出40分、项目效益20分、项目满意度10分。</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w:t>
      </w:r>
      <w:r>
        <w:rPr>
          <w:rStyle w:val="18"/>
          <w:rFonts w:hint="eastAsia" w:ascii="仿宋_GB2312" w:hAnsi="仿宋_GB2312" w:eastAsia="仿宋_GB2312" w:cs="仿宋_GB2312"/>
          <w:b/>
          <w:bCs/>
          <w:spacing w:val="-4"/>
          <w:sz w:val="32"/>
          <w:szCs w:val="32"/>
          <w:lang w:eastAsia="zh-CN"/>
        </w:rPr>
        <w:t>三</w:t>
      </w:r>
      <w:r>
        <w:rPr>
          <w:rStyle w:val="18"/>
          <w:rFonts w:hint="eastAsia" w:ascii="仿宋_GB2312" w:hAnsi="仿宋_GB2312" w:eastAsia="仿宋_GB2312" w:cs="仿宋_GB2312"/>
          <w:b/>
          <w:bCs/>
          <w:spacing w:val="-4"/>
          <w:sz w:val="32"/>
          <w:szCs w:val="32"/>
        </w:rPr>
        <w:t>）项目管理情况分析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1.立项依据充分性：本项目是由沙湾市教育和科学技术局单位提出申报，于2023年2月批复设立，20</w:t>
      </w:r>
      <w:bookmarkStart w:id="0" w:name="_GoBack"/>
      <w:bookmarkEnd w:id="0"/>
      <w:r>
        <w:rPr>
          <w:rStyle w:val="18"/>
          <w:rFonts w:hint="eastAsia" w:ascii="仿宋_GB2312" w:hAnsi="仿宋_GB2312" w:eastAsia="仿宋_GB2312" w:cs="仿宋_GB2312"/>
          <w:b w:val="0"/>
          <w:bCs w:val="0"/>
          <w:spacing w:val="-4"/>
          <w:sz w:val="32"/>
          <w:szCs w:val="32"/>
        </w:rPr>
        <w:t>23年我单位根据《城乡义务教育补助经费中央直达[校舍安全保障资金)文件》塔地财教[2022]54号（文件号）文件要求组织实施该项目。项目立项符合国家法律法规、自治区和地区行业发展规划和政策要求，属于本部门履职所需。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2.立项程序规范性：根据决策依据编制工作计划和经费预算，经过与部门分管领导进行沟通、筛选确定经费预算计划，教科局确定最终预算方案。根据评分标准，该指标2.5分，得2.5分。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6.资金分配合理性：本项目资金分配依据充分，资金分配额度合理，与项目地方实际相适应。根据评分标准，该指标2分，得2分。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黑体" w:hAnsi="黑体" w:eastAsia="黑体" w:cs="黑体"/>
          <w:b w:val="0"/>
          <w:bCs w:val="0"/>
          <w:sz w:val="32"/>
          <w:szCs w:val="32"/>
        </w:rPr>
      </w:pPr>
      <w:r>
        <w:rPr>
          <w:rStyle w:val="18"/>
          <w:rFonts w:hint="eastAsia" w:ascii="黑体" w:hAnsi="黑体" w:eastAsia="黑体" w:cs="黑体"/>
          <w:b/>
          <w:bCs/>
          <w:spacing w:val="-4"/>
          <w:sz w:val="32"/>
          <w:szCs w:val="32"/>
        </w:rPr>
        <w:t>四、项目绩效情况</w:t>
      </w:r>
      <w:r>
        <w:rPr>
          <w:rStyle w:val="18"/>
          <w:rFonts w:hint="eastAsia" w:ascii="黑体" w:hAnsi="黑体" w:eastAsia="黑体" w:cs="黑体"/>
          <w:b w:val="0"/>
          <w:bCs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2.预算执行率：本项目预算编制较为详细，预算资金23万元，实际执行23万元，预算执行率为100%，项目资金支出总体能够按照预算执行，根据评分标准，该指标2分，得2分。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3.资金使用合规性：项目任务下达后，我单位制定了财务管理制度和管理规定对经费使用进行规范管理，财务制度健全、执行严格；根据评分标准，该指标3分，得3分。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4.管理制度健全性：我单位制定了《校舍维修改造专项资金管理办法》等相关项目管理办法，同时对财政专项资金进行严格管理，做到了专款专用，根据评分标准，该指标4分，得4分。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制度执行有效性：由科室提出经费预算支出可行性方案，经过与分管领导沟通后，报教科局研究执行，财务对资金的使用合法合规性进行监督，年底对资金使用效果进行自评，根据评分标准，该指标4分，得4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项目产出类指标包括产出数量、产出质量、产出时效、产出成本共四方面的内容，由5个三级指标构成，权重分为40分，本项目实际得分40分，得分率为40%。具体各项指标得分如下：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“教学楼、食堂暖气改造（米）”指标，预期指标值为“等于140米”，根据工程竣工验收报告可知，实际完成了教学楼、食堂暖气改造（米）140米，与预期目标一致，根据评分标准，该指标2.5分，得2.5分。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“地坪铺设彩砖（平方米）”指标，预期指标值为“大于等于200平方米”，根据工程竣工验收报告可知，实际完成了地坪铺设彩砖200平方米，与预期目标一致，根据评分标准，该指标2.5分，得2.5分。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“综合楼下水维修（米）”指标，预期指标值为“大于等于150米”，根据工程竣工验收报告可知，实际完成了综合楼下水维修150米，与预期目标一致，根据评分标准，该指标2.5分，得2.5分。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个课堂教室吊顶、安装吸音板、窗套、屋顶粉刷（间）”指标，预期指标值为“大于等于1间”，根据工程竣工验收报告可知，实际完成了三个课堂教室吊顶、安装吸音板、窗套、屋顶粉刷1间，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“资金使用规范率（%）”指标，预期指标值为“等于100%”，根据现场核查，目前维修工程已验收合格，资金使用规范率100%，与预期目标一致，根据评分标准，该指标5分，得5分。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“工程验收合格率（%）”指标，预期指标值为“等于100%”，根据现场核查，目前维修工程已验收合格，验收合格率达100%，与预期目标一致，根据评分标准，该指标5分，得5分。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完成时限（年月日）”指标，预期指标值为“2023年12月20日”；根据资金支付凭证显示，该项目于2023年8月完成竣工验收，按合同约定，资金已于2023年12月20日全部支付完毕，与预期目标指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教学楼、食堂暖气改造（万元）”指标，预期指标值为“小于等于6万元根据项目合同和资金支付凭证显示，本项目2023年共计支付工程款6万元，经费支出能够控制在年度计划成本范围内，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地坪铺设彩砖（万元）”指标，预期指标值为“小于等于6万元”根据项目合同和资金支付凭证显示，本项目2023年共计支付工程款6万元，经费支出能够控制在年度计划成本范围内，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楼下水维修（万元）”指标，预期指标值为“小于等于6万元”根据项目合同和资金支付凭证显示，本项目2023年共计支付工程款6万元，经费支出能够控制在年度计划成本范围内，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个课堂教室吊顶、安装吸音板、窗套、屋顶粉刷（间）”指标，预期指标值为“小于等于5万元”根据项目合同和资金支付凭证显示，本项目2023年共计支付工程款5万元，经费支出能够控制在年度计划成本范围内，根据评分标准，该指标2.5分，得2.5分。</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textAlignment w:val="auto"/>
        <w:rPr>
          <w:rStyle w:val="18"/>
          <w:rFonts w:hint="eastAsia" w:ascii="黑体" w:hAnsi="黑体" w:eastAsia="黑体" w:cs="黑体"/>
          <w:b/>
          <w:bCs/>
          <w:spacing w:val="-4"/>
          <w:sz w:val="32"/>
          <w:szCs w:val="32"/>
        </w:rPr>
      </w:pPr>
      <w:r>
        <w:rPr>
          <w:rStyle w:val="18"/>
          <w:rFonts w:hint="eastAsia" w:ascii="黑体" w:hAnsi="黑体" w:eastAsia="黑体" w:cs="黑体"/>
          <w:b/>
          <w:bCs/>
          <w:spacing w:val="-4"/>
          <w:sz w:val="32"/>
          <w:szCs w:val="32"/>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项目效益类指标由社会效益，2个二级指标构成，权重分为20分，本项目实际得分20分，得分率为100%。具体各项指标得分如下：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“降低学校存在安全隐患”指标，预期指标值为“有效降低”，根据本单位年度考核情况，实际完成值为“基本达成目标”，根据评分标准，该指标10分，得10分。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“改善学校及学生学习环境”指标，预期指标值为“有效改善”，根据本单位年度考核情况，实际完成值为“基本达成目标”，根据评分标准，该指标10分，得10分。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本项目无该项指标。</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“学生的满意度”指标，预期指标值为“大于等于95%”，根据学生进行满意度问卷调查的结果可知，学生满意度达95%，根据评分标准，该指标10分,得10分。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20" w:lineRule="exact"/>
        <w:ind w:left="312" w:hanging="313" w:hangingChars="1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(一)预算执行进度</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城乡义务教育补助经费中央直达（校舍安全保障资金）项目预算金额23万元，实际到位23万元，全年项目实际支出23万元，预算执行率100%。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（二）绩效指标偏差情况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2023年本单位负责实施的城乡义务教育补助经费中央直达（校舍安全保障资金）项目的绩效目标及指标已经全部达成，不存在偏差情况。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bCs/>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包括评价基础数据收集、资料来源和依据等佐证材料情况，项目现场勘验检查核实等情况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bCs/>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1.加强项目实施管理。</w:t>
      </w:r>
      <w:r>
        <w:rPr>
          <w:rStyle w:val="18"/>
          <w:rFonts w:hint="eastAsia" w:ascii="仿宋_GB2312" w:hAnsi="仿宋_GB2312" w:eastAsia="仿宋_GB2312" w:cs="仿宋_GB2312"/>
          <w:b w:val="0"/>
          <w:bCs w:val="0"/>
          <w:spacing w:val="-4"/>
          <w:sz w:val="32"/>
          <w:szCs w:val="32"/>
        </w:rPr>
        <w:t>一是抓落实。要求将任务落实到具体项目，明确责任主体。二是抓督查。经常到实地督查进度，并采取开展调研、中期评估等有效管理措施，促进各项目顺利实施。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2.加强项目资金管理。</w:t>
      </w:r>
      <w:r>
        <w:rPr>
          <w:rStyle w:val="18"/>
          <w:rFonts w:hint="eastAsia" w:ascii="仿宋_GB2312" w:hAnsi="仿宋_GB2312" w:eastAsia="仿宋_GB2312" w:cs="仿宋_GB2312"/>
          <w:b w:val="0"/>
          <w:bCs w:val="0"/>
          <w:spacing w:val="-4"/>
          <w:sz w:val="32"/>
          <w:szCs w:val="32"/>
        </w:rPr>
        <w:t>做到手续完备、专账管理、专人负责、专户存储、账目清楚。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3.加强绩效目标的刚性约束</w:t>
      </w:r>
      <w:r>
        <w:rPr>
          <w:rStyle w:val="18"/>
          <w:rFonts w:hint="eastAsia" w:ascii="仿宋_GB2312" w:hAnsi="仿宋_GB2312" w:eastAsia="仿宋_GB2312" w:cs="仿宋_GB2312"/>
          <w:b/>
          <w:bCs/>
          <w:spacing w:val="-4"/>
          <w:sz w:val="32"/>
          <w:szCs w:val="32"/>
          <w:lang w:eastAsia="zh-CN"/>
        </w:rPr>
        <w:t>。</w:t>
      </w:r>
      <w:r>
        <w:rPr>
          <w:rStyle w:val="18"/>
          <w:rFonts w:hint="eastAsia" w:ascii="仿宋_GB2312" w:hAnsi="仿宋_GB2312" w:eastAsia="仿宋_GB2312" w:cs="仿宋_GB2312"/>
          <w:b w:val="0"/>
          <w:bCs w:val="0"/>
          <w:spacing w:val="-4"/>
          <w:sz w:val="32"/>
          <w:szCs w:val="32"/>
        </w:rPr>
        <w:t>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spacing w:val="-4"/>
          <w:sz w:val="32"/>
          <w:szCs w:val="32"/>
        </w:rPr>
        <w:br w:type="textWrapping"/>
      </w:r>
      <w:r>
        <w:rPr>
          <w:rStyle w:val="18"/>
          <w:rFonts w:hint="eastAsia" w:ascii="楷体_GB2312" w:hAnsi="楷体_GB2312" w:eastAsia="楷体_GB2312" w:cs="楷体_GB2312"/>
          <w:b/>
          <w:bCs/>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1.本单位的项目领导小组，对该项目的事前、事中、事后进行监督与跟踪，但在项目实施过程中仍存在不全面的地方，对项目的部分细节有所疏忽。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2.对项目档案管理有待进一步规范。项目档案管理专业性较弱。</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ascii="仿宋_GB2312" w:eastAsia="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bCs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3AF803"/>
    <w:multiLevelType w:val="singleLevel"/>
    <w:tmpl w:val="F33AF803"/>
    <w:lvl w:ilvl="0" w:tentative="0">
      <w:start w:val="5"/>
      <w:numFmt w:val="chineseCounting"/>
      <w:suff w:val="nothing"/>
      <w:lvlText w:val="%1、"/>
      <w:lvlJc w:val="left"/>
      <w:rPr>
        <w:rFonts w:hint="eastAsia"/>
      </w:rPr>
    </w:lvl>
  </w:abstractNum>
  <w:abstractNum w:abstractNumId="1">
    <w:nsid w:val="42A91532"/>
    <w:multiLevelType w:val="singleLevel"/>
    <w:tmpl w:val="42A91532"/>
    <w:lvl w:ilvl="0" w:tentative="0">
      <w:start w:val="2"/>
      <w:numFmt w:val="decimal"/>
      <w:lvlText w:val="%1."/>
      <w:lvlJc w:val="left"/>
      <w:pPr>
        <w:tabs>
          <w:tab w:val="left" w:pos="312"/>
        </w:tabs>
      </w:pPr>
    </w:lvl>
  </w:abstractNum>
  <w:abstractNum w:abstractNumId="2">
    <w:nsid w:val="5A29EAC1"/>
    <w:multiLevelType w:val="singleLevel"/>
    <w:tmpl w:val="5A29EAC1"/>
    <w:lvl w:ilvl="0" w:tentative="0">
      <w:start w:val="2"/>
      <w:numFmt w:val="decimal"/>
      <w:lvlText w:val="%1."/>
      <w:lvlJc w:val="left"/>
      <w:pPr>
        <w:tabs>
          <w:tab w:val="left" w:pos="312"/>
        </w:tabs>
      </w:pPr>
      <w:rPr>
        <w:rFonts w:hint="default" w:ascii="仿宋_GB2312" w:hAnsi="仿宋_GB2312" w:eastAsia="仿宋_GB2312" w:cs="仿宋_GB2312"/>
        <w:b/>
        <w:bC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27E868E0"/>
    <w:rsid w:val="305E25B0"/>
    <w:rsid w:val="41DC0278"/>
    <w:rsid w:val="4D2606A1"/>
    <w:rsid w:val="59647162"/>
    <w:rsid w:val="5A260BC5"/>
    <w:rsid w:val="5E994AA4"/>
    <w:rsid w:val="60D748EC"/>
    <w:rsid w:val="628C4F1A"/>
    <w:rsid w:val="69E076A5"/>
    <w:rsid w:val="6C160497"/>
    <w:rsid w:val="7A9A2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16</TotalTime>
  <ScaleCrop>false</ScaleCrop>
  <LinksUpToDate>false</LinksUpToDate>
  <CharactersWithSpaces>718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2025-03-17T08:21:20Z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C1E8CB8A97EB40008D5F762A566BFB7F</vt:lpwstr>
  </property>
</Properties>
</file>