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D69B1">
      <w:pPr>
        <w:rPr>
          <w:rFonts w:hint="eastAsia"/>
        </w:rPr>
      </w:pPr>
    </w:p>
    <w:p w14:paraId="54EFAEE9">
      <w:pPr>
        <w:spacing w:line="540" w:lineRule="exact"/>
        <w:ind w:firstLine="960" w:firstLineChars="200"/>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29DCD2D8">
      <w:pPr>
        <w:spacing w:line="540" w:lineRule="exact"/>
        <w:jc w:val="center"/>
        <w:rPr>
          <w:rFonts w:ascii="华文中宋" w:hAnsi="华文中宋" w:eastAsia="华文中宋" w:cs="宋体"/>
          <w:b/>
          <w:kern w:val="0"/>
          <w:sz w:val="52"/>
          <w:szCs w:val="52"/>
        </w:rPr>
      </w:pPr>
    </w:p>
    <w:p w14:paraId="1FEB767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5"/>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970EFB4">
      <w:pPr>
        <w:spacing w:line="540" w:lineRule="exact"/>
        <w:jc w:val="center"/>
        <w:rPr>
          <w:rFonts w:hAnsi="宋体" w:eastAsia="仿宋_GB2312" w:cs="宋体"/>
          <w:kern w:val="0"/>
          <w:sz w:val="30"/>
          <w:szCs w:val="30"/>
        </w:rPr>
      </w:pPr>
    </w:p>
    <w:p w14:paraId="488877FF">
      <w:pPr>
        <w:spacing w:line="540" w:lineRule="exact"/>
        <w:jc w:val="center"/>
        <w:rPr>
          <w:rFonts w:hAnsi="宋体" w:eastAsia="仿宋_GB2312" w:cs="宋体"/>
          <w:kern w:val="0"/>
          <w:sz w:val="30"/>
          <w:szCs w:val="30"/>
        </w:rPr>
      </w:pPr>
    </w:p>
    <w:p w14:paraId="4C904B82">
      <w:pPr>
        <w:spacing w:line="540" w:lineRule="exact"/>
        <w:jc w:val="center"/>
        <w:rPr>
          <w:rFonts w:hAnsi="宋体" w:eastAsia="仿宋_GB2312" w:cs="宋体"/>
          <w:kern w:val="0"/>
          <w:sz w:val="30"/>
          <w:szCs w:val="30"/>
        </w:rPr>
      </w:pPr>
    </w:p>
    <w:p w14:paraId="23563CF6">
      <w:pPr>
        <w:spacing w:line="540" w:lineRule="exact"/>
        <w:jc w:val="center"/>
        <w:rPr>
          <w:rFonts w:hAnsi="宋体" w:eastAsia="仿宋_GB2312" w:cs="宋体"/>
          <w:kern w:val="0"/>
          <w:sz w:val="30"/>
          <w:szCs w:val="30"/>
        </w:rPr>
      </w:pPr>
    </w:p>
    <w:p w14:paraId="17A29DE2">
      <w:pPr>
        <w:spacing w:line="540" w:lineRule="exact"/>
        <w:rPr>
          <w:rFonts w:hAnsi="宋体" w:eastAsia="仿宋_GB2312" w:cs="宋体"/>
          <w:kern w:val="0"/>
          <w:sz w:val="30"/>
          <w:szCs w:val="30"/>
        </w:rPr>
      </w:pPr>
    </w:p>
    <w:p w14:paraId="2302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6A94A3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5"/>
          <w:rFonts w:hint="eastAsia" w:ascii="楷体" w:hAnsi="楷体" w:eastAsia="楷体"/>
          <w:spacing w:val="-4"/>
          <w:sz w:val="32"/>
          <w:szCs w:val="32"/>
        </w:rPr>
        <w:t>塔地财教〔2022〕54号沙财教〔2023〕12号城乡义务教育补助经费中央直达（校舍安全保障资金））</w:t>
      </w:r>
    </w:p>
    <w:p w14:paraId="0A7E3CF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5"/>
          <w:rFonts w:hint="eastAsia" w:ascii="楷体" w:hAnsi="楷体" w:eastAsia="楷体"/>
          <w:spacing w:val="-4"/>
          <w:sz w:val="32"/>
          <w:szCs w:val="32"/>
        </w:rPr>
        <w:t>沙湾市博尔通古乡哈拉干德小学</w:t>
      </w:r>
    </w:p>
    <w:p w14:paraId="7FDB065F">
      <w:pPr>
        <w:spacing w:line="540" w:lineRule="exact"/>
        <w:ind w:firstLine="720" w:firstLineChars="200"/>
        <w:rPr>
          <w:rStyle w:val="5"/>
          <w:rFonts w:hint="eastAsia" w:ascii="楷体" w:hAnsi="楷体" w:eastAsia="楷体"/>
          <w:spacing w:val="-4"/>
          <w:sz w:val="32"/>
          <w:szCs w:val="32"/>
        </w:rPr>
      </w:pPr>
      <w:r>
        <w:rPr>
          <w:rFonts w:hint="eastAsia" w:hAnsi="宋体" w:eastAsia="仿宋_GB2312" w:cs="宋体"/>
          <w:kern w:val="0"/>
          <w:sz w:val="36"/>
          <w:szCs w:val="36"/>
        </w:rPr>
        <w:t>主管部门（公章）：</w:t>
      </w:r>
      <w:r>
        <w:rPr>
          <w:rStyle w:val="5"/>
          <w:rFonts w:hint="eastAsia" w:ascii="楷体" w:hAnsi="楷体" w:eastAsia="楷体"/>
          <w:spacing w:val="-4"/>
          <w:sz w:val="32"/>
          <w:szCs w:val="32"/>
        </w:rPr>
        <w:t>沙湾市博尔通古乡哈拉干德小学</w:t>
      </w:r>
    </w:p>
    <w:p w14:paraId="13355B0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5"/>
          <w:rFonts w:hint="eastAsia" w:ascii="楷体" w:hAnsi="楷体" w:eastAsia="楷体"/>
          <w:spacing w:val="-4"/>
          <w:sz w:val="32"/>
          <w:szCs w:val="32"/>
        </w:rPr>
        <w:t>剡军</w:t>
      </w:r>
    </w:p>
    <w:p w14:paraId="6C39BD77">
      <w:pPr>
        <w:spacing w:line="540" w:lineRule="exact"/>
        <w:ind w:left="273" w:firstLine="567"/>
        <w:rPr>
          <w:rStyle w:val="5"/>
          <w:rFonts w:ascii="楷体" w:hAnsi="楷体" w:eastAsia="楷体"/>
          <w:spacing w:val="-4"/>
          <w:sz w:val="32"/>
          <w:szCs w:val="32"/>
        </w:rPr>
      </w:pPr>
      <w:r>
        <w:rPr>
          <w:rFonts w:hint="eastAsia" w:hAnsi="宋体" w:eastAsia="仿宋_GB2312" w:cs="宋体"/>
          <w:kern w:val="0"/>
          <w:sz w:val="36"/>
          <w:szCs w:val="36"/>
        </w:rPr>
        <w:t>填报时间：</w:t>
      </w:r>
      <w:r>
        <w:rPr>
          <w:rStyle w:val="5"/>
          <w:rFonts w:hint="eastAsia" w:ascii="楷体" w:hAnsi="楷体" w:eastAsia="楷体"/>
          <w:spacing w:val="-4"/>
          <w:sz w:val="32"/>
          <w:szCs w:val="32"/>
        </w:rPr>
        <w:t>2024年05月06日</w:t>
      </w:r>
    </w:p>
    <w:p w14:paraId="6E539424">
      <w:pPr>
        <w:spacing w:line="700" w:lineRule="exact"/>
        <w:ind w:firstLine="708" w:firstLineChars="236"/>
        <w:jc w:val="left"/>
        <w:rPr>
          <w:rFonts w:hAnsi="宋体" w:eastAsia="仿宋_GB2312" w:cs="宋体"/>
          <w:kern w:val="0"/>
          <w:sz w:val="30"/>
          <w:szCs w:val="30"/>
        </w:rPr>
      </w:pPr>
    </w:p>
    <w:p w14:paraId="581FB9EF">
      <w:pPr>
        <w:spacing w:line="540" w:lineRule="exact"/>
        <w:rPr>
          <w:rStyle w:val="5"/>
          <w:rFonts w:ascii="黑体" w:hAnsi="黑体" w:eastAsia="黑体"/>
          <w:b w:val="0"/>
          <w:spacing w:val="-4"/>
          <w:sz w:val="32"/>
          <w:szCs w:val="32"/>
        </w:rPr>
      </w:pPr>
    </w:p>
    <w:p w14:paraId="5D185266">
      <w:pPr>
        <w:rPr>
          <w:rFonts w:hint="eastAsia"/>
        </w:rPr>
      </w:pPr>
    </w:p>
    <w:p w14:paraId="26C7E2EF">
      <w:pPr>
        <w:rPr>
          <w:rFonts w:hint="eastAsia"/>
        </w:rPr>
      </w:pPr>
    </w:p>
    <w:p w14:paraId="4E6FA58B">
      <w:pPr>
        <w:rPr>
          <w:rFonts w:hint="eastAsia"/>
        </w:rPr>
      </w:pPr>
    </w:p>
    <w:p w14:paraId="595B73C2">
      <w:pPr>
        <w:rPr>
          <w:rFonts w:hint="eastAsia"/>
        </w:rPr>
      </w:pPr>
    </w:p>
    <w:p w14:paraId="1591D07A">
      <w:pPr>
        <w:rPr>
          <w:rFonts w:hint="eastAsia"/>
        </w:rPr>
      </w:pPr>
    </w:p>
    <w:p w14:paraId="6708E932">
      <w:pPr>
        <w:rPr>
          <w:rFonts w:hint="eastAsia"/>
        </w:rPr>
      </w:pPr>
    </w:p>
    <w:p w14:paraId="2AE6C3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37D6D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5984D3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D7C6E19">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仿宋_GB2312" w:eastAsia="仿宋_GB2312" w:cs="Times New Roman"/>
          <w:color w:val="auto"/>
          <w:sz w:val="32"/>
          <w:szCs w:val="32"/>
          <w:highlight w:val="none"/>
          <w:lang w:val="en-US" w:eastAsia="zh-CN"/>
        </w:rPr>
      </w:pPr>
      <w:r>
        <w:rPr>
          <w:rFonts w:hint="eastAsia" w:ascii="黑体" w:hAnsi="黑体" w:eastAsia="黑体" w:cs="宋体"/>
          <w:b/>
          <w:bCs w:val="0"/>
          <w:color w:val="auto"/>
          <w:kern w:val="0"/>
          <w:sz w:val="32"/>
          <w:szCs w:val="32"/>
          <w:highlight w:val="none"/>
        </w:rPr>
        <w:t>一、项目概况</w:t>
      </w:r>
    </w:p>
    <w:p w14:paraId="1DB8DF3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（一）项目单位基本情况</w:t>
      </w:r>
    </w:p>
    <w:p w14:paraId="4C0453B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1.项目背景</w:t>
      </w:r>
    </w:p>
    <w:p w14:paraId="6C12F0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学校校舍安全项目支出是学校建设中的一个重要环节，它对于学校的发展、教育质量和师生生活都具有重要的影响。首先，学校校舍安全项目支出可以提高学校的硬件设施水平，建立现代化、舒适、安全的教学、生活设施，为师生提供优质的学习、生活环境。其次，学校校舍安全项目支出还可以促进学校教育教学水平的提高，更好地满足教学需要，提高教学质量。随着教育事业不断发展，各个学校的规模也越来越大，由此而引发的教学楼、宿舍楼等建筑物的建设、改造、维修等工程需求也越来越高，相应的支出也逐年增加。实现高效使用公共财政资金，进一步提高资金使用效益，不仅是学校管理者的职责所在，更是社会责任的表现。根据《关于提前下达2023年城乡义务教育补助经费预算（中央直达资金）的通知》沙财教【2023】12号文件要求，持续巩固完善农村义务教育学校校舍安全保障长效机制，支持公办学校维修改造、抗震加固、改扩建校舍及其附属设施建设。为切实增强学校“校舍安全”项目实施的计划性、针对性和有效性，确保目标任务顺利完成，使学校办学条件基本满足教学和生活需要，促进基本公共教育服务均等化，保障教育公平。实施本项目的建设，为加快义务教育辅助步伐，全面改善薄弱学校基本办学条件，办人民满意的教育，提供了有效保障。</w:t>
      </w:r>
    </w:p>
    <w:p w14:paraId="26853B1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2.项目主要内容及实施情况</w:t>
      </w:r>
    </w:p>
    <w:p w14:paraId="4F55FA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主要内容为：塔地财教〔2022〕54号沙财教〔2023〕12号城乡义务教育补助经费中央直达（校舍安全保障资金））预算金额45万元。维修项目内容为：维修地面56平方米；操场加装150米护栏；篮球场地面维护；教学楼两个入户门更换，三间课堂教室吊顶安装吸音板、窗套、屋顶粉刷等维护，保障项目按时完成，保证专款专用。有效改善学校办学条件，提高学生及教师的幸福感，加大对教育惠民工作的推进力度。</w:t>
      </w:r>
    </w:p>
    <w:p w14:paraId="219655A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于2023年7月开始实施，截止2023年8月，该项目已实施完成，各项任务指标全部完成，通过本项目的实施，有效解决了校舍安全维修维护，提升了学校办学条件满足教学和生活需要，增强了教学科研设施服务及校园文化建设水平。</w:t>
      </w:r>
    </w:p>
    <w:p w14:paraId="0389D31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3.项目实施主体</w:t>
      </w:r>
    </w:p>
    <w:p w14:paraId="557DE3D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塔地财教〔2022〕54号沙财教〔2023〕12号城乡义务教育补助经费中央直达（校舍安全保障资金））的实施主体为塔城地区沙湾市博尔通古乡哈拉干德小学。4.资金投入和使用情况</w:t>
      </w:r>
    </w:p>
    <w:p w14:paraId="2138F3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（1）项目资金安排落实、总投入情况</w:t>
      </w:r>
    </w:p>
    <w:p w14:paraId="2DB6EF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根据塔地财教〔2022〕54号沙财教〔2023〕12号城乡义务教育补助经费中央直达（校舍安全保障资金））预算安</w:t>
      </w:r>
      <w:bookmarkStart w:id="0" w:name="_GoBack"/>
      <w:bookmarkEnd w:id="0"/>
      <w:r>
        <w:rPr>
          <w:rFonts w:hint="eastAsia" w:ascii="仿宋_GB2312" w:eastAsia="仿宋_GB2312" w:cs="Times New Roman"/>
          <w:color w:val="auto"/>
          <w:sz w:val="32"/>
          <w:szCs w:val="32"/>
          <w:highlight w:val="none"/>
          <w:lang w:val="en-US" w:eastAsia="zh-CN"/>
        </w:rPr>
        <w:t>排资金总额45万元，其中财政资金45万元、其他资金0万元；2023年实际收到预算资金45万元，预算资金到位率为100%。</w:t>
      </w:r>
    </w:p>
    <w:p w14:paraId="710516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（2）项目资金实际使用情况</w:t>
      </w:r>
    </w:p>
    <w:p w14:paraId="78B0C55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截至2023年12月31日，本项目实际支付资金45万元，预算执行率100%。项目资金主要用于支付学校假期维修工程费用45万元。</w:t>
      </w:r>
    </w:p>
    <w:p w14:paraId="723E4B2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（二）项目预算绩效目标设定情况</w:t>
      </w:r>
    </w:p>
    <w:p w14:paraId="1470016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1.总体目标</w:t>
      </w:r>
    </w:p>
    <w:p w14:paraId="446A5E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塔地财教〔2022〕54号沙财教〔2023〕12号城乡义务教育补助经费中央直达（校舍安全保障资金））预算金额45万元。维修项目内容为：维修地面56平方米；操场加装150米护栏；篮球场地面维护；教学楼两个入户门更换，三间课堂教室吊顶安装吸音板、窗套、屋顶粉刷等维护保障项目按时完成，保证专款专用。有效改善学校办学条件，提高学生及教师的幸福感，加大对教育惠民工作的推进力度。</w:t>
      </w:r>
    </w:p>
    <w:p w14:paraId="6CB4AA8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2.阶段性目标</w:t>
      </w:r>
    </w:p>
    <w:p w14:paraId="54E82C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14:paraId="5B4229F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（1）项目产出指标</w:t>
      </w:r>
    </w:p>
    <w:p w14:paraId="5AC4881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①数量指标</w:t>
      </w:r>
    </w:p>
    <w:p w14:paraId="4B4374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“维修地面（平方米）”指标，预期指标值为“等于56平方米”；</w:t>
      </w:r>
    </w:p>
    <w:p w14:paraId="6C3FCC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“操场加装护栏（米）”指标，预期指标值为“等于150米”；</w:t>
      </w:r>
    </w:p>
    <w:p w14:paraId="3779B5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“篮球场地面维护（个)”指标，预期指标值为“等于1个”；</w:t>
      </w:r>
    </w:p>
    <w:p w14:paraId="7BAA122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“课堂教室安装吸音板、窗套、屋顶粉刷（间）”指标，预期指标值为“等于3间”；</w:t>
      </w:r>
    </w:p>
    <w:p w14:paraId="603CB1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“教学楼入户门更换（个）”指标，预期指标值为“等于2个”；</w:t>
      </w:r>
    </w:p>
    <w:p w14:paraId="2C6826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②质量指标</w:t>
      </w:r>
    </w:p>
    <w:p w14:paraId="1A8385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“竣工验收合格率（%）”指标，预期指标值为“大于等于95%”；</w:t>
      </w:r>
    </w:p>
    <w:p w14:paraId="7ED913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“资金使用规范率（%）”指标，预期指标值为“等于100%”；</w:t>
      </w:r>
    </w:p>
    <w:p w14:paraId="109BD16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③时效指标</w:t>
      </w:r>
    </w:p>
    <w:p w14:paraId="0E9255A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“资金使用及时率（%）”指标，预期指标值为“等于100%”；</w:t>
      </w:r>
    </w:p>
    <w:p w14:paraId="0F83221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“项目完成时间”指标，预期指标值为“2023年11月15日前”；</w:t>
      </w:r>
    </w:p>
    <w:p w14:paraId="1AF348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（2）项目成本指标</w:t>
      </w:r>
    </w:p>
    <w:p w14:paraId="1717E9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①经济成本指标</w:t>
      </w:r>
    </w:p>
    <w:p w14:paraId="39CA95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“维修项目金额（万元）”指标，预期指标值为“大于等于45万元”；</w:t>
      </w:r>
    </w:p>
    <w:p w14:paraId="550D206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（3）项目效益指标</w:t>
      </w:r>
    </w:p>
    <w:p w14:paraId="4CEF2CC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①经济效益指标</w:t>
      </w:r>
    </w:p>
    <w:p w14:paraId="6C0E7E7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14:paraId="5296DA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②社会效益指标</w:t>
      </w:r>
    </w:p>
    <w:p w14:paraId="648570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“改善学校环境”指标，预期指标值为“有效改善”；</w:t>
      </w:r>
    </w:p>
    <w:p w14:paraId="46167C2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③生态效益指标</w:t>
      </w:r>
    </w:p>
    <w:p w14:paraId="349A914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14:paraId="03315DB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（4）相关满意度目标</w:t>
      </w:r>
    </w:p>
    <w:p w14:paraId="06D4E6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“家长满意度（%）”指标，预期指标值为“大于等于95%”。</w:t>
      </w:r>
    </w:p>
    <w:p w14:paraId="35BC4C51">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二、项目资金使用及管理情况</w:t>
      </w:r>
    </w:p>
    <w:p w14:paraId="5D62577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（一）项目资金安排落实、总投入等情况分析</w:t>
      </w:r>
    </w:p>
    <w:p w14:paraId="49E8ECD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1.绩效评价的目的</w:t>
      </w:r>
    </w:p>
    <w:p w14:paraId="0BD1A78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0735248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2.绩效评价的对象和范围</w:t>
      </w:r>
    </w:p>
    <w:p w14:paraId="708375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绩效评价遵循财政部《关于印发&lt;项目支出绩效评价管理办法&gt;的通知》（财预〔2020〕10号）以及自治区财政厅《自治区财政支出绩效评价管理暂行办法》（新财预〔2018〕189号）等文件规定，对2023年度我单位实施的城乡义务教育补助经费中央直达（校舍安全保障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CE3946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（二）项目资金实际使用情况分析</w:t>
      </w:r>
    </w:p>
    <w:p w14:paraId="0FF7527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1.绩效评价原则</w:t>
      </w:r>
    </w:p>
    <w:p w14:paraId="3207E8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补助经费中央直达（校舍安全保障资金）项目实际开展情况，运用定量和定性分析相结合的方法，总结经验做法，反思项目实施和管理中的问题，以切实提升财政资金管理的科学化、规范化和精细化水平。</w:t>
      </w:r>
    </w:p>
    <w:p w14:paraId="63EC23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根据以上原则，绩效评价遵循如下具体要求：</w:t>
      </w:r>
    </w:p>
    <w:p w14:paraId="798EF4D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（1）在数据采集时，采取客观数据主管部门审查、社会中介组织复查与问卷调查相结合的形式，以保证各项指标的真实性。</w:t>
      </w:r>
    </w:p>
    <w:p w14:paraId="55B75A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（2）保证评价结果的真实性、公正性，提高评价报告的公信力。</w:t>
      </w:r>
    </w:p>
    <w:p w14:paraId="6B3583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（3）绩效评价报告简明扼要，除对绩效评价的过程、结果描述外，还总结经验、指出问题，并就共性问题提出可操作性改进建议。</w:t>
      </w:r>
    </w:p>
    <w:p w14:paraId="0BE3062D">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2.绩效评价指标体系及绩效评价标准</w:t>
      </w:r>
    </w:p>
    <w:p w14:paraId="263D930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14:paraId="06102D9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一级指标为：决策、过程、产出、成本、效益。</w:t>
      </w:r>
    </w:p>
    <w:p w14:paraId="5A5EAE5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二级指标为：项目立项、绩效目标、资金投入、资金管理、组织实施、产出数量、产出质量、产出时效、产出成本、实施效益、满意度。</w:t>
      </w:r>
    </w:p>
    <w:p w14:paraId="556869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三级指标为：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p>
    <w:p w14:paraId="60594EC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3.评价方法</w:t>
      </w:r>
    </w:p>
    <w:p w14:paraId="7D1EFD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本次评价采取定量与定性评价相结合的方式，采用比较法、公众评判法对项目实施过程以及预期绩效目标完成情况进行全面、系统的评价，总分由各项指标得分汇总形成。</w:t>
      </w:r>
    </w:p>
    <w:p w14:paraId="69C955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78E60F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6945F74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4.评价标准</w:t>
      </w:r>
    </w:p>
    <w:p w14:paraId="4F4DC0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293DEC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（三）项目资金管理情况分析</w:t>
      </w:r>
    </w:p>
    <w:p w14:paraId="4FB0EB4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我单位绩效评价人员根据《项目支出绩效评价管理办法》（财预〔2020〕10号）文件精神认真学习相关要求与规定，成立绩效评价工作组，作为绩效评价工作具体实施机构。成员构成如下：</w:t>
      </w:r>
    </w:p>
    <w:p w14:paraId="43EA307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剡军（填单位领导或者分管领导）任评价组组长，绩效评价工作职责为检查项目绩效指标完成情况、审定项目支出绩效评价结果及项目支出绩效评价报告。</w:t>
      </w:r>
    </w:p>
    <w:p w14:paraId="00BDEF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巴热开提（填分管领导或科室负责人）任评价组副组长，绩效评价工作职责为组织和协调项目工作人员采取实地调查、资料检查等方式，核实项目绩效指标完成情况；组织受益对象对项目工作进行评价等。</w:t>
      </w:r>
    </w:p>
    <w:p w14:paraId="241E4A3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古丽亚、吉别克、哈里（填科室经办人员）任评价组成员，绩效评价工作职责为做好项目支出绩效评价工作的沟通协调工作，对项目实施情况进行实地调查，编写项目支出绩效评价报告。</w:t>
      </w:r>
    </w:p>
    <w:p w14:paraId="08A6E84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第二阶段：组织实施。</w:t>
      </w:r>
    </w:p>
    <w:p w14:paraId="2F08A8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经评价组通过实地调研、查阅资料等方式，采用综合分析法对项目的决策、管理、绩效进行的综合评价分析。</w:t>
      </w:r>
    </w:p>
    <w:p w14:paraId="25C2A2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第三阶段：分析评价。</w:t>
      </w:r>
    </w:p>
    <w:p w14:paraId="6EB50A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首先按照指标体系进行定量、定性分析。其次开展量化打分、综合评价工作，形成初步评价结论。最后归纳整体项目情况与存在问题，撰写部门绩效评价报告。</w:t>
      </w:r>
    </w:p>
    <w:p w14:paraId="5CF74CA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第四阶段：撰写与提交评价报告</w:t>
      </w:r>
    </w:p>
    <w:p w14:paraId="122DF56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项目撰写绩效评价报告，按照财政局大平台绩效系统中统一格式和文本框架撰写绩效评价报告。</w:t>
      </w:r>
    </w:p>
    <w:p w14:paraId="68BCEA4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第五阶段：归集档案</w:t>
      </w:r>
    </w:p>
    <w:p w14:paraId="7C9E507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建立和落实档案管理制度，将项目相关资料存档，包括但不限于：评价项目基本情况和相关文件、评价实施方案、项目支付资料等相关档案。</w:t>
      </w:r>
    </w:p>
    <w:p w14:paraId="357342F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三、项目组织实施情况</w:t>
      </w:r>
    </w:p>
    <w:p w14:paraId="4060972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（一）项目组织情况分析</w:t>
      </w:r>
    </w:p>
    <w:p w14:paraId="0B5424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（一）综合评价情况</w:t>
      </w:r>
    </w:p>
    <w:p w14:paraId="5E9F12A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通过城乡义务教育补助经费中央直达（校舍安全保障资金）项目的实施，解决了学校所存在的安全隐患问题，实现了优美的校园文化环境，为师生创造了一个良好的教育教学环境和生活环境效益，该项目预算执行率达100%，项目预期绩效目标及各项具体指标均已全部达成。</w:t>
      </w:r>
    </w:p>
    <w:p w14:paraId="1906E1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（二）综合评价结论</w:t>
      </w:r>
    </w:p>
    <w:p w14:paraId="632616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对城乡义务教育补助经费中央直达（校舍安全保障资金）项目的绩效目标和各项具体绩效指标实现情况进行了客观评价，最终评分为100分。绩效评级为“优”，具体得分情况为：项目决策15分、项目过程15分、项目产出40分、项目效益20分、项目满意度10分。</w:t>
      </w:r>
    </w:p>
    <w:p w14:paraId="51357BB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（二）项目管理情况分析</w:t>
      </w:r>
    </w:p>
    <w:p w14:paraId="64DC8C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项目决策类指标从项目立项、绩效目标和资金投入三个方面评价项目前期准备工作，权重分值为 15 分，本项目实际得分15分，得分率为100%。具体各项指标得分如下：</w:t>
      </w:r>
    </w:p>
    <w:p w14:paraId="78EAA4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立项依据充分性：本项目是由沙湾市教育和科学技术局单位提出申报，于2023年2月批复设立，2023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p>
    <w:p w14:paraId="1648EE6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2.立项程序规范性：根据决策依据编制工作计划和经费预算，经过与部门分管领导进行沟通、筛选确定经费预算计划，教科局确定最终预算方案。根据评分标准，该指标2.5分，得2.5分。</w:t>
      </w:r>
    </w:p>
    <w:p w14:paraId="726A89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3.绩效目标合理性：本项目制定了项目支出绩效目标，明确了项目总体思路及总目标、并对项目任务进行了详细分解，对目标进行了细化。根据评分标准，该指标3分，得3分。</w:t>
      </w:r>
    </w:p>
    <w:p w14:paraId="75F557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4.绩效指标明确性：本项目已将项目绩效目标细化分解为具体的绩效指标，并通过清晰、可衡量的指标值予以体现，与项目目标任务数或计划数相对应。根据评分标准，该指标2分，得2分。</w:t>
      </w:r>
    </w:p>
    <w:p w14:paraId="79264CB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5.预算编制科学性： 预算编制经过科学论证，内容与项目内容匹配，项目投资额与工作任务相匹配，根据评分标准，该指标3分，得3分。</w:t>
      </w:r>
    </w:p>
    <w:p w14:paraId="5162EAB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6.资金分配合理性：本项目资金分配依据充分，资金分配额度合理，与项目地方实际相适应。根据评分标准，该指标2分，得2分。</w:t>
      </w:r>
    </w:p>
    <w:p w14:paraId="377A6F76">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 xml:space="preserve">四、项目绩效情况 </w:t>
      </w:r>
    </w:p>
    <w:p w14:paraId="223A1042">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（一）项目绩效目标完成情况分析</w:t>
      </w:r>
    </w:p>
    <w:p w14:paraId="152EE6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项目过程类指标包括资金管理和组织实施两方面的内容，由 5个三级指标构成，权重分值为 15 分，本项目实际得分15分，得分率为100%。具体各项指标得分如下：</w:t>
      </w:r>
    </w:p>
    <w:p w14:paraId="40FEA5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1.资金到位率：该项目所需财政资金能够足额拨付到位，牵头单位能够及时足额按照合同约定将专项资金拨付给单位，根据评分标准，该指标2分，得2分。   </w:t>
      </w:r>
    </w:p>
    <w:p w14:paraId="306373E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2.预算执行率：本项目预算编制较为详细，预算资金45万元，实际执行45万元，预算执行率为100%，项目资金支出总体能够按照预算执行，根据评分标准，该指标2分，得2分。</w:t>
      </w:r>
    </w:p>
    <w:p w14:paraId="6B49889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3.资金使用合规性：项目任务下达后，我单位制定了财务管理制度和管理规定对经费使用进行规范管理，财务制度健全、执行严格；根据评分标准，该指标3分，得3分。</w:t>
      </w:r>
    </w:p>
    <w:p w14:paraId="47E3784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4.管理制度健全性：我单位制定了《校舍维修改造专项资金管理办法》等相关项目管理办法，同时对财政专项资金进行严格管理，做到了专款专用，根据评分标准，该指标4分，得4分。</w:t>
      </w:r>
    </w:p>
    <w:p w14:paraId="023D59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制度执行有效性：由科室提出经费预算支出可行性方案，经过与分管领导沟通后，报教科局研究执行，财务对资金的使用合法合规性进行监督，年底对资金使用效果进行自评，根据评分标准，该指标4分，得4分。</w:t>
      </w:r>
    </w:p>
    <w:p w14:paraId="1207084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（二）项目绩效目标未完成原因分析</w:t>
      </w:r>
    </w:p>
    <w:p w14:paraId="045BD4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项目产出类指标包括产出数量、产出质量、产出时效、产出成本共四方面的内容，由6个三级指标构成，权重分为40分，本项目实际得分40分，得分率为100%。具体各项指标得分如下：</w:t>
      </w:r>
    </w:p>
    <w:p w14:paraId="2D303A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1.产出数量</w:t>
      </w:r>
    </w:p>
    <w:p w14:paraId="6C7732F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 “维修地面（平方米）”指标，预期指标值为“等于56平方米”，根据塔地财教〔2022〕54号沙财教〔2023〕12号城乡义务教育补助经费中央直达（校舍安全保障资金）、2023年决算报表可知，实际完成维修地面（平方米）为56平方米，与预期目标一致，根据评分标准，该指标2分，得2分。</w:t>
      </w:r>
    </w:p>
    <w:p w14:paraId="70118DF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操场加装护栏（米）”指标，预期指标值为“等于150米”，根据塔地财教〔2022〕54号沙财教〔2023〕12号城乡义务教育补助经费中央直达（校舍安全保障资金）、2023年决算报表可知，实际完成操场加装护栏（米）为150米，与预期目标一致，根据评分标准，该指标2分，得2分。</w:t>
      </w:r>
    </w:p>
    <w:p w14:paraId="48F79A0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篮球场地面维护（个)”指标，预期指标值为“等于1个”，根据塔地财教〔2022〕54号沙财教〔2023〕12号城乡义务教育补助经费中央直达（校舍安全保障资金）、2023年决算报表可知，实际完成篮球场地面维护（个)为1个，与预期目标一致，根据评分标准，该指标2分，得2分。</w:t>
      </w:r>
    </w:p>
    <w:p w14:paraId="74EF42E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教学楼入户门更换（个）”指标，预期指标值为“等于2个”，根据塔地财教〔2022〕54号沙财教〔2023〕12号城乡义务教育补助经费中央直达（校舍安全保障资金）、2023年决算报表可知，实际完成教学楼入户门更换（个）为2个，与预期目标一致，根据评分标准，该指标2分，得2分。</w:t>
      </w:r>
    </w:p>
    <w:p w14:paraId="7622EFE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课堂教室安装吸音板、窗套、屋顶粉刷（间）”指标，预期指标值为“等于3间”，根据塔地财教〔2022〕54号沙财教〔2023〕12号城乡义务教育补助经费中央直达（校舍安全保障资金）、2023年决算报表可知，实际完成课堂教室安装吸音板、窗套、屋顶粉刷（间）为3间，与预期目标一致，根据评分标准，该指标2分，得2分。</w:t>
      </w:r>
    </w:p>
    <w:p w14:paraId="5DCAA2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2.产出质量</w:t>
      </w:r>
    </w:p>
    <w:p w14:paraId="4760AA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“竣工验收合格率（%）”指标，预期指标值为“大于等于95%”，于2023年8月15日进行验收并通过。完成值为100%，与预期目标值一致。根据评分标准，该指标5分，得5分。</w:t>
      </w:r>
    </w:p>
    <w:p w14:paraId="0AC3CFE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“资金使用规范率（%）”指标，预期指标值为“100%”，根据2023年决算报表（能够证明指标完成值的资料），资金补助覆盖率（%）达100%，与预期目标一致，根据评分标准，该指标5分，得5分。</w:t>
      </w:r>
    </w:p>
    <w:p w14:paraId="55949B6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3.产出时效</w:t>
      </w:r>
    </w:p>
    <w:p w14:paraId="7237AE2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 “资金使用及时率（%）”指标，预期指标值为“100%”；根据资金支付凭证显示，该项目于2023年12月前完成，资金已于2023年12月前全部支付完毕，与预期目标指标一致，根据评分标准，该指标5分，得5分。</w:t>
      </w:r>
    </w:p>
    <w:p w14:paraId="6F38EC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“项目完成时间”指标，预期指标值为“100%”；根据资金支付凭证显示，该项目于2023年12月前完成，资金已于2023年12月前全部支付完毕，与预期目标指标一致，根据评分标准，该指标5分，得5分。</w:t>
      </w:r>
    </w:p>
    <w:p w14:paraId="53D92D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4.产出成本</w:t>
      </w:r>
    </w:p>
    <w:p w14:paraId="60D1CD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维修项目金额（万元）”指标，预期指标值为“小于等于45万元”，根据项目文件和资金支付凭证显示，本项目已按期支付完毕，经费支出能够控制在年度计划成本范围内，根据评分标准，该指标20分，得20分。</w:t>
      </w:r>
    </w:p>
    <w:p w14:paraId="48A91D5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五、其他需要说明的问题</w:t>
      </w:r>
    </w:p>
    <w:p w14:paraId="2D5FE321">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（一）后续工作计划</w:t>
      </w:r>
    </w:p>
    <w:p w14:paraId="728D47F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项目效益类指标由社会效益1个二级指标和2个三级指标构成，权重分为20分，本项目实际得分20分，得分率为100%。具体各项指标得分如下：</w:t>
      </w:r>
    </w:p>
    <w:p w14:paraId="5FE5A3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1.社会效益指标</w:t>
      </w:r>
    </w:p>
    <w:p w14:paraId="64B5993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“改善学校环境”指标，预期指标值为“有效改善”，根据本单位年度考核情况，实际完成值为“基本达成目标”根据评分标准，该指标20分，得20分。</w:t>
      </w:r>
    </w:p>
    <w:p w14:paraId="50B582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2.经济效益指标</w:t>
      </w:r>
    </w:p>
    <w:p w14:paraId="7C48DE3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14:paraId="659B96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3.生态效益指标</w:t>
      </w:r>
    </w:p>
    <w:p w14:paraId="5CF8FC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14:paraId="023D361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（二）主要经验及做法、存在问题和建议</w:t>
      </w:r>
    </w:p>
    <w:p w14:paraId="0C840A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“家长满意度”指标，预期指标值为“大于等于95%”，根据对师生进行满意度问卷调查的结果可知，对师生满意度达95%，根据评分标准，该指标10分,得10分。</w:t>
      </w:r>
    </w:p>
    <w:p w14:paraId="612C7AE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（三）其他</w:t>
      </w:r>
    </w:p>
    <w:p w14:paraId="3BB8F55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(一)预算执行进度</w:t>
      </w:r>
    </w:p>
    <w:p w14:paraId="738DEA4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城乡义务教育补助经费中央直达（校舍安全保障资金）项目预算金额45万元，实际到位45万元，全年项目实际支出45万元，预算执行率100%。</w:t>
      </w:r>
    </w:p>
    <w:p w14:paraId="6AE668A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（二）绩效指标偏差情况</w:t>
      </w:r>
    </w:p>
    <w:p w14:paraId="6881DE9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2023年本单位负责实施的城乡义务教育补助经费中央直达（校舍安全保障资金）项目的绩效目标及指标已经全部达成，不存在偏差情况。</w:t>
      </w:r>
    </w:p>
    <w:p w14:paraId="3F13601E">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六、项目评价工作情况</w:t>
      </w:r>
    </w:p>
    <w:p w14:paraId="22DEB7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包括评价基础数据收集、资料来源和依据等佐证材料情况，项目现场勘验检查核实等情况</w:t>
      </w:r>
    </w:p>
    <w:p w14:paraId="43582723">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（一）主要经验及做法</w:t>
      </w:r>
    </w:p>
    <w:p w14:paraId="3289B5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1.加强项目实施管理。一是抓落实。要求将任务落实到具体项目，明确责任主体。二是抓督查。经常到实地督查进度，并采取开展调研、中期评估等有效管理措施，促进各项目顺利实施。</w:t>
      </w:r>
    </w:p>
    <w:p w14:paraId="5472E1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2.加强项目资金管理。做到手续完备、专账管理、专人负责、专户存储、账目清楚。</w:t>
      </w:r>
    </w:p>
    <w:p w14:paraId="322BE7C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58AAE5BB">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（二）存在问题及原因分析</w:t>
      </w:r>
    </w:p>
    <w:p w14:paraId="4DA79A3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1.本单位的项目领导小组，对该项目的事前、事中、事后进行监督与跟踪，但在项目实施过程中仍存在不全面的地方，对项目的部分细节有所疏忽。</w:t>
      </w:r>
    </w:p>
    <w:p w14:paraId="6DCC1A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2.对项目档案管理有待进一步规范。项目档案管理专业性较弱。</w:t>
      </w:r>
    </w:p>
    <w:p w14:paraId="51C01A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5C264C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083BDCA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9A548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52EF132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5C4A9C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54AE6F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C2B78E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163E59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700E33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72C70D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337E26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5DC6E75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4C5137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834D5D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13FE386E"/>
    <w:rsid w:val="0C477830"/>
    <w:rsid w:val="13FE386E"/>
    <w:rsid w:val="717C6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7708</Words>
  <Characters>8070</Characters>
  <Lines>0</Lines>
  <Paragraphs>0</Paragraphs>
  <TotalTime>6</TotalTime>
  <ScaleCrop>false</ScaleCrop>
  <LinksUpToDate>false</LinksUpToDate>
  <CharactersWithSpaces>8094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2024-09-25T10:46:00Z</dcterms:created>
  <dc:creator>Administrator</dc:creator>
  <cp:lastModifiedBy>阿贝多</cp:lastModifiedBy>
  <dcterms:modified xsi:type="dcterms:W3CDTF">2024-11-08T08:54:12Z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B71FDE76808E444CAACE642B34229B46_12</vt:lpwstr>
  </property>
</Properties>
</file>