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ascii="黑体" w:hAnsi="黑体" w:eastAsia="黑体"/>
          <w:color w:val="auto"/>
          <w:sz w:val="32"/>
          <w:szCs w:val="32"/>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沙湾市博尔通古乡中心学校</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keepNext w:val="0"/>
        <w:keepLines w:val="0"/>
        <w:pageBreakBefore w:val="0"/>
        <w:widowControl w:val="0"/>
        <w:kinsoku/>
        <w:wordWrap/>
        <w:overflowPunct/>
        <w:topLinePunct w:val="0"/>
        <w:bidi w:val="0"/>
        <w:adjustRightInd/>
        <w:snapToGrid/>
        <w:spacing w:line="240" w:lineRule="auto"/>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单位</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keepNext w:val="0"/>
        <w:keepLines w:val="0"/>
        <w:pageBreakBefore w:val="0"/>
        <w:widowControl w:val="0"/>
        <w:kinsoku/>
        <w:wordWrap/>
        <w:overflowPunct/>
        <w:topLinePunct w:val="0"/>
        <w:bidi w:val="0"/>
        <w:adjustRightInd/>
        <w:snapToGrid/>
        <w:spacing w:line="240" w:lineRule="auto"/>
        <w:textAlignment w:val="auto"/>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spacing w:line="240" w:lineRule="auto"/>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keepNext w:val="0"/>
        <w:keepLines w:val="0"/>
        <w:pageBreakBefore w:val="0"/>
        <w:widowControl w:val="0"/>
        <w:kinsoku/>
        <w:wordWrap/>
        <w:overflowPunct/>
        <w:topLinePunct w:val="0"/>
        <w:autoSpaceDE/>
        <w:autoSpaceDN/>
        <w:bidi w:val="0"/>
        <w:adjustRightInd/>
        <w:snapToGrid/>
        <w:spacing w:line="240" w:lineRule="auto"/>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keepNext w:val="0"/>
        <w:keepLines w:val="0"/>
        <w:pageBreakBefore w:val="0"/>
        <w:widowControl w:val="0"/>
        <w:kinsoku/>
        <w:wordWrap/>
        <w:overflowPunct/>
        <w:topLinePunct w:val="0"/>
        <w:bidi w:val="0"/>
        <w:adjustRightInd/>
        <w:snapToGrid/>
        <w:spacing w:line="240" w:lineRule="auto"/>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32314"/>
      <w:bookmarkStart w:id="1" w:name="_Toc24028"/>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单位</w:t>
      </w:r>
      <w:r>
        <w:rPr>
          <w:rFonts w:hint="eastAsia" w:ascii="黑体" w:hAnsi="黑体" w:eastAsia="黑体"/>
          <w:color w:val="auto"/>
          <w:sz w:val="32"/>
          <w:szCs w:val="32"/>
          <w:highlight w:val="none"/>
        </w:rPr>
        <w:t>概况</w:t>
      </w:r>
      <w:bookmarkEnd w:id="0"/>
      <w:bookmarkEnd w:id="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仿宋_GB2312" w:eastAsia="仿宋_GB2312"/>
          <w:color w:val="auto"/>
          <w:sz w:val="32"/>
          <w:szCs w:val="32"/>
          <w:highlight w:val="none"/>
        </w:rPr>
      </w:pPr>
      <w:bookmarkStart w:id="4" w:name="_Toc31238"/>
      <w:bookmarkStart w:id="5" w:name="_Toc2151"/>
      <w:r>
        <w:rPr>
          <w:rFonts w:hint="eastAsia" w:ascii="仿宋_GB2312" w:eastAsia="仿宋_GB2312"/>
          <w:color w:val="auto"/>
          <w:sz w:val="32"/>
          <w:szCs w:val="32"/>
          <w:highlight w:val="none"/>
        </w:rPr>
        <w:t>全面贯彻执行</w:t>
      </w:r>
      <w:r>
        <w:rPr>
          <w:rFonts w:hint="eastAsia" w:ascii="仿宋_GB2312" w:eastAsia="仿宋_GB2312"/>
          <w:color w:val="auto"/>
          <w:sz w:val="32"/>
          <w:szCs w:val="32"/>
          <w:highlight w:val="none"/>
          <w:lang w:val="en-US" w:eastAsia="zh-CN"/>
        </w:rPr>
        <w:t>党</w:t>
      </w:r>
      <w:r>
        <w:rPr>
          <w:rFonts w:hint="eastAsia" w:ascii="仿宋_GB2312" w:eastAsia="仿宋_GB2312"/>
          <w:color w:val="auto"/>
          <w:sz w:val="32"/>
          <w:szCs w:val="32"/>
          <w:highlight w:val="none"/>
        </w:rPr>
        <w:t>的教育方针和国家的政策、法规，坚持正确的政治方向，认真实施素质教育，积极发展办学特色，不断提高教学质量，以培养学生的创新精神和实践能力为重点，造就“有理想、有道德、有文化、有纪律”的德智体美等全面发展的社会主义事业的建设者和接班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沙湾市博尔通古乡中心学校2023年度，实有人数190人，其中：在职人员119人，离休人员0人，退休人员71人。</w:t>
      </w:r>
    </w:p>
    <w:p>
      <w:pPr>
        <w:keepNext w:val="0"/>
        <w:keepLines w:val="0"/>
        <w:pageBreakBefore w:val="0"/>
        <w:widowControl w:val="0"/>
        <w:kinsoku/>
        <w:wordWrap/>
        <w:overflowPunct/>
        <w:topLinePunct w:val="0"/>
        <w:bidi w:val="0"/>
        <w:adjustRightInd/>
        <w:snapToGrid/>
        <w:spacing w:line="240" w:lineRule="auto"/>
        <w:ind w:firstLine="640" w:firstLineChars="200"/>
        <w:jc w:val="both"/>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单位无下属预算单位，下设10个处室，分别是：行政组、一年级、二年级、三年级、四年级、五年级、六年级、校办室、英语组、后勤组。</w:t>
      </w: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6" w:name="_Toc29374"/>
      <w:bookmarkStart w:id="7" w:name="_Toc3092"/>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25314"/>
      <w:bookmarkStart w:id="9" w:name="_Toc12566"/>
      <w:r>
        <w:rPr>
          <w:rFonts w:hint="eastAsia" w:ascii="黑体" w:hAnsi="黑体" w:eastAsia="黑体" w:cs="宋体"/>
          <w:bCs/>
          <w:color w:val="auto"/>
          <w:kern w:val="0"/>
          <w:sz w:val="32"/>
          <w:szCs w:val="32"/>
          <w:highlight w:val="none"/>
        </w:rPr>
        <w:t>一、收入支出决算总体情况说明</w:t>
      </w:r>
      <w:bookmarkEnd w:id="8"/>
      <w:bookmarkEnd w:id="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2,633.60万元，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2,633.60万元，使用非财政拨款结余0.00万元，年初结转和结余0.00万元。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2,633.60万元，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2,633.60万元，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0.00万元，年末结转和结余0.00万元。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减少130.46万元</w:t>
      </w:r>
      <w:r>
        <w:rPr>
          <w:rFonts w:hint="eastAsia" w:ascii="仿宋_GB2312" w:eastAsia="仿宋_GB2312"/>
          <w:color w:val="auto"/>
          <w:spacing w:val="0"/>
          <w:sz w:val="32"/>
          <w:szCs w:val="32"/>
          <w:highlight w:val="none"/>
          <w:lang w:eastAsia="zh-CN"/>
        </w:rPr>
        <w:t>，下降4.72%，主要原因是：2022年有综合楼项目工程款4百余万元，2023年仅有部分维修项目，所以支出较上年减少。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2,633.60</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2,633.60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100.00%</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本年支出2,633.60万元，其中：基本支出2,082.12万元，占79.06%；项目支出551.48万元，占20.94%；上缴上级支出0.00万元，占0.00%；经营支出0.00万元，占0.00%；对附属单位补助支出0.00万元，占0.00%。</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4393"/>
      <w:bookmarkStart w:id="15" w:name="_Toc26564"/>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2,633.60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2,633.60</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2,633.60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0.00</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2,633.60</w:t>
      </w:r>
      <w:r>
        <w:rPr>
          <w:rFonts w:hint="eastAsia" w:ascii="仿宋_GB2312" w:eastAsia="仿宋_GB2312"/>
          <w:color w:val="auto"/>
          <w:spacing w:val="0"/>
          <w:sz w:val="32"/>
          <w:szCs w:val="32"/>
          <w:highlight w:val="none"/>
          <w:lang w:eastAsia="zh-CN"/>
        </w:rPr>
        <w:t>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pacing w:val="0"/>
          <w:sz w:val="32"/>
          <w:szCs w:val="32"/>
          <w:highlight w:val="none"/>
          <w:lang w:eastAsia="zh-CN"/>
        </w:rPr>
      </w:pPr>
      <w:bookmarkStart w:id="16" w:name="_Toc20360"/>
      <w:bookmarkStart w:id="17" w:name="_Toc13833"/>
      <w:r>
        <w:rPr>
          <w:rFonts w:hint="eastAsia" w:ascii="仿宋_GB2312" w:eastAsia="仿宋_GB2312"/>
          <w:color w:val="auto"/>
          <w:spacing w:val="0"/>
          <w:sz w:val="32"/>
          <w:szCs w:val="32"/>
          <w:highlight w:val="none"/>
          <w:lang w:eastAsia="zh-CN"/>
        </w:rPr>
        <w:t>财政拨款收入支出总体与上年相比,减少130.46万元，下降4.72%,主要原因是：2022年有综合楼项目工程款4百余万元，2023年仅有部分校舍维修项目，所以财政拨款收支较上年减少。与年初预算相比，年初预算数2,172.16万元，决算数2,633.60万元，预决算差异率21.24%，主要原因是：2023年人员工资增资，同时与预算相比还</w:t>
      </w:r>
      <w:r>
        <w:rPr>
          <w:rFonts w:hint="eastAsia" w:ascii="仿宋_GB2312" w:eastAsia="仿宋_GB2312"/>
          <w:color w:val="auto"/>
          <w:spacing w:val="0"/>
          <w:sz w:val="32"/>
          <w:szCs w:val="32"/>
          <w:highlight w:val="none"/>
          <w:lang w:val="en-US" w:eastAsia="zh-CN"/>
        </w:rPr>
        <w:t>追加</w:t>
      </w:r>
      <w:r>
        <w:rPr>
          <w:rFonts w:hint="eastAsia" w:ascii="仿宋_GB2312" w:eastAsia="仿宋_GB2312"/>
          <w:color w:val="auto"/>
          <w:spacing w:val="0"/>
          <w:sz w:val="32"/>
          <w:szCs w:val="32"/>
          <w:highlight w:val="none"/>
          <w:lang w:eastAsia="zh-CN"/>
        </w:rPr>
        <w:t>了以前年度周转房、幼儿园校舍工程项目支出。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2023年度一般公共预算财政拨款支出2,633.60万元，占本年支出合计的</w:t>
      </w:r>
      <w:r>
        <w:rPr>
          <w:rFonts w:hint="eastAsia" w:ascii="仿宋_GB2312" w:eastAsia="仿宋_GB2312"/>
          <w:color w:val="auto"/>
          <w:spacing w:val="0"/>
          <w:sz w:val="32"/>
          <w:szCs w:val="32"/>
          <w:highlight w:val="none"/>
          <w:lang w:val="zh-CN" w:eastAsia="zh-CN"/>
        </w:rPr>
        <w:t>100.00%</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减少130.46万元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下降4.72%,</w:t>
      </w:r>
      <w:r>
        <w:rPr>
          <w:rFonts w:hint="eastAsia" w:ascii="仿宋_GB2312" w:eastAsia="仿宋_GB2312"/>
          <w:color w:val="auto"/>
          <w:spacing w:val="0"/>
          <w:sz w:val="32"/>
          <w:szCs w:val="32"/>
          <w:highlight w:val="none"/>
          <w:lang w:eastAsia="zh-CN"/>
        </w:rPr>
        <w:t>主要原因是：2022年有综合楼项目工程款4百余万元，2023年仅有部分校舍维修项目，所以支出较上年减少。与年初预算相比，年初预算数</w:t>
      </w:r>
      <w:r>
        <w:rPr>
          <w:rFonts w:hint="eastAsia" w:ascii="仿宋_GB2312" w:eastAsia="仿宋_GB2312"/>
          <w:color w:val="auto"/>
          <w:spacing w:val="0"/>
          <w:sz w:val="32"/>
          <w:szCs w:val="32"/>
          <w:highlight w:val="none"/>
          <w:lang w:val="zh-CN" w:eastAsia="zh-CN"/>
        </w:rPr>
        <w:t>2,172.16</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2,633.60</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21.24%</w:t>
      </w:r>
      <w:r>
        <w:rPr>
          <w:rFonts w:hint="eastAsia" w:ascii="仿宋_GB2312" w:eastAsia="仿宋_GB2312"/>
          <w:color w:val="auto"/>
          <w:spacing w:val="0"/>
          <w:sz w:val="32"/>
          <w:szCs w:val="32"/>
          <w:highlight w:val="none"/>
          <w:lang w:eastAsia="zh-CN"/>
        </w:rPr>
        <w:t>，主要原因是：2023年人员工资增资，同时与预算相比还</w:t>
      </w:r>
      <w:r>
        <w:rPr>
          <w:rFonts w:hint="eastAsia" w:ascii="仿宋_GB2312" w:eastAsia="仿宋_GB2312"/>
          <w:color w:val="auto"/>
          <w:spacing w:val="0"/>
          <w:sz w:val="32"/>
          <w:szCs w:val="32"/>
          <w:highlight w:val="none"/>
          <w:lang w:val="en-US" w:eastAsia="zh-CN"/>
        </w:rPr>
        <w:t>追加</w:t>
      </w:r>
      <w:r>
        <w:rPr>
          <w:rFonts w:hint="eastAsia" w:ascii="仿宋_GB2312" w:eastAsia="仿宋_GB2312"/>
          <w:color w:val="auto"/>
          <w:spacing w:val="0"/>
          <w:sz w:val="32"/>
          <w:szCs w:val="32"/>
          <w:highlight w:val="none"/>
          <w:lang w:eastAsia="zh-CN"/>
        </w:rPr>
        <w:t>了以前年度周转房、幼儿园校舍工程项目支出。</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keepNext w:val="0"/>
        <w:keepLines w:val="0"/>
        <w:pageBreakBefore w:val="0"/>
        <w:widowControl w:val="0"/>
        <w:numPr>
          <w:ilvl w:val="0"/>
          <w:numId w:val="2"/>
        </w:numPr>
        <w:kinsoku/>
        <w:wordWrap/>
        <w:overflowPunct/>
        <w:topLinePunct w:val="0"/>
        <w:autoSpaceDE/>
        <w:autoSpaceDN/>
        <w:bidi w:val="0"/>
        <w:adjustRightInd/>
        <w:snapToGrid/>
        <w:spacing w:line="240" w:lineRule="auto"/>
        <w:ind w:firstLine="640" w:firstLineChars="200"/>
        <w:jc w:val="left"/>
        <w:textAlignment w:val="auto"/>
        <w:outlineLvl w:val="2"/>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教育支出（类）2,633.60万元，占100.00%。</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1.教育支出（类）教育费附加安排的支出（款）其他教育费附加安排的支出（项）:支出决算数为61.05万元，比上年决算增加33.05万元，增长118.04%，主要原因是：</w:t>
      </w:r>
      <w:r>
        <w:rPr>
          <w:rFonts w:hint="eastAsia" w:ascii="仿宋_GB2312" w:hAnsi="仿宋_GB2312" w:eastAsia="仿宋_GB2312" w:cs="仿宋_GB2312"/>
          <w:color w:val="auto"/>
          <w:kern w:val="2"/>
          <w:sz w:val="32"/>
          <w:szCs w:val="32"/>
          <w:highlight w:val="none"/>
          <w:lang w:val="zh-CN" w:eastAsia="zh-CN" w:bidi="ar-SA"/>
        </w:rPr>
        <w:t>2023年财政拨付的以前年度周转房、幼儿园校舍工程款较上年增加较多。</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2.教育支出（类）普通教育（款）小学教育（项）:支出决算数为1,947.52万元，比上年决算减少337.74万元，下降14.78%，主要原因是：</w:t>
      </w:r>
      <w:r>
        <w:rPr>
          <w:rFonts w:hint="eastAsia" w:ascii="仿宋_GB2312" w:hAnsi="仿宋_GB2312" w:eastAsia="仿宋_GB2312" w:cs="仿宋_GB2312"/>
          <w:color w:val="auto"/>
          <w:kern w:val="2"/>
          <w:sz w:val="32"/>
          <w:szCs w:val="32"/>
          <w:highlight w:val="none"/>
          <w:lang w:val="zh-CN" w:eastAsia="zh-CN" w:bidi="ar-SA"/>
        </w:rPr>
        <w:t>2022年有综合楼项目工程款4百余万元，2023年仅有部分维修项目，所以项目支出较上年减少。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kern w:val="2"/>
          <w:sz w:val="32"/>
          <w:szCs w:val="32"/>
          <w:highlight w:val="none"/>
          <w:lang w:val="zh-CN" w:eastAsia="zh-CN" w:bidi="ar-SA"/>
        </w:rPr>
      </w:pPr>
      <w:r>
        <w:rPr>
          <w:rFonts w:hint="eastAsia" w:ascii="仿宋_GB2312" w:hAnsi="仿宋_GB2312" w:eastAsia="仿宋_GB2312" w:cs="仿宋_GB2312"/>
          <w:color w:val="auto"/>
          <w:kern w:val="2"/>
          <w:sz w:val="32"/>
          <w:szCs w:val="32"/>
          <w:highlight w:val="none"/>
          <w:lang w:val="en-US" w:eastAsia="zh-CN" w:bidi="ar-SA"/>
        </w:rPr>
        <w:t>3.教育支出（类）普通教育（款）学前教育（项）:支出决算数为625.04万元，比上年决算增加174.24万元，增长38.65%，主要原因是：</w:t>
      </w:r>
      <w:r>
        <w:rPr>
          <w:rFonts w:hint="eastAsia" w:ascii="仿宋_GB2312" w:hAnsi="仿宋_GB2312" w:eastAsia="仿宋_GB2312" w:cs="仿宋_GB2312"/>
          <w:color w:val="auto"/>
          <w:kern w:val="2"/>
          <w:sz w:val="32"/>
          <w:szCs w:val="32"/>
          <w:highlight w:val="none"/>
          <w:lang w:val="zh-CN" w:eastAsia="zh-CN" w:bidi="ar-SA"/>
        </w:rPr>
        <w:t>2023年财政拨付了2020-2022年的市配保教费及伙食费资金。所以总体支出较上年有增长。</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2,082.12</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2,076.68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基本工资、津贴补贴、奖金、绩效工资、机关事业单位基本养老保险缴费、职业年金缴费、职工基本医疗保险缴费、其他社会保障缴费、住房公积金、其他工资福利支出、退休费、抚恤金、生活补助、奖励金。</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default" w:ascii="仿宋_GB2312" w:eastAsia="仿宋_GB2312"/>
          <w:color w:val="auto"/>
          <w:sz w:val="32"/>
          <w:szCs w:val="32"/>
          <w:highlight w:val="none"/>
          <w:lang w:val="en-US" w:eastAsia="zh-CN"/>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5.44</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工会经费。</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2023年度财政拨款“三公”经费支出0.00万元，比上年增加0.00万元，增长0.00%,主要原因是：2023年沙湾市博尔通古乡中心校无“三公”经费支出。其中：因公出国（境）费支出0.00万元，占0.00%，比上年增加0.00万元，增长0.00%,主要原因是：我单位无出国（境）费支出；公务用车购置及运行维护费支出0.00万元，占0.00%，比上年增加0.00万元，增长0.00%,主要原因是：我单位无公务用车购置及运行维护费支出；公务接待费支出0.00万元，占0.00%，比上年增加0.00万元，增长0.00%,主要原因是：我单位无公务接待费支出。</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具体情况如下：</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val="zh-CN" w:eastAsia="zh-CN"/>
        </w:rPr>
      </w:pPr>
      <w:bookmarkStart w:id="18" w:name="_Toc7927"/>
      <w:bookmarkStart w:id="19" w:name="_Toc5810"/>
      <w:r>
        <w:rPr>
          <w:rFonts w:hint="eastAsia" w:ascii="仿宋_GB2312" w:eastAsia="仿宋_GB2312"/>
          <w:color w:val="auto"/>
          <w:sz w:val="32"/>
          <w:szCs w:val="32"/>
          <w:highlight w:val="none"/>
          <w:lang w:val="zh-CN" w:eastAsia="zh-CN"/>
        </w:rPr>
        <w:t>因公出国（境）费支出0.00万元，开支内容</w:t>
      </w:r>
      <w:r>
        <w:rPr>
          <w:rFonts w:hint="eastAsia" w:ascii="仿宋_GB2312" w:eastAsia="仿宋_GB2312"/>
          <w:color w:val="auto"/>
          <w:sz w:val="32"/>
          <w:szCs w:val="32"/>
          <w:highlight w:val="none"/>
          <w:lang w:val="en-US" w:eastAsia="zh-CN"/>
        </w:rPr>
        <w:t>包括</w:t>
      </w:r>
      <w:r>
        <w:rPr>
          <w:rFonts w:hint="eastAsia" w:ascii="仿宋_GB2312" w:eastAsia="仿宋_GB2312"/>
          <w:color w:val="auto"/>
          <w:sz w:val="32"/>
          <w:szCs w:val="32"/>
          <w:highlight w:val="none"/>
          <w:lang w:val="zh-CN" w:eastAsia="zh-CN"/>
        </w:rPr>
        <w:t>我单位无因公出国（境）费支出。单位全年安排的因公出国（境）团组0个，因公出国（境）0人次。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公务用车购置及运行维护费0.00万元，其中：公务用车购置费0.00万元，公务用车运行维护费0.00万元。公务用车运行维护费开支内容</w:t>
      </w:r>
      <w:r>
        <w:rPr>
          <w:rFonts w:hint="eastAsia" w:ascii="仿宋_GB2312" w:eastAsia="仿宋_GB2312"/>
          <w:color w:val="auto"/>
          <w:sz w:val="32"/>
          <w:szCs w:val="32"/>
          <w:highlight w:val="none"/>
          <w:lang w:val="en-US" w:eastAsia="zh-CN"/>
        </w:rPr>
        <w:t>包括</w:t>
      </w:r>
      <w:r>
        <w:rPr>
          <w:rFonts w:hint="eastAsia" w:ascii="仿宋_GB2312" w:eastAsia="仿宋_GB2312"/>
          <w:color w:val="auto"/>
          <w:sz w:val="32"/>
          <w:szCs w:val="32"/>
          <w:highlight w:val="none"/>
          <w:lang w:val="zh-CN" w:eastAsia="zh-CN"/>
        </w:rPr>
        <w:t>我单位无公务用车购置费支出。公务用车购置数0辆，公务用车保有量0辆。国有资产占用情况中固定资产车辆0辆，与公务用车保有量差异原因是：我单位无公务用车。</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公务接待费0.00万元，开支内容</w:t>
      </w:r>
      <w:r>
        <w:rPr>
          <w:rFonts w:hint="eastAsia" w:ascii="仿宋_GB2312" w:eastAsia="仿宋_GB2312"/>
          <w:color w:val="auto"/>
          <w:sz w:val="32"/>
          <w:szCs w:val="32"/>
          <w:highlight w:val="none"/>
          <w:lang w:val="en-US" w:eastAsia="zh-CN"/>
        </w:rPr>
        <w:t>包括</w:t>
      </w:r>
      <w:r>
        <w:rPr>
          <w:rFonts w:hint="eastAsia" w:ascii="仿宋_GB2312" w:eastAsia="仿宋_GB2312"/>
          <w:color w:val="auto"/>
          <w:sz w:val="32"/>
          <w:szCs w:val="32"/>
          <w:highlight w:val="none"/>
          <w:lang w:val="zh-CN" w:eastAsia="zh-CN"/>
        </w:rPr>
        <w:t>我单位无公务接待费。单位全年安排的国内公务接待0批次，0人次。</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仿宋_GB2312" w:eastAsia="仿宋_GB2312"/>
          <w:color w:val="auto"/>
          <w:sz w:val="32"/>
          <w:szCs w:val="32"/>
          <w:highlight w:val="none"/>
          <w:lang w:val="zh-CN" w:eastAsia="zh-CN"/>
        </w:rPr>
      </w:pPr>
      <w:r>
        <w:rPr>
          <w:rFonts w:hint="eastAsia" w:ascii="仿宋_GB2312" w:eastAsia="仿宋_GB2312"/>
          <w:color w:val="auto"/>
          <w:sz w:val="32"/>
          <w:szCs w:val="32"/>
          <w:highlight w:val="none"/>
          <w:lang w:val="zh-CN" w:eastAsia="zh-CN"/>
        </w:rPr>
        <w:t>与全年预算相比,财政拨款“三公”经费支出全年预算数0.00万元，决算数0.00万元，预决算差异率0.00%，主要原因是：我单位未安排“三公”经费支出，预决算无差异。其中：因公出国（境）费全年预算数0.00万元，决算数0.00万元，预决算差异率0.00%，主要原因是：我单位未安排因公出国（境）费，预决算无差异；公务用车购置费全年预算数0.00万元，决算数0.00万元，预决算差异率0.00%，主要原因是：我单位未安排公务用车购置费，预决算无差异；公务用车运行费全年预算数0.00万元，决算数0.00万元，预决算差异率0.00%，主要原因是：我单位未安排公务用车运行费；公务接待费全年预算数0.00万元，决算数0.00万元，预决算差异率0.00%，主要原因是：我单位未安排公务接待费，预决算无差异。</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单位</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4519"/>
      <w:bookmarkStart w:id="23" w:name="_Toc13105"/>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仿宋_GB2312" w:hAnsi="仿宋_GB2312" w:eastAsia="仿宋_GB2312" w:cs="仿宋_GB2312"/>
          <w:color w:val="auto"/>
          <w:sz w:val="32"/>
          <w:szCs w:val="32"/>
          <w:highlight w:val="none"/>
          <w:lang w:val="en-US" w:eastAsia="zh-CN"/>
        </w:rPr>
      </w:pPr>
      <w:bookmarkStart w:id="24" w:name="_Toc26704"/>
      <w:bookmarkStart w:id="25" w:name="_Toc227"/>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en-US" w:eastAsia="zh-CN"/>
        </w:rPr>
        <w:t>沙湾市博尔通古乡中心学校（事业单位）公用经费支出5.44万元，</w:t>
      </w:r>
      <w:r>
        <w:rPr>
          <w:rFonts w:hint="eastAsia" w:ascii="仿宋_GB2312" w:hAnsi="仿宋_GB2312" w:eastAsia="仿宋_GB2312" w:cs="仿宋_GB2312"/>
          <w:color w:val="auto"/>
          <w:sz w:val="32"/>
          <w:szCs w:val="32"/>
          <w:highlight w:val="none"/>
          <w:lang w:val="zh-CN" w:eastAsia="zh-CN"/>
        </w:rPr>
        <w:t>比上年减少23.62万元，下降81.28%，主要原因是：2022年包含调整的财聘人员工资在劳务费列支，2023年仅包含工会经费支出，</w:t>
      </w:r>
      <w:r>
        <w:rPr>
          <w:rFonts w:hint="eastAsia" w:ascii="仿宋_GB2312" w:hAnsi="仿宋_GB2312" w:eastAsia="仿宋_GB2312" w:cs="仿宋_GB2312"/>
          <w:color w:val="auto"/>
          <w:sz w:val="32"/>
          <w:szCs w:val="32"/>
          <w:highlight w:val="none"/>
          <w:lang w:val="en-US" w:eastAsia="zh-CN"/>
        </w:rPr>
        <w:t>没有财聘</w:t>
      </w:r>
      <w:r>
        <w:rPr>
          <w:rFonts w:hint="eastAsia" w:ascii="仿宋_GB2312" w:hAnsi="仿宋_GB2312" w:eastAsia="仿宋_GB2312" w:cs="仿宋_GB2312"/>
          <w:color w:val="auto"/>
          <w:sz w:val="32"/>
          <w:szCs w:val="32"/>
          <w:highlight w:val="none"/>
          <w:lang w:val="zh-CN" w:eastAsia="zh-CN"/>
        </w:rPr>
        <w:t>支出，</w:t>
      </w:r>
      <w:r>
        <w:rPr>
          <w:rFonts w:hint="eastAsia" w:ascii="仿宋_GB2312" w:hAnsi="仿宋_GB2312" w:eastAsia="仿宋_GB2312" w:cs="仿宋_GB2312"/>
          <w:color w:val="auto"/>
          <w:sz w:val="32"/>
          <w:szCs w:val="32"/>
          <w:highlight w:val="none"/>
          <w:lang w:val="en-US" w:eastAsia="zh-CN"/>
        </w:rPr>
        <w:t>所以2023年公用经费</w:t>
      </w:r>
      <w:bookmarkStart w:id="48" w:name="_GoBack"/>
      <w:bookmarkEnd w:id="48"/>
      <w:r>
        <w:rPr>
          <w:rFonts w:hint="eastAsia" w:ascii="仿宋_GB2312" w:hAnsi="仿宋_GB2312" w:eastAsia="仿宋_GB2312" w:cs="仿宋_GB2312"/>
          <w:color w:val="auto"/>
          <w:sz w:val="32"/>
          <w:szCs w:val="32"/>
          <w:highlight w:val="none"/>
          <w:lang w:val="en-US" w:eastAsia="zh-CN"/>
        </w:rPr>
        <w:t>比2022年少。</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rPr>
      </w:pPr>
      <w:r>
        <w:rPr>
          <w:rFonts w:hint="eastAsia" w:ascii="仿宋_GB2312" w:hAnsi="仿宋_GB2312" w:eastAsia="仿宋_GB2312" w:cs="仿宋_GB2312"/>
          <w:color w:val="auto"/>
          <w:sz w:val="32"/>
          <w:szCs w:val="32"/>
          <w:highlight w:val="none"/>
          <w:lang w:val="zh-CN" w:eastAsia="zh-CN"/>
        </w:rPr>
        <w:t>2023年度</w:t>
      </w:r>
      <w:r>
        <w:rPr>
          <w:rFonts w:hint="eastAsia" w:ascii="仿宋_GB2312" w:hAnsi="仿宋_GB2312" w:eastAsia="仿宋_GB2312" w:cs="仿宋_GB2312"/>
          <w:color w:val="auto"/>
          <w:sz w:val="32"/>
          <w:szCs w:val="32"/>
          <w:highlight w:val="none"/>
          <w:lang w:val="zh-CN"/>
        </w:rPr>
        <w:t>政府采购支出总额</w:t>
      </w:r>
      <w:r>
        <w:rPr>
          <w:rFonts w:hint="eastAsia" w:ascii="仿宋_GB2312" w:hAnsi="仿宋_GB2312" w:eastAsia="仿宋_GB2312" w:cs="仿宋_GB2312"/>
          <w:color w:val="auto"/>
          <w:sz w:val="32"/>
          <w:szCs w:val="32"/>
          <w:highlight w:val="none"/>
          <w:lang w:val="zh-CN" w:eastAsia="zh-CN"/>
        </w:rPr>
        <w:t>16.73万元</w:t>
      </w:r>
      <w:r>
        <w:rPr>
          <w:rFonts w:hint="eastAsia" w:ascii="仿宋_GB2312" w:hAnsi="仿宋_GB2312" w:eastAsia="仿宋_GB2312" w:cs="仿宋_GB2312"/>
          <w:color w:val="auto"/>
          <w:sz w:val="32"/>
          <w:szCs w:val="32"/>
          <w:highlight w:val="none"/>
          <w:lang w:val="zh-CN"/>
        </w:rPr>
        <w:t>，</w:t>
      </w:r>
      <w:r>
        <w:rPr>
          <w:rFonts w:hint="eastAsia" w:ascii="仿宋_GB2312" w:hAnsi="仿宋_GB2312" w:eastAsia="仿宋_GB2312" w:cs="仿宋_GB2312"/>
          <w:color w:val="auto"/>
          <w:sz w:val="32"/>
          <w:szCs w:val="32"/>
          <w:highlight w:val="none"/>
          <w:lang w:val="zh-CN" w:eastAsia="zh-CN"/>
        </w:rPr>
        <w:t>其中：政府采购货物支出10.71万元、政府采购工程支出0.00万元、政府采购服务支出6.02万元。</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zh-CN" w:eastAsia="zh-CN"/>
        </w:rPr>
        <w:t>授予中小企业合同金额16.73万元，占政府采购支出总额的100.00%，其中：授予小微企业合同金额16.73万元，占政府采购支出总额的100.00%</w:t>
      </w:r>
      <w:r>
        <w:rPr>
          <w:rFonts w:hint="eastAsia" w:ascii="仿宋_GB2312" w:hAnsi="仿宋_GB2312" w:eastAsia="仿宋_GB2312" w:cs="仿宋_GB2312"/>
          <w:color w:val="auto"/>
          <w:sz w:val="32"/>
          <w:szCs w:val="32"/>
          <w:highlight w:val="none"/>
          <w:lang w:val="en-US" w:eastAsia="zh-CN"/>
        </w:rPr>
        <w:t>。</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textAlignment w:val="auto"/>
        <w:rPr>
          <w:rFonts w:hint="eastAsia" w:ascii="Times New Roman" w:hAnsi="Times New Roman" w:eastAsia="黑体" w:cs="Times New Roman"/>
          <w:color w:val="auto"/>
          <w:sz w:val="32"/>
          <w:szCs w:val="30"/>
          <w:highlight w:val="none"/>
          <w:lang w:val="zh-CN" w:eastAsia="zh-CN"/>
        </w:rPr>
      </w:pPr>
      <w:bookmarkStart w:id="26" w:name="_Toc4591"/>
      <w:bookmarkStart w:id="27" w:name="_Toc83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en-US" w:eastAsia="zh-CN"/>
        </w:rPr>
        <w:t>截至2023</w:t>
      </w:r>
      <w:r>
        <w:rPr>
          <w:rFonts w:hint="eastAsia" w:ascii="仿宋_GB2312" w:hAnsi="仿宋_GB2312" w:eastAsia="仿宋_GB2312" w:cs="仿宋_GB2312"/>
          <w:color w:val="auto"/>
          <w:sz w:val="32"/>
          <w:szCs w:val="32"/>
          <w:highlight w:val="none"/>
          <w:lang w:val="zh-CN" w:eastAsia="zh-CN"/>
        </w:rPr>
        <w:t>年</w:t>
      </w:r>
      <w:r>
        <w:rPr>
          <w:rFonts w:hint="eastAsia" w:ascii="仿宋_GB2312" w:hAnsi="仿宋_GB2312" w:eastAsia="仿宋_GB2312" w:cs="仿宋_GB2312"/>
          <w:color w:val="auto"/>
          <w:sz w:val="32"/>
          <w:szCs w:val="32"/>
          <w:highlight w:val="none"/>
          <w:lang w:val="en-US" w:eastAsia="zh-CN"/>
        </w:rPr>
        <w:t>12月31日</w:t>
      </w:r>
      <w:r>
        <w:rPr>
          <w:rFonts w:hint="eastAsia" w:ascii="仿宋_GB2312" w:hAnsi="仿宋_GB2312" w:eastAsia="仿宋_GB2312" w:cs="仿宋_GB2312"/>
          <w:color w:val="auto"/>
          <w:sz w:val="32"/>
          <w:szCs w:val="32"/>
          <w:highlight w:val="none"/>
          <w:lang w:val="zh-CN" w:eastAsia="zh-CN"/>
        </w:rPr>
        <w:t>，</w:t>
      </w:r>
      <w:r>
        <w:rPr>
          <w:rFonts w:hint="eastAsia" w:ascii="仿宋_GB2312" w:hAnsi="仿宋_GB2312" w:eastAsia="仿宋_GB2312" w:cs="仿宋_GB2312"/>
          <w:color w:val="auto"/>
          <w:sz w:val="32"/>
          <w:szCs w:val="32"/>
          <w:highlight w:val="none"/>
          <w:lang w:val="en-US" w:eastAsia="zh-CN"/>
        </w:rPr>
        <w:t>固定资产原值</w:t>
      </w:r>
      <w:r>
        <w:rPr>
          <w:rFonts w:hint="eastAsia" w:ascii="仿宋_GB2312" w:hAnsi="仿宋_GB2312" w:eastAsia="仿宋_GB2312" w:cs="仿宋_GB2312"/>
          <w:color w:val="auto"/>
          <w:sz w:val="32"/>
          <w:szCs w:val="32"/>
          <w:highlight w:val="none"/>
          <w:lang w:val="zh-CN" w:eastAsia="zh-CN"/>
        </w:rPr>
        <w:t>2,440.77</w:t>
      </w:r>
      <w:r>
        <w:rPr>
          <w:rFonts w:hint="eastAsia" w:ascii="仿宋_GB2312" w:hAnsi="仿宋_GB2312" w:eastAsia="仿宋_GB2312" w:cs="仿宋_GB2312"/>
          <w:color w:val="auto"/>
          <w:sz w:val="32"/>
          <w:szCs w:val="32"/>
          <w:highlight w:val="none"/>
          <w:lang w:val="en-US" w:eastAsia="zh-CN"/>
        </w:rPr>
        <w:t>万元，房</w:t>
      </w:r>
      <w:r>
        <w:rPr>
          <w:rFonts w:hint="eastAsia" w:ascii="仿宋_GB2312" w:hAnsi="仿宋_GB2312" w:eastAsia="仿宋_GB2312" w:cs="仿宋_GB2312"/>
          <w:color w:val="auto"/>
          <w:sz w:val="32"/>
          <w:szCs w:val="32"/>
          <w:highlight w:val="none"/>
          <w:lang w:val="zh-CN" w:eastAsia="zh-CN"/>
        </w:rPr>
        <w:t>屋15,647.84平方米，价值2,107.13万元。车辆0辆，价值0.00万元，其中：副部（省）级及以上领导用车0辆、主要</w:t>
      </w:r>
      <w:r>
        <w:rPr>
          <w:rFonts w:hint="eastAsia" w:ascii="仿宋_GB2312" w:hAnsi="仿宋_GB2312" w:eastAsia="仿宋_GB2312" w:cs="仿宋_GB2312"/>
          <w:color w:val="auto"/>
          <w:sz w:val="32"/>
          <w:szCs w:val="32"/>
          <w:highlight w:val="none"/>
          <w:lang w:val="en-US" w:eastAsia="zh-CN"/>
        </w:rPr>
        <w:t>负责人</w:t>
      </w:r>
      <w:r>
        <w:rPr>
          <w:rFonts w:hint="eastAsia" w:ascii="仿宋_GB2312" w:hAnsi="仿宋_GB2312" w:eastAsia="仿宋_GB2312" w:cs="仿宋_GB2312"/>
          <w:color w:val="auto"/>
          <w:sz w:val="32"/>
          <w:szCs w:val="32"/>
          <w:highlight w:val="none"/>
          <w:lang w:val="zh-CN" w:eastAsia="zh-CN"/>
        </w:rPr>
        <w:t>用车0辆、机要通信用车0辆、应急保障用车0辆、执法执勤用车0辆、特种专业技术用车0辆、离退休干部</w:t>
      </w:r>
      <w:r>
        <w:rPr>
          <w:rFonts w:hint="eastAsia" w:ascii="仿宋_GB2312" w:hAnsi="仿宋_GB2312" w:eastAsia="仿宋_GB2312" w:cs="仿宋_GB2312"/>
          <w:color w:val="auto"/>
          <w:sz w:val="32"/>
          <w:szCs w:val="32"/>
          <w:highlight w:val="none"/>
          <w:lang w:val="en-US" w:eastAsia="zh-CN"/>
        </w:rPr>
        <w:t>服务</w:t>
      </w:r>
      <w:r>
        <w:rPr>
          <w:rFonts w:hint="eastAsia" w:ascii="仿宋_GB2312" w:hAnsi="仿宋_GB2312" w:eastAsia="仿宋_GB2312" w:cs="仿宋_GB2312"/>
          <w:color w:val="auto"/>
          <w:sz w:val="32"/>
          <w:szCs w:val="32"/>
          <w:highlight w:val="none"/>
          <w:lang w:val="zh-CN" w:eastAsia="zh-CN"/>
        </w:rPr>
        <w:t>用车0辆、其他用车0辆，其他用车主要是：我单位无其他用车；单价100万元（含）以上设备（不含车辆）0</w:t>
      </w:r>
      <w:r>
        <w:rPr>
          <w:rFonts w:hint="eastAsia" w:ascii="仿宋_GB2312" w:hAnsi="仿宋_GB2312" w:eastAsia="仿宋_GB2312" w:cs="仿宋_GB2312"/>
          <w:color w:val="auto"/>
          <w:sz w:val="32"/>
          <w:szCs w:val="32"/>
          <w:highlight w:val="none"/>
          <w:lang w:val="en-US" w:eastAsia="zh-CN"/>
        </w:rPr>
        <w:t>台（</w:t>
      </w:r>
      <w:r>
        <w:rPr>
          <w:rFonts w:hint="eastAsia" w:ascii="仿宋_GB2312" w:hAnsi="仿宋_GB2312" w:eastAsia="仿宋_GB2312" w:cs="仿宋_GB2312"/>
          <w:color w:val="auto"/>
          <w:sz w:val="32"/>
          <w:szCs w:val="32"/>
          <w:highlight w:val="none"/>
          <w:lang w:val="zh-CN" w:eastAsia="zh-CN"/>
        </w:rPr>
        <w:t>套）。</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11283"/>
      <w:bookmarkStart w:id="29" w:name="_Toc435"/>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left"/>
        <w:textAlignment w:val="auto"/>
        <w:rPr>
          <w:rFonts w:hint="eastAsia" w:ascii="仿宋_GB2312" w:hAnsi="仿宋_GB2312" w:eastAsia="仿宋_GB2312" w:cs="仿宋_GB2312"/>
          <w:color w:val="auto"/>
          <w:sz w:val="32"/>
          <w:szCs w:val="32"/>
          <w:highlight w:val="none"/>
          <w:lang w:val="zh-CN" w:eastAsia="zh-CN"/>
        </w:rPr>
      </w:pPr>
      <w:r>
        <w:rPr>
          <w:rFonts w:hint="eastAsia" w:ascii="仿宋_GB2312" w:hAnsi="仿宋_GB2312" w:eastAsia="仿宋_GB2312" w:cs="仿宋_GB2312"/>
          <w:color w:val="auto"/>
          <w:sz w:val="32"/>
          <w:szCs w:val="32"/>
          <w:highlight w:val="none"/>
          <w:lang w:val="zh-CN" w:eastAsia="zh-CN"/>
        </w:rPr>
        <w:t>根据预算绩效管理要求，我单位2023年度预算绩效管理整体支出绩效自评表1个，全年预算总额2633.59万元，实际执行总额2633.59万元；预算绩效评价项目11个，全年预算数551.48万元，全年执行数551.48万元，本单位sm项目1个，全年预算数61.05万元，全年执行数61.05万元，不予以公开。预算绩效管理取得的成效：一是通过该项目的实施，改善了办学条件，为教育教学提供良好的硬件软件环境；二是保障了学校正常运转、改善了我校教师工作环境、教学环境。发现的问题及原因：一是项目绩效目标设置需要更加科学、合理，完整；二是项目绩效监控需要更加严格，规范。下一步改进措施：一是加强项目资金管理，做到手续完备、专账管理，专人负责、专户存储、账目清楚；二是提高工作效率，加强支付力度。具体项目自评情况附绩效自评表及自评报告。</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keepNext w:val="0"/>
        <w:keepLines w:val="0"/>
        <w:pageBreakBefore w:val="0"/>
        <w:widowControl w:val="0"/>
        <w:kinsoku/>
        <w:wordWrap/>
        <w:overflowPunct/>
        <w:topLinePunct w:val="0"/>
        <w:bidi w:val="0"/>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z w:val="32"/>
          <w:szCs w:val="32"/>
          <w:highlight w:val="none"/>
          <w:lang w:val="en-US" w:eastAsia="zh-CN"/>
        </w:rPr>
        <w:t>本单位sm项目1个，全年预算数61.05万元，全年执行数61.05万元，不予以公开绩效自评表。</w:t>
      </w:r>
      <w:bookmarkStart w:id="30" w:name="_Toc24143"/>
      <w:bookmarkStart w:id="31" w:name="_Toc3250"/>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outlineLvl w:val="0"/>
        <w:rPr>
          <w:rFonts w:hint="eastAsia" w:ascii="仿宋_GB2312" w:hAnsi="仿宋_GB2312" w:eastAsia="仿宋_GB2312" w:cs="仿宋_GB2312"/>
          <w:color w:val="auto"/>
          <w:kern w:val="0"/>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keepNext w:val="0"/>
        <w:keepLines w:val="0"/>
        <w:pageBreakBefore w:val="0"/>
        <w:widowControl w:val="0"/>
        <w:kinsoku/>
        <w:wordWrap/>
        <w:overflowPunct/>
        <w:topLinePunct w:val="0"/>
        <w:autoSpaceDE w:val="0"/>
        <w:autoSpaceDN w:val="0"/>
        <w:bidi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keepNext w:val="0"/>
        <w:keepLines w:val="0"/>
        <w:pageBreakBefore w:val="0"/>
        <w:widowControl w:val="0"/>
        <w:kinsoku/>
        <w:wordWrap/>
        <w:overflowPunct/>
        <w:topLinePunct w:val="0"/>
        <w:bidi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2183"/>
      <w:bookmarkStart w:id="33" w:name="_Toc6062"/>
      <w:r>
        <w:rPr>
          <w:rFonts w:hint="eastAsia" w:ascii="黑体" w:hAnsi="黑体" w:eastAsia="仿宋_GB2312" w:cs="宋体"/>
          <w:bCs/>
          <w:color w:val="auto"/>
          <w:kern w:val="0"/>
          <w:sz w:val="32"/>
          <w:szCs w:val="32"/>
          <w:highlight w:val="none"/>
        </w:rPr>
        <w:t>一、《收入支出决算总表》</w:t>
      </w:r>
      <w:bookmarkEnd w:id="32"/>
      <w:bookmarkEnd w:id="3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32434"/>
      <w:bookmarkStart w:id="37" w:name="_Toc21304"/>
      <w:r>
        <w:rPr>
          <w:rFonts w:hint="eastAsia" w:ascii="黑体" w:hAnsi="黑体" w:eastAsia="仿宋_GB2312" w:cs="宋体"/>
          <w:bCs/>
          <w:color w:val="auto"/>
          <w:kern w:val="0"/>
          <w:sz w:val="32"/>
          <w:szCs w:val="32"/>
          <w:highlight w:val="none"/>
        </w:rPr>
        <w:t>三、《支出决算表》</w:t>
      </w:r>
      <w:bookmarkEnd w:id="36"/>
      <w:bookmarkEnd w:id="3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14238"/>
      <w:bookmarkStart w:id="39" w:name="_Toc28786"/>
      <w:r>
        <w:rPr>
          <w:rFonts w:hint="eastAsia" w:ascii="黑体" w:hAnsi="黑体" w:eastAsia="仿宋_GB2312" w:cs="宋体"/>
          <w:bCs/>
          <w:color w:val="auto"/>
          <w:kern w:val="0"/>
          <w:sz w:val="32"/>
          <w:szCs w:val="32"/>
          <w:highlight w:val="none"/>
        </w:rPr>
        <w:t>四、《财政拨款收入支出决算总表》</w:t>
      </w:r>
      <w:bookmarkEnd w:id="38"/>
      <w:bookmarkEnd w:id="39"/>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32663"/>
      <w:bookmarkStart w:id="45" w:name="_Toc29106"/>
      <w:r>
        <w:rPr>
          <w:rFonts w:hint="eastAsia" w:ascii="黑体" w:hAnsi="黑体" w:eastAsia="仿宋_GB2312" w:cs="宋体"/>
          <w:bCs/>
          <w:color w:val="auto"/>
          <w:kern w:val="0"/>
          <w:sz w:val="32"/>
          <w:szCs w:val="32"/>
          <w:highlight w:val="none"/>
        </w:rPr>
        <w:t>《财政拨款“三公”经费支出决算表》</w:t>
      </w:r>
      <w:bookmarkEnd w:id="44"/>
      <w:bookmarkEnd w:id="45"/>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keepNext w:val="0"/>
        <w:keepLines w:val="0"/>
        <w:pageBreakBefore w:val="0"/>
        <w:widowControl w:val="0"/>
        <w:kinsoku/>
        <w:wordWrap/>
        <w:overflowPunct/>
        <w:topLinePunct w:val="0"/>
        <w:bidi w:val="0"/>
        <w:adjustRightInd/>
        <w:snapToGrid/>
        <w:spacing w:line="240" w:lineRule="auto"/>
        <w:ind w:firstLine="640" w:firstLineChars="200"/>
        <w:textAlignment w:val="auto"/>
        <w:rPr>
          <w:rFonts w:hint="eastAsia" w:ascii="仿宋_GB2312" w:eastAsia="仿宋_GB2312"/>
          <w:color w:val="auto"/>
          <w:sz w:val="32"/>
          <w:szCs w:val="32"/>
          <w:highlight w:val="none"/>
        </w:rPr>
      </w:pPr>
    </w:p>
    <w:p>
      <w:pPr>
        <w:keepNext w:val="0"/>
        <w:keepLines w:val="0"/>
        <w:pageBreakBefore w:val="0"/>
        <w:widowControl w:val="0"/>
        <w:kinsoku/>
        <w:wordWrap/>
        <w:overflowPunct/>
        <w:topLinePunct w:val="0"/>
        <w:autoSpaceDE/>
        <w:autoSpaceDN/>
        <w:bidi w:val="0"/>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913B74F"/>
    <w:multiLevelType w:val="singleLevel"/>
    <w:tmpl w:val="C913B74F"/>
    <w:lvl w:ilvl="0" w:tentative="0">
      <w:start w:val="1"/>
      <w:numFmt w:val="decimal"/>
      <w:lvlText w:val="%1."/>
      <w:lvlJc w:val="left"/>
      <w:pPr>
        <w:tabs>
          <w:tab w:val="left" w:pos="312"/>
        </w:tabs>
      </w:pPr>
    </w:lvl>
  </w:abstractNum>
  <w:abstractNum w:abstractNumId="1">
    <w:nsid w:val="103F031D"/>
    <w:multiLevelType w:val="singleLevel"/>
    <w:tmpl w:val="103F031D"/>
    <w:lvl w:ilvl="0" w:tentative="0">
      <w:start w:val="2"/>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Y2YTRiY2MxNzBjNjJlNzQzOWZlZjg1ZDMwYTBiOWUifQ=="/>
    <w:docVar w:name="KSO_WPS_MARK_KEY" w:val="41ee2a61-2d54-4f93-83be-afdb9a40d732"/>
  </w:docVars>
  <w:rsids>
    <w:rsidRoot w:val="00000000"/>
    <w:rsid w:val="00213C59"/>
    <w:rsid w:val="003210CE"/>
    <w:rsid w:val="00B70D59"/>
    <w:rsid w:val="00F52A8D"/>
    <w:rsid w:val="019404F8"/>
    <w:rsid w:val="01C30B6B"/>
    <w:rsid w:val="01ED22F2"/>
    <w:rsid w:val="02BD3108"/>
    <w:rsid w:val="02F73D26"/>
    <w:rsid w:val="034D4FEF"/>
    <w:rsid w:val="035D1785"/>
    <w:rsid w:val="039F47CE"/>
    <w:rsid w:val="03BD5310"/>
    <w:rsid w:val="03E05CE8"/>
    <w:rsid w:val="03F973EE"/>
    <w:rsid w:val="043E5B56"/>
    <w:rsid w:val="04C04386"/>
    <w:rsid w:val="04D1736D"/>
    <w:rsid w:val="04D96608"/>
    <w:rsid w:val="04F210E4"/>
    <w:rsid w:val="04FA68C4"/>
    <w:rsid w:val="053F5AE6"/>
    <w:rsid w:val="057C0B0F"/>
    <w:rsid w:val="05EF4B48"/>
    <w:rsid w:val="05F76ECA"/>
    <w:rsid w:val="06183A24"/>
    <w:rsid w:val="06792773"/>
    <w:rsid w:val="06FD75CA"/>
    <w:rsid w:val="07093795"/>
    <w:rsid w:val="07804730"/>
    <w:rsid w:val="079052BE"/>
    <w:rsid w:val="079E05EB"/>
    <w:rsid w:val="08145C21"/>
    <w:rsid w:val="08422688"/>
    <w:rsid w:val="085854ED"/>
    <w:rsid w:val="08637BDB"/>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172DAA"/>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896B85"/>
    <w:rsid w:val="169A0039"/>
    <w:rsid w:val="16D50C50"/>
    <w:rsid w:val="16E120E1"/>
    <w:rsid w:val="17385A05"/>
    <w:rsid w:val="173B3901"/>
    <w:rsid w:val="176747F9"/>
    <w:rsid w:val="17954A6E"/>
    <w:rsid w:val="17A57368"/>
    <w:rsid w:val="17BE2C86"/>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3F37CF"/>
    <w:rsid w:val="1FA15E62"/>
    <w:rsid w:val="1FB24B9B"/>
    <w:rsid w:val="1FED69B6"/>
    <w:rsid w:val="2064678E"/>
    <w:rsid w:val="20B572B5"/>
    <w:rsid w:val="20DC1AB9"/>
    <w:rsid w:val="20DD6197"/>
    <w:rsid w:val="212631E0"/>
    <w:rsid w:val="2138666F"/>
    <w:rsid w:val="21742080"/>
    <w:rsid w:val="21A53757"/>
    <w:rsid w:val="21F879E1"/>
    <w:rsid w:val="221236C6"/>
    <w:rsid w:val="22D7662C"/>
    <w:rsid w:val="23326B7F"/>
    <w:rsid w:val="2380045B"/>
    <w:rsid w:val="23BC04D2"/>
    <w:rsid w:val="23EF1892"/>
    <w:rsid w:val="2483647E"/>
    <w:rsid w:val="24A32D55"/>
    <w:rsid w:val="24CE6D9A"/>
    <w:rsid w:val="25292727"/>
    <w:rsid w:val="252E5CA9"/>
    <w:rsid w:val="256F7692"/>
    <w:rsid w:val="25BA2154"/>
    <w:rsid w:val="25C8773F"/>
    <w:rsid w:val="26235823"/>
    <w:rsid w:val="264A7253"/>
    <w:rsid w:val="26F0170C"/>
    <w:rsid w:val="26FE3B9A"/>
    <w:rsid w:val="27201D62"/>
    <w:rsid w:val="27286E73"/>
    <w:rsid w:val="27CF2642"/>
    <w:rsid w:val="27E777F5"/>
    <w:rsid w:val="27EA1D4C"/>
    <w:rsid w:val="27EA2E41"/>
    <w:rsid w:val="282459E2"/>
    <w:rsid w:val="283A7FE5"/>
    <w:rsid w:val="285F51FF"/>
    <w:rsid w:val="28DA4193"/>
    <w:rsid w:val="28DF2665"/>
    <w:rsid w:val="29072599"/>
    <w:rsid w:val="291029F3"/>
    <w:rsid w:val="29CB58F0"/>
    <w:rsid w:val="2A053397"/>
    <w:rsid w:val="2A145E96"/>
    <w:rsid w:val="2A2131BB"/>
    <w:rsid w:val="2AF5378F"/>
    <w:rsid w:val="2BB94DBF"/>
    <w:rsid w:val="2BF37410"/>
    <w:rsid w:val="2C6F314E"/>
    <w:rsid w:val="2CC206BE"/>
    <w:rsid w:val="2D1136DF"/>
    <w:rsid w:val="2D20606D"/>
    <w:rsid w:val="2D272520"/>
    <w:rsid w:val="2D6729FE"/>
    <w:rsid w:val="2DB87198"/>
    <w:rsid w:val="2DB93C54"/>
    <w:rsid w:val="2E3D144C"/>
    <w:rsid w:val="2E891204"/>
    <w:rsid w:val="2F3F0A28"/>
    <w:rsid w:val="2FBF7029"/>
    <w:rsid w:val="2FD0187F"/>
    <w:rsid w:val="2FD27414"/>
    <w:rsid w:val="2FFE4BB0"/>
    <w:rsid w:val="300E7B60"/>
    <w:rsid w:val="300F6E18"/>
    <w:rsid w:val="30862F5F"/>
    <w:rsid w:val="30A4775A"/>
    <w:rsid w:val="314029C9"/>
    <w:rsid w:val="31C63837"/>
    <w:rsid w:val="31C82E39"/>
    <w:rsid w:val="32601BAD"/>
    <w:rsid w:val="329F6389"/>
    <w:rsid w:val="3389023A"/>
    <w:rsid w:val="33CB74FA"/>
    <w:rsid w:val="343642F2"/>
    <w:rsid w:val="343F3010"/>
    <w:rsid w:val="345D0A00"/>
    <w:rsid w:val="34713BFD"/>
    <w:rsid w:val="34C13589"/>
    <w:rsid w:val="353369E3"/>
    <w:rsid w:val="35B21E0B"/>
    <w:rsid w:val="35E00D72"/>
    <w:rsid w:val="36965B9D"/>
    <w:rsid w:val="36C549FD"/>
    <w:rsid w:val="37A755DD"/>
    <w:rsid w:val="37F33BFE"/>
    <w:rsid w:val="37F94FA0"/>
    <w:rsid w:val="380D3381"/>
    <w:rsid w:val="38115B1F"/>
    <w:rsid w:val="385E3AC3"/>
    <w:rsid w:val="387D6B9E"/>
    <w:rsid w:val="38B75FF0"/>
    <w:rsid w:val="38D45016"/>
    <w:rsid w:val="38D90432"/>
    <w:rsid w:val="3914510A"/>
    <w:rsid w:val="3926770B"/>
    <w:rsid w:val="3982065B"/>
    <w:rsid w:val="398D3668"/>
    <w:rsid w:val="39DA0497"/>
    <w:rsid w:val="3A893816"/>
    <w:rsid w:val="3A893B6D"/>
    <w:rsid w:val="3AD1763A"/>
    <w:rsid w:val="3B196883"/>
    <w:rsid w:val="3B6716E3"/>
    <w:rsid w:val="3B6C6B2D"/>
    <w:rsid w:val="3C242659"/>
    <w:rsid w:val="3C96719C"/>
    <w:rsid w:val="3CA72BE8"/>
    <w:rsid w:val="3CDC1E1E"/>
    <w:rsid w:val="3CF37F8C"/>
    <w:rsid w:val="3D137554"/>
    <w:rsid w:val="3D5275AC"/>
    <w:rsid w:val="3DCC2473"/>
    <w:rsid w:val="3DEB0883"/>
    <w:rsid w:val="3E2527BF"/>
    <w:rsid w:val="3E70484C"/>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0E7733A"/>
    <w:rsid w:val="41431AD5"/>
    <w:rsid w:val="414B3C0F"/>
    <w:rsid w:val="417C1CE7"/>
    <w:rsid w:val="41900018"/>
    <w:rsid w:val="41944406"/>
    <w:rsid w:val="41CE128F"/>
    <w:rsid w:val="41DA6F12"/>
    <w:rsid w:val="42171FB1"/>
    <w:rsid w:val="42C10D7B"/>
    <w:rsid w:val="434E6957"/>
    <w:rsid w:val="43BA0E31"/>
    <w:rsid w:val="43C15147"/>
    <w:rsid w:val="43E14DD2"/>
    <w:rsid w:val="43F800E9"/>
    <w:rsid w:val="443A7E4B"/>
    <w:rsid w:val="444A7D08"/>
    <w:rsid w:val="452F5B3A"/>
    <w:rsid w:val="454E7FD2"/>
    <w:rsid w:val="46061BDC"/>
    <w:rsid w:val="461404F8"/>
    <w:rsid w:val="46413018"/>
    <w:rsid w:val="464B7E04"/>
    <w:rsid w:val="468041AA"/>
    <w:rsid w:val="468123C6"/>
    <w:rsid w:val="46901EEE"/>
    <w:rsid w:val="469C74D2"/>
    <w:rsid w:val="47445515"/>
    <w:rsid w:val="474B4782"/>
    <w:rsid w:val="47D90D14"/>
    <w:rsid w:val="47DE1152"/>
    <w:rsid w:val="48387FB0"/>
    <w:rsid w:val="483A6114"/>
    <w:rsid w:val="488727DB"/>
    <w:rsid w:val="48B82268"/>
    <w:rsid w:val="48C354B3"/>
    <w:rsid w:val="493D58B5"/>
    <w:rsid w:val="494A7A04"/>
    <w:rsid w:val="49605EF7"/>
    <w:rsid w:val="4A0A26D2"/>
    <w:rsid w:val="4A2019A5"/>
    <w:rsid w:val="4A241A0B"/>
    <w:rsid w:val="4A5C2BD7"/>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3C450E"/>
    <w:rsid w:val="518D0ED5"/>
    <w:rsid w:val="525C687F"/>
    <w:rsid w:val="52A3740A"/>
    <w:rsid w:val="52F647F7"/>
    <w:rsid w:val="52F92565"/>
    <w:rsid w:val="53AE735E"/>
    <w:rsid w:val="53D03877"/>
    <w:rsid w:val="542F73CA"/>
    <w:rsid w:val="5430786D"/>
    <w:rsid w:val="545A1D2A"/>
    <w:rsid w:val="54C811C0"/>
    <w:rsid w:val="556A442D"/>
    <w:rsid w:val="55DA564E"/>
    <w:rsid w:val="55E816A3"/>
    <w:rsid w:val="5604127D"/>
    <w:rsid w:val="56044E6C"/>
    <w:rsid w:val="56166703"/>
    <w:rsid w:val="56510474"/>
    <w:rsid w:val="56861525"/>
    <w:rsid w:val="56A93273"/>
    <w:rsid w:val="56BD550C"/>
    <w:rsid w:val="56E07045"/>
    <w:rsid w:val="56FF28AF"/>
    <w:rsid w:val="57540E7D"/>
    <w:rsid w:val="577B4878"/>
    <w:rsid w:val="57926973"/>
    <w:rsid w:val="57D1482F"/>
    <w:rsid w:val="58175352"/>
    <w:rsid w:val="581F2200"/>
    <w:rsid w:val="583059FA"/>
    <w:rsid w:val="584A0929"/>
    <w:rsid w:val="58CD2491"/>
    <w:rsid w:val="591B41B2"/>
    <w:rsid w:val="59254A26"/>
    <w:rsid w:val="59326325"/>
    <w:rsid w:val="595C505B"/>
    <w:rsid w:val="595E55C3"/>
    <w:rsid w:val="596E7E20"/>
    <w:rsid w:val="5A5D23AA"/>
    <w:rsid w:val="5A60780B"/>
    <w:rsid w:val="5AB34579"/>
    <w:rsid w:val="5AB40E78"/>
    <w:rsid w:val="5AF80B40"/>
    <w:rsid w:val="5AFC6609"/>
    <w:rsid w:val="5B113480"/>
    <w:rsid w:val="5BD456CE"/>
    <w:rsid w:val="5C0D1F49"/>
    <w:rsid w:val="5CBB0CE2"/>
    <w:rsid w:val="5CC17177"/>
    <w:rsid w:val="5CF306BC"/>
    <w:rsid w:val="5D3F3D64"/>
    <w:rsid w:val="5D833043"/>
    <w:rsid w:val="5DD92690"/>
    <w:rsid w:val="5DDB1CFD"/>
    <w:rsid w:val="5E7E6D93"/>
    <w:rsid w:val="5E82459B"/>
    <w:rsid w:val="5ED44800"/>
    <w:rsid w:val="5F350BDE"/>
    <w:rsid w:val="5F61632C"/>
    <w:rsid w:val="5FA17648"/>
    <w:rsid w:val="5FE705CB"/>
    <w:rsid w:val="6007714E"/>
    <w:rsid w:val="603D5080"/>
    <w:rsid w:val="606842D0"/>
    <w:rsid w:val="60D0261B"/>
    <w:rsid w:val="618E3791"/>
    <w:rsid w:val="61947DCA"/>
    <w:rsid w:val="61A46A97"/>
    <w:rsid w:val="61D1382F"/>
    <w:rsid w:val="61F114A2"/>
    <w:rsid w:val="622B0ABA"/>
    <w:rsid w:val="62512BB4"/>
    <w:rsid w:val="625D7D1A"/>
    <w:rsid w:val="62660469"/>
    <w:rsid w:val="62DD7D21"/>
    <w:rsid w:val="63183CD2"/>
    <w:rsid w:val="637D586B"/>
    <w:rsid w:val="63965C8F"/>
    <w:rsid w:val="63A5560B"/>
    <w:rsid w:val="63E9091F"/>
    <w:rsid w:val="64322AF9"/>
    <w:rsid w:val="64D6010D"/>
    <w:rsid w:val="64D82665"/>
    <w:rsid w:val="64E47C96"/>
    <w:rsid w:val="651E5741"/>
    <w:rsid w:val="655D7702"/>
    <w:rsid w:val="658128A4"/>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9F47AD7"/>
    <w:rsid w:val="6A2C39D4"/>
    <w:rsid w:val="6B68175F"/>
    <w:rsid w:val="6B842284"/>
    <w:rsid w:val="6BFD799F"/>
    <w:rsid w:val="6C4A2E5A"/>
    <w:rsid w:val="6C8138D0"/>
    <w:rsid w:val="6CEF0725"/>
    <w:rsid w:val="6D4B2604"/>
    <w:rsid w:val="6D53058C"/>
    <w:rsid w:val="6D77358F"/>
    <w:rsid w:val="6D8030E4"/>
    <w:rsid w:val="6E0E35C4"/>
    <w:rsid w:val="6E0F7A08"/>
    <w:rsid w:val="6E3947F5"/>
    <w:rsid w:val="6E6733A0"/>
    <w:rsid w:val="6E6E3938"/>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1DA6992"/>
    <w:rsid w:val="727B234E"/>
    <w:rsid w:val="728A58B0"/>
    <w:rsid w:val="72D068C7"/>
    <w:rsid w:val="72E42ED8"/>
    <w:rsid w:val="72FC34C3"/>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6E6594C"/>
    <w:rsid w:val="770719AC"/>
    <w:rsid w:val="776526CC"/>
    <w:rsid w:val="77A262E1"/>
    <w:rsid w:val="77B13C33"/>
    <w:rsid w:val="77DC095A"/>
    <w:rsid w:val="77ED6F44"/>
    <w:rsid w:val="77F45548"/>
    <w:rsid w:val="77FC440B"/>
    <w:rsid w:val="7834727B"/>
    <w:rsid w:val="784E7CA6"/>
    <w:rsid w:val="78574801"/>
    <w:rsid w:val="7873527F"/>
    <w:rsid w:val="790A6425"/>
    <w:rsid w:val="790E2D96"/>
    <w:rsid w:val="791B54B2"/>
    <w:rsid w:val="793C0F89"/>
    <w:rsid w:val="795A0A34"/>
    <w:rsid w:val="797339C3"/>
    <w:rsid w:val="79D57D57"/>
    <w:rsid w:val="79F00650"/>
    <w:rsid w:val="7A6242BF"/>
    <w:rsid w:val="7A794513"/>
    <w:rsid w:val="7A9B3811"/>
    <w:rsid w:val="7AB467DA"/>
    <w:rsid w:val="7AB9318D"/>
    <w:rsid w:val="7AE952D2"/>
    <w:rsid w:val="7B9F26AF"/>
    <w:rsid w:val="7BB607FE"/>
    <w:rsid w:val="7C7248A0"/>
    <w:rsid w:val="7C976D69"/>
    <w:rsid w:val="7CD752DA"/>
    <w:rsid w:val="7CDE40AB"/>
    <w:rsid w:val="7CF057E2"/>
    <w:rsid w:val="7D1548B5"/>
    <w:rsid w:val="7DF84014"/>
    <w:rsid w:val="7E207949"/>
    <w:rsid w:val="7E5C0A47"/>
    <w:rsid w:val="7E670C75"/>
    <w:rsid w:val="7EE24272"/>
    <w:rsid w:val="7EEA6053"/>
    <w:rsid w:val="7F487C04"/>
    <w:rsid w:val="7F611CBA"/>
    <w:rsid w:val="7FB45F21"/>
    <w:rsid w:val="7FE57088"/>
    <w:rsid w:val="7FF37FA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11">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bidi="ar"/>
    </w:rPr>
  </w:style>
  <w:style w:type="character" w:styleId="10">
    <w:name w:val="Strong"/>
    <w:basedOn w:val="9"/>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14</Pages>
  <Words>4811</Words>
  <Characters>5487</Characters>
  <Lines>0</Lines>
  <Paragraphs>0</Paragraphs>
  <TotalTime>4</TotalTime>
  <ScaleCrop>false</ScaleCrop>
  <LinksUpToDate>false</LinksUpToDate>
  <CharactersWithSpaces>5498</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dcterms:modified xsi:type="dcterms:W3CDTF">2024-11-12T17:38:02Z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y fmtid="{D5CDD505-2E9C-101B-9397-08002B2CF9AE}" pid="3" name="ICV">
    <vt:lpwstr>D624B15633CD43C8BF9435464A96BF70</vt:lpwstr>
  </property>
</Properties>
</file>