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自治区财政项目支出绩效自评报告</w:t>
      </w:r>
    </w:p>
    <w:p>
      <w:pPr>
        <w:spacing w:line="540" w:lineRule="exact"/>
        <w:jc w:val="center"/>
        <w:rPr>
          <w:rFonts w:ascii="华文中宋" w:hAnsi="华文中宋" w:eastAsia="华文中宋" w:cs="宋体"/>
          <w:b/>
          <w:kern w:val="0"/>
          <w:sz w:val="52"/>
          <w:szCs w:val="52"/>
        </w:rPr>
      </w:pPr>
    </w:p>
    <w:p>
      <w:pPr>
        <w:spacing w:line="700" w:lineRule="exact"/>
        <w:jc w:val="center"/>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   2023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Fonts w:hint="eastAsia" w:hAnsi="宋体" w:eastAsia="仿宋_GB2312" w:cs="宋体"/>
          <w:kern w:val="0"/>
          <w:sz w:val="36"/>
          <w:szCs w:val="36"/>
        </w:rPr>
        <w:t xml:space="preserve">  </w:t>
      </w:r>
      <w:r>
        <w:rPr>
          <w:rFonts w:hint="eastAsia" w:ascii="楷体" w:hAnsi="楷体" w:eastAsia="楷体" w:cs="楷体"/>
          <w:b/>
          <w:bCs/>
          <w:kern w:val="0"/>
          <w:sz w:val="32"/>
          <w:szCs w:val="32"/>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项目名称：塔地财教〔2022〕54号沙财教〔2023〕12号城乡义务教育补助经费中央直达（校舍安全保障资金））</w:t>
      </w:r>
    </w:p>
    <w:p>
      <w:pPr>
        <w:keepNext w:val="0"/>
        <w:keepLines w:val="0"/>
        <w:pageBreakBefore w:val="0"/>
        <w:widowControl w:val="0"/>
        <w:kinsoku/>
        <w:wordWrap/>
        <w:overflowPunct/>
        <w:topLinePunct w:val="0"/>
        <w:autoSpaceDE/>
        <w:autoSpaceDN/>
        <w:bidi w:val="0"/>
        <w:adjustRightInd/>
        <w:snapToGrid/>
        <w:spacing w:line="520" w:lineRule="exact"/>
        <w:ind w:firstLine="1159" w:firstLineChars="370"/>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实施单位（公章）：沙湾市博尔通古乡中心学校</w:t>
      </w:r>
    </w:p>
    <w:p>
      <w:pPr>
        <w:keepNext w:val="0"/>
        <w:keepLines w:val="0"/>
        <w:pageBreakBefore w:val="0"/>
        <w:widowControl w:val="0"/>
        <w:kinsoku/>
        <w:wordWrap/>
        <w:overflowPunct/>
        <w:topLinePunct w:val="0"/>
        <w:autoSpaceDE/>
        <w:autoSpaceDN/>
        <w:bidi w:val="0"/>
        <w:adjustRightInd/>
        <w:snapToGrid/>
        <w:spacing w:line="520" w:lineRule="exact"/>
        <w:ind w:firstLine="1253" w:firstLineChars="400"/>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主管部门（公章）：沙湾市博尔通古乡中心学校</w:t>
      </w:r>
    </w:p>
    <w:p>
      <w:pPr>
        <w:keepNext w:val="0"/>
        <w:keepLines w:val="0"/>
        <w:pageBreakBefore w:val="0"/>
        <w:widowControl w:val="0"/>
        <w:kinsoku/>
        <w:wordWrap/>
        <w:overflowPunct/>
        <w:topLinePunct w:val="0"/>
        <w:autoSpaceDE/>
        <w:autoSpaceDN/>
        <w:bidi w:val="0"/>
        <w:adjustRightInd/>
        <w:snapToGrid/>
        <w:spacing w:line="520" w:lineRule="exact"/>
        <w:ind w:firstLine="1159" w:firstLineChars="370"/>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项目负责人（签章）：尤爱升</w:t>
      </w:r>
    </w:p>
    <w:p>
      <w:pPr>
        <w:keepNext w:val="0"/>
        <w:keepLines w:val="0"/>
        <w:pageBreakBefore w:val="0"/>
        <w:widowControl w:val="0"/>
        <w:kinsoku/>
        <w:wordWrap/>
        <w:overflowPunct/>
        <w:topLinePunct w:val="0"/>
        <w:autoSpaceDE/>
        <w:autoSpaceDN/>
        <w:bidi w:val="0"/>
        <w:adjustRightInd/>
        <w:snapToGrid/>
        <w:spacing w:line="520" w:lineRule="exact"/>
        <w:ind w:firstLine="1159" w:firstLineChars="370"/>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填报时间：2024年04月15日</w:t>
      </w:r>
    </w:p>
    <w:p>
      <w:pPr>
        <w:spacing w:line="540" w:lineRule="exact"/>
        <w:rPr>
          <w:rStyle w:val="18"/>
          <w:rFonts w:ascii="黑体" w:hAnsi="黑体" w:eastAsia="黑体"/>
          <w:b/>
          <w:bCs/>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hint="eastAsia" w:ascii="黑体" w:hAnsi="黑体" w:eastAsia="黑体"/>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1.项目背景</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学校校舍安全项目支出是学校建设中的一个重要环节，它对于学校的发展、教育质量和师生生活都具有重要的影响。首先，学校校舍安全项目支出可以提高学校的硬件设施水平，建立现代化、舒适、安全的教学、生活设施，为师生提供优质的学习、生活环境。其次，学校校舍安全项目支出还可以促进学校教育教学水平的提高，更好地满足教学需要，提高教学质量。随着教育事业不断发展，各个学校的规模也越来越大，由此而引发的教学楼、宿舍楼等建筑物的建设、改造、维修等工程需求也越来越高，相应的支出也逐年增加。实现高效使用公共财政资金，进一步提高资金使用效益，不仅是学校管理者的职责所在，更是社会责任的表现。根据《关于提前下达2023年城乡义务教育补助经费预算（中央直达资金）的通知》沙财教【2023】12号文件要求，持续巩固完善农村义务教育学校校舍安全保障长效机制，支持公办学校维修改造、抗震加固、改扩建校舍及其附属设施建设。为切实增强学校“校舍安全”项目实施的计划性、针对性和有效性，确保目标任务顺利完成，使学校办学条件基本满足教学和生活需要，促进基本公共教育服务均等化，保障教育公平。实施本项目的建设，为加快义务教育辅助步伐，全面改善薄弱学校基本办学条件，办人民满意的教育，提供了有效保障。</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2.项目主要内容及实施情况</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本项目主要内容为：根据《关于提前下达2023年城乡义务教育补助经费预算（中央直达资金）的通知》沙财教【2023】12号文件以及《关于对2023年沙湾市城乡义务教育农村校舍安全保障长效机制项目--校舍维护改造立项的批复》塔地教函【2023】27号文件要求，本项目实施内容为：功能室，教室门窗把手，合页进行更换维修，消防管网建设，学生宿舍室内粉刷1600平方米，三个课堂教室吊顶，安装吸音板，窗套，屋顶粉刷实施，等项目，金额为39万元。通过项目实施，旨在增强校舍安全；提高学校的硬件设施水平 ；同时达到舒适、安全的教学、生活设施，为师生提供优质的学习、生活环境。</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于2023年7月开始实施，截止2023年8月，该项目已实施完成，各项任务指标全部完成，通过本项目的实施，有效解决了校舍安全维修维护，提升了学校办学条件满足教学和生活需要，增强了教学科研设施服务及校园文化建设水平。</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3.项目实施主体</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2023年城乡义务教育补助经费中央直达（校舍安全保障资金）项目的实施主体为沙湾市博尔通古乡中心学校。</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4.资金投入和使用情况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（1）项目资金安排落实、总投入情况</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根据塔城地区财政局《关于提前下达2023年城乡义务教育补助经费预算的通知》（塔地财教〔2023〕54号）文件，2023年城乡义务教育补助经费中央直达（校舍安全保障资金）项目预算安排资金总额39万元，其中财政资金39万元、其他资金0万元；2023年实际收到预算资金39万元，预算资金到位率为100%。 </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（2）项目资金实际使用情况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楷体" w:hAnsi="楷体" w:eastAsia="楷体"/>
          <w:spacing w:val="-4"/>
          <w:sz w:val="32"/>
          <w:szCs w:val="32"/>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截至2023年12月31日，本项目实际支付资金39万元，预算执行率100%。项目资金主要用于支付校舍安全费用39万元。</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（二）项目预算绩效目标设定情况</w:t>
      </w:r>
    </w:p>
    <w:p>
      <w:pPr>
        <w:keepNext w:val="0"/>
        <w:keepLines w:val="0"/>
        <w:pageBreakBefore w:val="0"/>
        <w:widowControl w:val="0"/>
        <w:kinsoku/>
        <w:wordWrap/>
        <w:overflowPunct/>
        <w:topLinePunct w:val="0"/>
        <w:autoSpaceDE/>
        <w:autoSpaceDN/>
        <w:bidi w:val="0"/>
        <w:adjustRightInd/>
        <w:snapToGrid/>
        <w:spacing w:line="520" w:lineRule="exact"/>
        <w:ind w:firstLine="567"/>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1.总体目标</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为切实增强学校“校舍安全”项目实施的计划性、针对性和有效性，确保目标任务顺利完成，使学校办学条件基本满足教学和生活需要，促进基本公共教育服务均等化，保障教育公平，全面改善薄弱学校基本办学条件，办人民满意的教育，提供了有效保障。目标1：学生宿舍粉刷总面积（平方米）,年度指标值大于等于1600平方米；目标2：教室门窗把手更换维修（个）年度指标值大于等于24个；目标3：三个课堂装修面积（平方米）年度指标值大于等于86.8平方米；目标4：工程竣工验收合格率为年度指标值等于100%；目标5：项目资金支付及时率年度指标值等于100%；目标6：项目完成时限年度指标值等于2023年12月25日前；对功能室，教室门窗把手，合页进行更换维修，消防管网建设，学生宿舍室内粉刷1600平方米，三个课堂教室装修粉刷等维护等成本39万元，计划通过本项目的实施，旨在增强校舍安全；提高学校的硬件设施水平 ；同时达到舒适、安全的教学、生活设施，为师生提供优质的学习、生活环境。</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2.阶段性目标</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（1）项目产出指标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①数量指标</w:t>
      </w:r>
    </w:p>
    <w:p>
      <w:pPr>
        <w:keepNext w:val="0"/>
        <w:keepLines w:val="0"/>
        <w:pageBreakBefore w:val="0"/>
        <w:widowControl w:val="0"/>
        <w:kinsoku/>
        <w:wordWrap/>
        <w:overflowPunct/>
        <w:topLinePunct w:val="0"/>
        <w:autoSpaceDE/>
        <w:autoSpaceDN/>
        <w:bidi w:val="0"/>
        <w:adjustRightInd/>
        <w:snapToGrid/>
        <w:spacing w:line="520" w:lineRule="exact"/>
        <w:ind w:firstLine="312" w:firstLineChars="1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“学生宿舍粉刷总面积（平方米）”指标，预期指标值为“大于等于1600平方米”；</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“教室门窗把手更换维修（个）”指标，预期指标值为“大于等于24个”；</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“三个课堂装修面积（平方米）”指标，预期指标值为“大于等于86.8平方米”；</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②质量指标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“工程竣工验收合格率（%）”指标，预期指标值为“等于100%”；</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③时效指标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项目资金支付及时率（%）”指标，预期指标值为“等于100%”；</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“项目完成时限（年月日）”指标，预期指标值为“2023年11月25日前”；</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（2）项目成本指标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①经济成本指标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“学生宿舍粉刷资金（万元）”指标，预期指标值为“等于25万元”；</w:t>
      </w:r>
    </w:p>
    <w:p>
      <w:pPr>
        <w:keepNext w:val="0"/>
        <w:keepLines w:val="0"/>
        <w:pageBreakBefore w:val="0"/>
        <w:widowControl w:val="0"/>
        <w:kinsoku/>
        <w:wordWrap/>
        <w:overflowPunct/>
        <w:topLinePunct w:val="0"/>
        <w:autoSpaceDE/>
        <w:autoSpaceDN/>
        <w:bidi w:val="0"/>
        <w:adjustRightInd/>
        <w:snapToGrid/>
        <w:spacing w:line="520" w:lineRule="exact"/>
        <w:ind w:firstLine="312" w:firstLineChars="1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“教室门窗把手更换维修资金（万元）”指标，预期指标值为“等于4万元”；</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“三个课堂装修资金（万元）”指标，预期指标值为“等于10万元”；</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（3）项目效益指标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①经济效益指标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无此项指标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②社会效益指标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“提高教学环境”指标，预期指标值为“有效提高”；</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③生态效益指标</w:t>
      </w:r>
    </w:p>
    <w:p>
      <w:pPr>
        <w:keepNext w:val="0"/>
        <w:keepLines w:val="0"/>
        <w:pageBreakBefore w:val="0"/>
        <w:widowControl w:val="0"/>
        <w:kinsoku/>
        <w:wordWrap/>
        <w:overflowPunct/>
        <w:topLinePunct w:val="0"/>
        <w:autoSpaceDE/>
        <w:autoSpaceDN/>
        <w:bidi w:val="0"/>
        <w:adjustRightInd/>
        <w:snapToGrid/>
        <w:spacing w:line="520" w:lineRule="exact"/>
        <w:ind w:firstLine="312" w:firstLineChars="1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无此项指标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（4）相关满意度目标</w:t>
      </w:r>
    </w:p>
    <w:p>
      <w:pPr>
        <w:keepNext w:val="0"/>
        <w:keepLines w:val="0"/>
        <w:pageBreakBefore w:val="0"/>
        <w:widowControl w:val="0"/>
        <w:kinsoku/>
        <w:wordWrap/>
        <w:overflowPunct/>
        <w:topLinePunct w:val="0"/>
        <w:autoSpaceDE/>
        <w:autoSpaceDN/>
        <w:bidi w:val="0"/>
        <w:adjustRightInd/>
        <w:snapToGrid/>
        <w:spacing w:line="520" w:lineRule="exact"/>
        <w:ind w:firstLine="312" w:firstLineChars="100"/>
        <w:jc w:val="left"/>
        <w:textAlignment w:val="auto"/>
        <w:rPr>
          <w:rStyle w:val="18"/>
          <w:rFonts w:ascii="楷体" w:hAnsi="楷体" w:eastAsia="楷体"/>
          <w:spacing w:val="-4"/>
          <w:sz w:val="32"/>
          <w:szCs w:val="32"/>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“教师满意度（%）”指标，预期指标值为“大于等于95%”。</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“学校生满意度（%）”指标，预期指标值为“大于等于96%”。</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firstLine="313" w:firstLineChars="100"/>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jc w:val="left"/>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1.绩效评价的目的</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jc w:val="left"/>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2.绩效评价的对象和范围</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次绩效评价遵循财政部《关于印发&lt;项目支出绩效评价管理办法&gt;的通知》（财预〔2020〕10号）以及自治区财政厅《自治区财政支出绩效评价管理暂行办法》（新财预〔2018〕189号）等文件规定，对2023年度我单位实施的城乡义务教育补助经费中央直达（校舍安全保障资金）项目（本项目的全称）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20" w:lineRule="exact"/>
        <w:ind w:firstLine="313" w:firstLineChars="100"/>
        <w:jc w:val="left"/>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1.绩效评价原则</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城乡义务教育补助经费中央直达（校舍安全保障资金）项目实际开展情况，运用定量和定性分析相结合的方法，总结经验做法，反思项目实施和管理中的问题，以切实提升财政资金管理的科学化、规范化和精细化水平。</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根据以上原则，绩效评价遵循如下具体要求：</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（1）在数据采集时，采取客观数据主管部门审查、社会中介组织复查与问卷调查相结合的形式，以保证各项指标的真实性。</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（2）保证评价结果的真实性、公正性，提高评价报告的公信力。</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（3）绩效评价报告简明扼要，除对绩效评价的过程、结果描述外，还总结经验、指出问题，并就共性问题提出可操作性改进建议。</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2.绩效评价指标体系及绩效评价标准</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一级指标为：决策、过程、产出、成本、效益。</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二级指标为：项目立项、绩效目标、资金投入、资金管理、组织实施、产出数量、产出质量、产出时效、产出成本、实施效益、满意度。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三级指标为：立项依据充分性、立项程序规范性、绩效目标合理性、绩效指标明确性、预算编制科学性、资金分配合理性、资金到位率、预算执行率、资金使用合规性、管理制度健全性、制度执行有效性、产出数量指标完成率、质量达标率、项目完成及时率、成本控制率、项目实施所产生的效益、服务对象满意度。</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3.评价方法</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本次评价采取定量与定性评价相结合的方式，采用比较法、公众评判法对项目实施过程以及预期绩效目标完成情况进行全面、系统的评价，总分由各项指标得分汇总形成。</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bCs/>
          <w:color w:val="auto"/>
          <w:spacing w:val="-4"/>
          <w:kern w:val="2"/>
          <w:sz w:val="32"/>
          <w:szCs w:val="32"/>
          <w:highlight w:val="none"/>
          <w:lang w:val="en-US" w:eastAsia="zh-CN" w:bidi="ar-SA"/>
        </w:rPr>
        <w:t>4.评价标准</w:t>
      </w:r>
      <w:r>
        <w:rPr>
          <w:rStyle w:val="18"/>
          <w:rFonts w:hint="eastAsia" w:ascii="仿宋_GB2312" w:hAnsi="仿宋_GB2312" w:eastAsia="仿宋_GB2312" w:cs="仿宋_GB2312"/>
          <w:b/>
          <w:bCs/>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bCs/>
          <w:color w:val="auto"/>
          <w:spacing w:val="-4"/>
          <w:kern w:val="2"/>
          <w:sz w:val="32"/>
          <w:szCs w:val="32"/>
          <w:highlight w:val="none"/>
          <w:lang w:val="en-US" w:eastAsia="zh-CN" w:bidi="ar-SA"/>
        </w:rPr>
        <w:t xml:space="preserve">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20" w:lineRule="exact"/>
        <w:ind w:firstLine="313" w:firstLineChars="100"/>
        <w:jc w:val="left"/>
        <w:textAlignment w:val="auto"/>
        <w:rPr>
          <w:rStyle w:val="18"/>
          <w:rFonts w:hint="eastAsia" w:ascii="楷体" w:hAnsi="楷体" w:eastAsia="楷体" w:cs="楷体"/>
          <w:b/>
          <w:bCs/>
          <w:color w:val="auto"/>
          <w:spacing w:val="-4"/>
          <w:kern w:val="2"/>
          <w:sz w:val="32"/>
          <w:szCs w:val="32"/>
          <w:highlight w:val="none"/>
          <w:lang w:val="en-US" w:eastAsia="zh-CN" w:bidi="ar-SA"/>
        </w:rPr>
      </w:pPr>
      <w:r>
        <w:rPr>
          <w:rStyle w:val="18"/>
          <w:rFonts w:hint="eastAsia" w:ascii="楷体" w:hAnsi="楷体" w:eastAsia="楷体" w:cs="楷体"/>
          <w:b/>
          <w:bCs/>
          <w:color w:val="auto"/>
          <w:spacing w:val="-4"/>
          <w:kern w:val="2"/>
          <w:sz w:val="32"/>
          <w:szCs w:val="32"/>
          <w:highlight w:val="none"/>
          <w:lang w:val="en-US" w:eastAsia="zh-CN" w:bidi="ar-SA"/>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第一阶段：前期准备。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我单位绩效评价人员根据《项目支出绩效评价管理办法》（财预〔2020〕10号）文件精神认真学习相关要求与规定，成立绩效评价工作组，作为绩效评价工作具体实施机构。成员构成如下：</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托合塔尔汗任评价组组长，绩效评价工作职责为检查项目绩效指标完成情况、审定项目支出绩效评价结果及项目支出绩效评价报告。</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别力克任评价组副组长，绩效评价工作职责为组织和协调项目工作人员采取实地调查、资料检查等方式，核实项目绩效指标完成情况；组织受益对象对项目工作进行评价等。</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居马哈孜、陈娅玲任评价组成员，绩效评价工作职责为做好项目支出绩效评价工作的沟通协调工作，对项目实施情况进行实地调查，编写项目支出绩效评价报告。</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第二阶段：组织实施。</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经评价组通过实地调研、查阅资料等方式，采用综合分析法对项目的决策、管理、绩效进行的综合评价分析。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第三阶段：分析评价。</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首先按照指标体系进行定量、定性分析。其次开展量化打分、综合评价工作，形成初步评价结论。最后归纳整体项目情况与存在问题，撰写部门绩效评价报告。</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第四阶段：撰写与提交评价报告</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项目撰写绩效评价报告，按照财政局大平台绩效系统中统一格式和文本框架撰写绩效评价报告。</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第五阶段：归集档案</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黑体" w:hAnsi="黑体" w:eastAsia="黑体" w:cs="黑体"/>
          <w:b/>
          <w:bCs/>
          <w:color w:val="auto"/>
          <w:spacing w:val="-4"/>
          <w:kern w:val="2"/>
          <w:sz w:val="32"/>
          <w:szCs w:val="32"/>
          <w:highlight w:val="none"/>
          <w:lang w:val="en-US" w:eastAsia="zh-CN" w:bidi="ar-SA"/>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（一）综合评价情况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通过城乡义务教育补助经费中央直达（校舍安全保障资金）项目（填写项目全称）的实施，解决了学校所存在的安全隐患问题，实现了优美的校园文化环境，为师生创造了一个良好的教育教学环境和生活环境效益，该项目预算执行率达100%，项目预期绩效目标及各项具体指标均已全部达成。</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综合评价结论</w:t>
      </w:r>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本次评价采取定量与定性评价相结合的方式</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对城乡义务教育补助经费中央直达（校舍安全保障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项目决策类指标从项目立项、绩效目标和资金投入三个方面评价项目前期准备工作，权重分值为 15 分，本项目实际得分15分，得分率为100%。具体各项指标得分如下：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1.立项依据充分性：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是由沙湾市教育和科学技术局单位提出申报，于2023年2月批复设立，2023年我单位根据《城乡义务教育补助经费中央直达[校舍安全保障资金)文件》塔地财教[2022]54号（文件号）文件要求组织实施该项目。项目立项符合国家法律法规、自治区和地区行业发展规划和政策要求，属于本部门履职所需。根据评分标准，该指标2.5分，得2.5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2.立项程序规范性：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根据决策依据编制工作计划和经费预算，经过与部门分管领导进行沟通、筛选确定经费预算计划，教科局确定最终预算方案。根据评分标准，该指标2.5分，得2.5分。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3.绩效目标合理性：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本项目制定了项目支出绩效目标，明确了项目总体思路及总目标、并对项目任务进行了详细分解，对目标进行了细化。根据评分标准，该指标3分，得3分。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4.绩效指标明确性：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本项目已将项目绩效目标细化分解为具体的绩效指标，并通过清晰、可衡量的指标值予以体现，与项目目标任务数或计划数相对应。根据评分标准，该指标2分，得2分。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5.预算编制科学性：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预算编制经过科学论证，内容与项目内容匹配，项目投资额与工作任务相匹配，根据评分标准，该指标3分，得3分。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6.资金分配合理性：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sz w:val="32"/>
          <w:szCs w:val="32"/>
        </w:rPr>
      </w:pPr>
      <w:r>
        <w:rPr>
          <w:rStyle w:val="18"/>
          <w:rFonts w:hint="eastAsia" w:ascii="黑体" w:hAnsi="黑体" w:eastAsia="黑体"/>
          <w:b w:val="0"/>
          <w:spacing w:val="-4"/>
          <w:sz w:val="32"/>
          <w:szCs w:val="32"/>
        </w:rPr>
        <w:t>四、项目绩效情况</w:t>
      </w:r>
      <w:r>
        <w:rPr>
          <w:rStyle w:val="18"/>
          <w:rFonts w:hint="eastAsia" w:ascii="黑体" w:hAnsi="黑体" w:eastAsia="黑体"/>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项目过程类指标包括资金管理和组织实施两方面的内容，由 5个三级指标构成，权重分值为 15 分，本项目实际得分15分，得分率为100%。具体各项指标得分如下：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1.资金到位率：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该项目所需财政资金能够足额拨付到位，牵头单位能够及时足额按照合同约定将专项资金拨付给单位，根据评分标准，该指标2分，得2分。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2.预算执行率：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本项目预算编制较为详细，预算资金39万元，实际执行39万元，预算执行率为100%，项目资金支出总体能够按照预算执行，根据评分标准，该指标2分，得2分。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3.资金使用合规性：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项目任务下达后，我单位制定了财务管理制度和管理规定对经费使用进行规范管理，财务制度健全、执行严格；根据评分标准，该指标3分，得3分。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4.管理制度健全性：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我单位制定了《校舍维修改造专项资金管理办法》等相关项目管理办法，同时对财政专项资金进行严格管理，做到了专款专用，根据评分标准，该指标4分，得4分。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5.制度执行有效性：</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由科室提出经费预算支出可行性方案，经过与分管领导沟通后，报教科局研究执行，财务对资金的使用合法合规性进行监督，年底对资金使用效果进行自评，根据评分标准，该指标4分，得4分。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项目产出类指标包括产出数量、产出质量、产出时效、产出成本共四方面的内容，由12个三级指标构成，权重分为40分，本项目实际得分40分，得分率为40%。具体各项指标得分如下：</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1.产出数量 </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br w:type="textWrapping"/>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 xml:space="preserve">    ①数量指标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“学生宿舍粉刷总面积（平方米）”指标，预期指标值为“大于等于1600平方米”；根据工程竣工验收报告可知，实际完成学生宿舍粉刷总面积1600平方米，与预期目标一致，根据评分标准，该指标3分，得3分。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“教室门窗把手更换维修（个）”指标，预期指标值为“大于等于24个”；根据工程竣工验收报告可知，实际完成教室门窗把手更换24个，与预期目标一致，根据评分标准，该指标3分，得3分。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“三个课堂装修面积（平方米）”指标，预期指标值为“大于等于86.8平方米”；根据工程竣工验收报告可知，实际完成三个课堂装修面积86.8平方米，与预期目标一致，根据评分标</w:t>
      </w: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2.产出质量</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“工程竣工验收合格率”指标，预期指标值为“等于100%”，根据现场核查，目前维修工程已验收合格，资金使用规范率100%，与预期目标一致，根据评分标准，该指标10分，得10分。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3.产出时效</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“项目资金支付及时率（%）”指标，预期指标值为“等于100%”，根据现场核查，目前维修工程已验收合格，资金支付及时率100%，与预期目标一致，根据评分标准，该指标5分，得5分。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完成时限（年月日）”指标，预期指标值为“2023年12月25日”；根据资金支付凭证显示，该项目于2023年10月完成竣工验收，按合同约定，资金已于2023年12月25日全部支付完毕，与预期目标指标一致，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4.产出成本</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①经济成本指标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学生宿舍粉刷资金（万元）”指标，预期指标值为“等于25万元”；根据项目合同和资金支付凭证显示，本项目2023年支付学生宿舍粉刷资金25万元，经费支出能够控制在年度计划成本范围内，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教室门窗把手更换维修资金（万元）”指标，预期指标值为“等于4万元”；根据项目合同和资金支付凭证显示，本项目2023年支付教室门窗把手更换维修资金4万元，经费支出能够控制在年度计划成本范围内，根据评分标准，该指标3分，得3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三个课堂装修资金（万元）”指标，预期指标值为“等于10万元”；根据项目合同和资金支付凭证显示，本项目2023年支付三个课堂装修资金10万元，经费支出能够控制在年度计划成本范围内，根据评分标准，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项目效益类指标由社会效益，1个二级指标构成，权重分为20分，本项目实际得分20分，得分率为100%。具体各项指标得分如下：</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1.社会效益指标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“提高教学环境”指标，预期指标值为“有效提高”，根据本单位年度考核情况，实际完成值为“基本达成目标”，根据评分标准，该指标20分，得20分。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2.经济效益指标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3.生态效益指标</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“教师满意度（%）”指标，预期指标值为“大于等于95%”，根据评分标准，根据教师和学生进行满意度问卷调查的结果可知，教师满意度达95%，根据评分标准，该指标5分，得5分。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“学校生满意度（%）”指标，预期指标值为“大于等于96%”根据评分标准，根据教师和学生进行满意度问卷调查的结果可知，学生满意度达96%，根据评分标准，该指标5分，得5分。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（三）其他</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(一)预算执行进度</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城乡义务教育补助经费中央直达（校舍安全保障资金）项目预算金额39万元，实际到位39万元，全年项目实际支出39万元，预算执行率100%。</w:t>
      </w:r>
    </w:p>
    <w:p>
      <w:pPr>
        <w:keepNext w:val="0"/>
        <w:keepLines w:val="0"/>
        <w:pageBreakBefore w:val="0"/>
        <w:widowControl w:val="0"/>
        <w:kinsoku/>
        <w:wordWrap/>
        <w:overflowPunct/>
        <w:topLinePunct w:val="0"/>
        <w:autoSpaceDE/>
        <w:autoSpaceDN/>
        <w:bidi w:val="0"/>
        <w:adjustRightInd/>
        <w:snapToGrid/>
        <w:spacing w:line="520" w:lineRule="exact"/>
        <w:ind w:firstLine="567" w:firstLineChars="181"/>
        <w:textAlignment w:val="auto"/>
        <w:rPr>
          <w:rStyle w:val="18"/>
          <w:rFonts w:hint="eastAsia" w:ascii="仿宋_GB2312" w:hAnsi="仿宋_GB2312" w:eastAsia="仿宋_GB2312" w:cs="仿宋_GB2312"/>
          <w:b/>
          <w:bCs/>
          <w:color w:val="auto"/>
          <w:spacing w:val="-4"/>
          <w:kern w:val="2"/>
          <w:sz w:val="32"/>
          <w:szCs w:val="32"/>
          <w:highlight w:val="none"/>
          <w:lang w:val="en-US" w:eastAsia="zh-CN" w:bidi="ar-SA"/>
        </w:rPr>
      </w:pPr>
      <w:r>
        <w:rPr>
          <w:rStyle w:val="18"/>
          <w:rFonts w:hint="eastAsia" w:ascii="仿宋_GB2312" w:hAnsi="仿宋_GB2312" w:eastAsia="仿宋_GB2312" w:cs="仿宋_GB2312"/>
          <w:b/>
          <w:bCs/>
          <w:color w:val="auto"/>
          <w:spacing w:val="-4"/>
          <w:kern w:val="2"/>
          <w:sz w:val="32"/>
          <w:szCs w:val="32"/>
          <w:highlight w:val="none"/>
          <w:lang w:val="en-US" w:eastAsia="zh-CN" w:bidi="ar-SA"/>
        </w:rPr>
        <w:t>（二）绩效指标偏差情况</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8"/>
          <w:rFonts w:hint="eastAsia" w:ascii="仿宋_GB2312" w:hAnsi="仿宋_GB2312" w:eastAsia="仿宋_GB2312" w:cs="仿宋_GB2312"/>
          <w:b w:val="0"/>
          <w:bCs w:val="0"/>
          <w:color w:val="auto"/>
          <w:spacing w:val="-4"/>
          <w:kern w:val="2"/>
          <w:sz w:val="32"/>
          <w:szCs w:val="32"/>
          <w:highlight w:val="none"/>
          <w:lang w:val="en-US" w:eastAsia="zh-CN" w:bidi="ar-SA"/>
        </w:rPr>
        <w:t>2023年本单位负责实施的城乡义务教育补助经费中央直达（校舍安全保障资金）项目的绩效目标及指标已经全部达成，不存在偏差情况。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hint="eastAsia" w:ascii="仿宋_GB2312" w:hAnsi="仿宋_GB2312" w:eastAsia="仿宋_GB2312" w:cs="仿宋_GB2312"/>
          <w:b w:val="0"/>
          <w:bCs w:val="0"/>
          <w:color w:val="auto"/>
          <w:spacing w:val="-4"/>
          <w:kern w:val="2"/>
          <w:sz w:val="32"/>
          <w:szCs w:val="3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rPr>
          <w:rStyle w:val="18"/>
          <w:rFonts w:ascii="黑体" w:hAnsi="黑体" w:eastAsia="黑体"/>
          <w:b w:val="0"/>
          <w:spacing w:val="-4"/>
          <w:sz w:val="32"/>
          <w:szCs w:val="32"/>
        </w:rPr>
      </w:pPr>
      <w:r>
        <w:rPr>
          <w:rStyle w:val="18"/>
          <w:rFonts w:hint="eastAsia" w:ascii="黑体" w:hAnsi="黑体" w:eastAsia="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ascii="仿宋_GB2312" w:eastAsia="仿宋_GB2312"/>
          <w:spacing w:val="-4"/>
          <w:sz w:val="32"/>
          <w:szCs w:val="32"/>
        </w:rPr>
      </w:pPr>
      <w:r>
        <w:rPr>
          <w:rFonts w:hint="eastAsia" w:ascii="仿宋_GB2312" w:eastAsia="仿宋_GB2312"/>
          <w:spacing w:val="-4"/>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（一）主要经验及做法</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仿宋_GB2312" w:hAnsi="Times New Roman" w:eastAsia="仿宋_GB2312" w:cs="Times New Roman"/>
          <w:spacing w:val="-4"/>
          <w:sz w:val="32"/>
          <w:szCs w:val="32"/>
        </w:rPr>
      </w:pPr>
      <w:r>
        <w:rPr>
          <w:rFonts w:hint="eastAsia" w:ascii="仿宋_GB2312" w:hAnsi="Times New Roman" w:eastAsia="仿宋_GB2312" w:cs="Times New Roman"/>
          <w:b/>
          <w:bCs/>
          <w:spacing w:val="-4"/>
          <w:sz w:val="32"/>
          <w:szCs w:val="32"/>
        </w:rPr>
        <w:t>1.加强项目实施管理。</w:t>
      </w:r>
      <w:r>
        <w:rPr>
          <w:rFonts w:hint="eastAsia" w:ascii="仿宋_GB2312" w:hAnsi="Times New Roman" w:eastAsia="仿宋_GB2312" w:cs="Times New Roman"/>
          <w:spacing w:val="-4"/>
          <w:sz w:val="32"/>
          <w:szCs w:val="32"/>
        </w:rPr>
        <w:t>一是抓落实。要求将任务落实到具体项目，明确责任主体。二是抓督查。经常到实地督查进度，并采取开展调研、中期评估等有效管理措施，促进各项目顺利实施。</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仿宋_GB2312" w:hAnsi="Times New Roman" w:eastAsia="仿宋_GB2312" w:cs="Times New Roman"/>
          <w:spacing w:val="-4"/>
          <w:sz w:val="32"/>
          <w:szCs w:val="32"/>
        </w:rPr>
      </w:pPr>
      <w:r>
        <w:rPr>
          <w:rFonts w:hint="eastAsia" w:ascii="仿宋_GB2312" w:hAnsi="Times New Roman" w:eastAsia="仿宋_GB2312" w:cs="Times New Roman"/>
          <w:b/>
          <w:bCs/>
          <w:spacing w:val="-4"/>
          <w:sz w:val="32"/>
          <w:szCs w:val="32"/>
        </w:rPr>
        <w:t>2.加强项目资金管理。</w:t>
      </w:r>
      <w:r>
        <w:rPr>
          <w:rFonts w:hint="eastAsia" w:ascii="仿宋_GB2312" w:hAnsi="Times New Roman" w:eastAsia="仿宋_GB2312" w:cs="Times New Roman"/>
          <w:spacing w:val="-4"/>
          <w:sz w:val="32"/>
          <w:szCs w:val="32"/>
        </w:rPr>
        <w:t>做到手续完备、专账管理、专人负责、专户存储、账目清楚。</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仿宋_GB2312" w:hAnsi="Times New Roman" w:eastAsia="仿宋_GB2312" w:cs="Times New Roman"/>
          <w:spacing w:val="-4"/>
          <w:sz w:val="32"/>
          <w:szCs w:val="32"/>
        </w:rPr>
      </w:pPr>
      <w:r>
        <w:rPr>
          <w:rFonts w:hint="eastAsia" w:ascii="仿宋_GB2312" w:hAnsi="Times New Roman" w:eastAsia="仿宋_GB2312" w:cs="Times New Roman"/>
          <w:b/>
          <w:bCs/>
          <w:spacing w:val="-4"/>
          <w:sz w:val="32"/>
          <w:szCs w:val="32"/>
        </w:rPr>
        <w:t>3.加强绩效目标的刚性约束，</w:t>
      </w:r>
      <w:r>
        <w:rPr>
          <w:rFonts w:hint="eastAsia" w:ascii="仿宋_GB2312" w:hAnsi="Times New Roman" w:eastAsia="仿宋_GB2312" w:cs="Times New Roman"/>
          <w:spacing w:val="-4"/>
          <w:sz w:val="32"/>
          <w:szCs w:val="32"/>
        </w:rPr>
        <w:t>及时对项目实施进度与资金支付进度进行全程跟踪问效，发现问题及时解决，对于重大问题实行集体讨论，确保项目按计划进行，项目资金支付安排高效、合理，杜绝截留、挤占或挪用项目资金的情况发生。</w:t>
      </w:r>
    </w:p>
    <w:p>
      <w:pPr>
        <w:keepNext w:val="0"/>
        <w:keepLines w:val="0"/>
        <w:pageBreakBefore w:val="0"/>
        <w:widowControl w:val="0"/>
        <w:kinsoku/>
        <w:wordWrap/>
        <w:overflowPunct/>
        <w:topLinePunct w:val="0"/>
        <w:autoSpaceDE/>
        <w:autoSpaceDN/>
        <w:bidi w:val="0"/>
        <w:adjustRightInd/>
        <w:snapToGrid/>
        <w:spacing w:line="520" w:lineRule="exact"/>
        <w:ind w:firstLine="627" w:firstLineChars="200"/>
        <w:textAlignment w:val="auto"/>
        <w:rPr>
          <w:rFonts w:hint="eastAsia" w:ascii="楷体" w:hAnsi="楷体" w:eastAsia="楷体" w:cs="Times New Roman"/>
          <w:b/>
          <w:spacing w:val="-4"/>
          <w:sz w:val="32"/>
          <w:szCs w:val="32"/>
          <w:lang w:val="en-US" w:eastAsia="zh-CN"/>
        </w:rPr>
      </w:pPr>
      <w:r>
        <w:rPr>
          <w:rFonts w:hint="eastAsia" w:ascii="楷体" w:hAnsi="楷体" w:eastAsia="楷体" w:cs="Times New Roman"/>
          <w:b/>
          <w:spacing w:val="-4"/>
          <w:sz w:val="32"/>
          <w:szCs w:val="32"/>
          <w:lang w:val="en-US" w:eastAsia="zh-CN"/>
        </w:rPr>
        <w:t>（二）存在问题及原因分析</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bookmarkStart w:id="0" w:name="_GoBack"/>
      <w:r>
        <w:rPr>
          <w:rFonts w:hint="eastAsia" w:ascii="仿宋_GB2312" w:hAnsi="Times New Roman" w:eastAsia="仿宋_GB2312" w:cs="Times New Roman"/>
          <w:spacing w:val="-4"/>
          <w:sz w:val="32"/>
          <w:szCs w:val="32"/>
        </w:rPr>
        <w:t>1.本单位的项目领导小组，对该项目的事前、事中、事后进行监督与跟踪，但在项目实施过程中仍存在不全面的地方，对项目的部分细节有所疏忽。</w:t>
      </w:r>
      <w:r>
        <w:rPr>
          <w:rFonts w:hint="eastAsia" w:ascii="仿宋_GB2312" w:hAnsi="Times New Roman" w:eastAsia="仿宋_GB2312" w:cs="Times New Roman"/>
          <w:spacing w:val="-4"/>
          <w:sz w:val="32"/>
          <w:szCs w:val="32"/>
        </w:rPr>
        <w:br w:type="textWrapping"/>
      </w:r>
      <w:r>
        <w:rPr>
          <w:rFonts w:hint="eastAsia" w:ascii="仿宋_GB2312" w:hAnsi="Times New Roman" w:eastAsia="仿宋_GB2312" w:cs="Times New Roman"/>
          <w:spacing w:val="-4"/>
          <w:sz w:val="32"/>
          <w:szCs w:val="32"/>
        </w:rPr>
        <w:t>2.对项目档案管理有待进一步规范。项目档案管理专业性较弱。</w:t>
      </w:r>
      <w:r>
        <w:rPr>
          <w:rFonts w:hint="eastAsia" w:ascii="仿宋_GB2312" w:hAnsi="Times New Roman" w:eastAsia="仿宋_GB2312" w:cs="Times New Roman"/>
          <w:spacing w:val="-4"/>
          <w:sz w:val="32"/>
          <w:szCs w:val="32"/>
        </w:rPr>
        <w:br w:type="textWrapping"/>
      </w:r>
      <w:r>
        <w:rPr>
          <w:rFonts w:hint="eastAsia" w:ascii="仿宋_GB2312" w:hAnsi="Times New Roman" w:eastAsia="仿宋_GB2312" w:cs="Times New Roman"/>
          <w:spacing w:val="-4"/>
          <w:sz w:val="32"/>
          <w:szCs w:val="32"/>
        </w:rPr>
        <w:t>3.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bookmarkEnd w:id="0"/>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Times New Roman" w:eastAsia="仿宋_GB2312" w:cs="Times New Roman"/>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216AC8B"/>
    <w:multiLevelType w:val="singleLevel"/>
    <w:tmpl w:val="E216AC8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10B1242"/>
    <w:rsid w:val="0D531E39"/>
    <w:rsid w:val="158E6BFC"/>
    <w:rsid w:val="2C017387"/>
    <w:rsid w:val="2CDF26AC"/>
    <w:rsid w:val="32C40CC2"/>
    <w:rsid w:val="33C84DA6"/>
    <w:rsid w:val="3D7037B1"/>
    <w:rsid w:val="3DE80CB7"/>
    <w:rsid w:val="3E383819"/>
    <w:rsid w:val="3F5B6560"/>
    <w:rsid w:val="43A94FD5"/>
    <w:rsid w:val="464C1D92"/>
    <w:rsid w:val="4A116D74"/>
    <w:rsid w:val="4D2606A1"/>
    <w:rsid w:val="4F316EE3"/>
    <w:rsid w:val="58B24DCB"/>
    <w:rsid w:val="590222EB"/>
    <w:rsid w:val="5F543ACD"/>
    <w:rsid w:val="649E0A24"/>
    <w:rsid w:val="6B135817"/>
    <w:rsid w:val="6CBF44A8"/>
    <w:rsid w:val="6F45179C"/>
    <w:rsid w:val="748062B5"/>
    <w:rsid w:val="797739FB"/>
    <w:rsid w:val="79A2568A"/>
    <w:rsid w:val="7A175BE3"/>
    <w:rsid w:val="7E4E2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858585"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44444"/>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107</Words>
  <Characters>612</Characters>
  <Lines>5</Lines>
  <Paragraphs>1</Paragraphs>
  <TotalTime>137</TotalTime>
  <ScaleCrop>false</ScaleCrop>
  <LinksUpToDate>false</LinksUpToDate>
  <CharactersWithSpaces>718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2024-09-26T02:39:36Z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