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ascii="仿宋" w:hAnsi="仿宋" w:eastAsia="仿宋" w:cs="宋体"/>
          <w:kern w:val="0"/>
          <w:sz w:val="32"/>
          <w:szCs w:val="32"/>
        </w:rPr>
      </w:pPr>
      <w:r>
        <w:rPr>
          <w:rFonts w:hint="eastAsia" w:ascii="仿宋" w:hAnsi="仿宋" w:eastAsia="仿宋" w:cs="宋体"/>
          <w:kern w:val="0"/>
          <w:sz w:val="32"/>
          <w:szCs w:val="32"/>
        </w:rPr>
        <w:t>附件2：</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xml:space="preserve">（   </w:t>
      </w:r>
      <w:r>
        <w:rPr>
          <w:rStyle w:val="18"/>
          <w:rFonts w:hint="eastAsia" w:ascii="仿宋_GB2312" w:hAnsi="仿宋_GB2312" w:eastAsia="仿宋_GB2312" w:cs="仿宋_GB2312"/>
          <w:spacing w:val="-4"/>
          <w:sz w:val="32"/>
          <w:szCs w:val="32"/>
        </w:rPr>
        <w:t>2023</w:t>
      </w:r>
      <w:r>
        <w:rPr>
          <w:rFonts w:hint="eastAsia" w:ascii="仿宋_GB2312" w:hAnsi="仿宋_GB2312" w:eastAsia="仿宋_GB2312" w:cs="仿宋_GB2312"/>
          <w:kern w:val="0"/>
          <w:sz w:val="36"/>
          <w:szCs w:val="36"/>
        </w:rPr>
        <w:t xml:space="preserve">  年度）</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Ansi="宋体" w:eastAsia="仿宋_GB2312" w:cs="宋体"/>
          <w:kern w:val="0"/>
          <w:sz w:val="36"/>
          <w:szCs w:val="36"/>
        </w:rPr>
      </w:pPr>
      <w:r>
        <w:rPr>
          <w:rFonts w:hint="eastAsia" w:hAnsi="宋体" w:eastAsia="仿宋_GB2312"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900" w:firstLineChars="250"/>
        <w:jc w:val="left"/>
        <w:textAlignment w:val="auto"/>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仿宋_GB2312" w:hAnsi="仿宋_GB2312" w:eastAsia="仿宋_GB2312" w:cs="仿宋_GB2312"/>
          <w:b w:val="0"/>
          <w:bCs w:val="0"/>
          <w:spacing w:val="-4"/>
          <w:sz w:val="32"/>
          <w:szCs w:val="32"/>
        </w:rPr>
        <w:t>2023年学生资助补助资金（直达资金）</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仿宋_GB2312" w:hAnsi="仿宋_GB2312" w:eastAsia="仿宋_GB2312" w:cs="仿宋_GB2312"/>
          <w:b w:val="0"/>
          <w:bCs w:val="0"/>
          <w:spacing w:val="-4"/>
          <w:sz w:val="32"/>
          <w:szCs w:val="32"/>
        </w:rPr>
        <w:t>沙湾市中等职业技术学校</w:t>
      </w:r>
    </w:p>
    <w:p>
      <w:pPr>
        <w:keepNext w:val="0"/>
        <w:keepLines w:val="0"/>
        <w:pageBreakBefore w:val="0"/>
        <w:widowControl w:val="0"/>
        <w:kinsoku/>
        <w:wordWrap/>
        <w:overflowPunct/>
        <w:topLinePunct w:val="0"/>
        <w:autoSpaceDE/>
        <w:autoSpaceDN/>
        <w:bidi w:val="0"/>
        <w:adjustRightInd/>
        <w:snapToGrid/>
        <w:spacing w:line="520" w:lineRule="exact"/>
        <w:ind w:firstLine="900" w:firstLineChars="250"/>
        <w:textAlignment w:val="auto"/>
        <w:rPr>
          <w:rStyle w:val="18"/>
          <w:rFonts w:hint="eastAsia" w:ascii="仿宋_GB2312" w:hAnsi="仿宋_GB2312" w:eastAsia="仿宋_GB2312" w:cs="仿宋_GB2312"/>
          <w:b w:val="0"/>
          <w:bCs w:val="0"/>
          <w:spacing w:val="-4"/>
          <w:sz w:val="32"/>
          <w:szCs w:val="32"/>
        </w:rPr>
      </w:pPr>
      <w:r>
        <w:rPr>
          <w:rFonts w:hint="eastAsia" w:hAnsi="宋体" w:eastAsia="仿宋_GB2312" w:cs="宋体"/>
          <w:kern w:val="0"/>
          <w:sz w:val="36"/>
          <w:szCs w:val="36"/>
        </w:rPr>
        <w:t>主管部门（公章）：</w:t>
      </w:r>
      <w:r>
        <w:rPr>
          <w:rStyle w:val="18"/>
          <w:rFonts w:hint="eastAsia" w:ascii="仿宋_GB2312" w:hAnsi="仿宋_GB2312" w:eastAsia="仿宋_GB2312" w:cs="仿宋_GB2312"/>
          <w:b w:val="0"/>
          <w:bCs w:val="0"/>
          <w:spacing w:val="-4"/>
          <w:sz w:val="32"/>
          <w:szCs w:val="32"/>
        </w:rPr>
        <w:t>沙湾市中等职业技术学校</w:t>
      </w:r>
    </w:p>
    <w:p>
      <w:pPr>
        <w:keepNext w:val="0"/>
        <w:keepLines w:val="0"/>
        <w:pageBreakBefore w:val="0"/>
        <w:widowControl w:val="0"/>
        <w:kinsoku/>
        <w:wordWrap/>
        <w:overflowPunct/>
        <w:topLinePunct w:val="0"/>
        <w:autoSpaceDE/>
        <w:autoSpaceDN/>
        <w:bidi w:val="0"/>
        <w:adjustRightInd/>
        <w:snapToGrid/>
        <w:spacing w:line="520" w:lineRule="exact"/>
        <w:ind w:firstLine="900" w:firstLineChars="250"/>
        <w:textAlignment w:val="auto"/>
        <w:rPr>
          <w:rStyle w:val="18"/>
          <w:rFonts w:hint="eastAsia" w:ascii="仿宋_GB2312" w:hAnsi="仿宋_GB2312" w:eastAsia="仿宋_GB2312" w:cs="仿宋_GB2312"/>
          <w:b w:val="0"/>
          <w:bCs w:val="0"/>
          <w:spacing w:val="-4"/>
          <w:sz w:val="32"/>
          <w:szCs w:val="32"/>
        </w:rPr>
      </w:pPr>
      <w:r>
        <w:rPr>
          <w:rFonts w:hint="eastAsia" w:hAnsi="宋体" w:eastAsia="仿宋_GB2312" w:cs="宋体"/>
          <w:kern w:val="0"/>
          <w:sz w:val="36"/>
          <w:szCs w:val="36"/>
        </w:rPr>
        <w:t>项目负责人（签章）：</w:t>
      </w:r>
      <w:r>
        <w:rPr>
          <w:rStyle w:val="18"/>
          <w:rFonts w:hint="eastAsia" w:ascii="仿宋_GB2312" w:hAnsi="仿宋_GB2312" w:eastAsia="仿宋_GB2312" w:cs="仿宋_GB2312"/>
          <w:b w:val="0"/>
          <w:bCs w:val="0"/>
          <w:spacing w:val="-4"/>
          <w:sz w:val="32"/>
          <w:szCs w:val="32"/>
        </w:rPr>
        <w:t>吴文如</w:t>
      </w:r>
    </w:p>
    <w:p>
      <w:pPr>
        <w:keepNext w:val="0"/>
        <w:keepLines w:val="0"/>
        <w:pageBreakBefore w:val="0"/>
        <w:widowControl w:val="0"/>
        <w:kinsoku/>
        <w:wordWrap/>
        <w:overflowPunct/>
        <w:topLinePunct w:val="0"/>
        <w:autoSpaceDE/>
        <w:autoSpaceDN/>
        <w:bidi w:val="0"/>
        <w:adjustRightInd/>
        <w:snapToGrid/>
        <w:spacing w:line="520" w:lineRule="exact"/>
        <w:ind w:left="273" w:firstLine="567"/>
        <w:textAlignment w:val="auto"/>
        <w:rPr>
          <w:rStyle w:val="18"/>
          <w:rFonts w:hint="eastAsia" w:ascii="仿宋_GB2312" w:hAnsi="仿宋_GB2312" w:eastAsia="仿宋_GB2312" w:cs="仿宋_GB2312"/>
          <w:b w:val="0"/>
          <w:bCs w:val="0"/>
          <w:spacing w:val="-4"/>
          <w:sz w:val="32"/>
          <w:szCs w:val="32"/>
        </w:rPr>
      </w:pPr>
      <w:r>
        <w:rPr>
          <w:rFonts w:hint="eastAsia" w:hAnsi="宋体" w:eastAsia="仿宋_GB2312" w:cs="宋体"/>
          <w:kern w:val="0"/>
          <w:sz w:val="36"/>
          <w:szCs w:val="36"/>
        </w:rPr>
        <w:t>填报时间：</w:t>
      </w:r>
      <w:r>
        <w:rPr>
          <w:rStyle w:val="18"/>
          <w:rFonts w:hint="eastAsia" w:ascii="仿宋_GB2312" w:hAnsi="仿宋_GB2312" w:eastAsia="仿宋_GB2312" w:cs="仿宋_GB2312"/>
          <w:b w:val="0"/>
          <w:bCs w:val="0"/>
          <w:spacing w:val="-4"/>
          <w:sz w:val="32"/>
          <w:szCs w:val="32"/>
        </w:rPr>
        <w:t>2024年03月26日</w:t>
      </w:r>
    </w:p>
    <w:p>
      <w:pPr>
        <w:keepNext w:val="0"/>
        <w:keepLines w:val="0"/>
        <w:pageBreakBefore w:val="0"/>
        <w:widowControl w:val="0"/>
        <w:kinsoku/>
        <w:wordWrap/>
        <w:overflowPunct/>
        <w:topLinePunct w:val="0"/>
        <w:autoSpaceDE/>
        <w:autoSpaceDN/>
        <w:bidi w:val="0"/>
        <w:adjustRightInd/>
        <w:snapToGrid/>
        <w:spacing w:line="520" w:lineRule="exact"/>
        <w:ind w:firstLine="708" w:firstLineChars="236"/>
        <w:jc w:val="left"/>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ascii="黑体" w:hAnsi="黑体" w:eastAsia="黑体"/>
          <w:b w:val="0"/>
          <w:spacing w:val="-4"/>
          <w:sz w:val="32"/>
          <w:szCs w:val="32"/>
        </w:rPr>
      </w:pPr>
    </w:p>
    <w:p>
      <w:pPr>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br w:type="page"/>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20" w:lineRule="exact"/>
        <w:ind w:left="319" w:leftChars="152" w:firstLine="313" w:firstLineChars="1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中职学生资助补助项目资金主要包括:中职学校免学费、中职学生助学金。规范中等职业学校学生资助项目资金管理，确保各项政策顺利实施，确保享受政策的学生能够享受该项资金，该项目为上级专项资金，对符合条件的学生给予补助，收到补助资金后，学校加强财务管理，建立规范的预决算制度，严格使用，确保学校正常运转。资助对象是公办中等职业学校全日制正式学籍一、二、三年级在校生中所有农村（含县镇）学生、城市涉农专业学生和家庭经济困难学生（不含艺术类相关表演专业学生）。资助范围：公办中等职业学校、民办中等职业学校所有 、 农村（含县镇）学生公办中等职业学校、民办中等职业学校全部、公办中等职业学校、民办中等职业学校部分。免除学费导致学校收入减少的补助办法：财政给予补助。第一、二学年由财政按照享受免学费政策学生人数和免学费标准补助学校 ；学校开展校企合作及顶岗实习获取收入予以弥补。第三学年原则上由学校通过校企合作和顶岗实习等方式获取的收入予以弥补，不足部分由财政按照不高于三年级享受免学费政策学生人数50%的比例和免学费标准，适当补助学校。 国家免学费政策依据：2009年12月，财政部、国家发展改革委 教育部 人力资源社会保障部印发《关于中等职业学校农村家庭经济困难学生和涉农专业学生免学费工作的意见》(财教[2009]442号)；2010年4月，自治区财政厅 自治区发展和改革委员会 自治区教育厅 自治区人力资源和社会保障厅印发《关于印发〔新疆维吾尔自治区中等职业学校农村家庭经济困难学生和涉农专业学生免学费工作实施方案〕的通知》（新财教【2010】100号）</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spacing w:val="-4"/>
          <w:sz w:val="32"/>
          <w:szCs w:val="32"/>
        </w:rPr>
        <w:t>2.项目主要内容及实施情况</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国家免学费资助资金是中等职业学校在校学生享受免学杂费政策后，为弥补学校出现的经费缺口，主要用于学校日常教学开支。办公费用、维修费用、办公设备购置费用、培训费用等；国家奖助学金资金是资助中等职业学校全日制学历教育正式学籍的一、二年级在校涉农专业学生和非涉农专业家庭经济困难学生，符合资助条件的监测对象家庭学生（边缘易致贫家庭学生、突发严重困难家庭学生）、城乡低保家庭学生、城乡特困救助供养学生、家庭经济困难残疾学生、孤儿（含事实无人抚养儿童）、烈士子女、涉农专业学生和原连片特困地区农村学生全部纳入享受国家助学金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拨付上级学生资助补助资金（学生免学费及奖助学金）331.97万元，其中塔地财教〔2022〕53号沙财教〔2023〕11号2023年学生资助补助经费241.58万元；塔地财教〔2022〕55号沙财教〔2023〕13号2023年教育项目资金64.55万元；塔地财教【2023】44号沙财教【2023】24号关于下达2023年学生资助补助经费预算（第二批）中央直达资金25.84万元</w:t>
      </w:r>
      <w:r>
        <w:rPr>
          <w:rStyle w:val="18"/>
          <w:rFonts w:hint="eastAsia" w:ascii="仿宋_GB2312" w:hAnsi="仿宋_GB2312" w:eastAsia="仿宋_GB2312" w:cs="仿宋_GB2312"/>
          <w:b w:val="0"/>
          <w:bCs w:val="0"/>
          <w:spacing w:val="-4"/>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spacing w:val="-4"/>
          <w:sz w:val="32"/>
          <w:szCs w:val="32"/>
        </w:rPr>
        <w:t>3.项目实施主体</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2023年学生资助补助资金项目的实施主体为沙湾市中等职业技术学校。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spacing w:val="-4"/>
          <w:sz w:val="32"/>
          <w:szCs w:val="32"/>
          <w:lang w:val="en-US" w:eastAsia="zh-CN"/>
        </w:rPr>
        <w:t xml:space="preserve">    </w:t>
      </w:r>
      <w:r>
        <w:rPr>
          <w:rStyle w:val="18"/>
          <w:rFonts w:hint="eastAsia" w:ascii="仿宋_GB2312" w:hAnsi="仿宋_GB2312" w:eastAsia="仿宋_GB2312" w:cs="仿宋_GB2312"/>
          <w:spacing w:val="-4"/>
          <w:sz w:val="32"/>
          <w:szCs w:val="32"/>
        </w:rPr>
        <w:t>4. 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（1）项目资金安排落实、总投入情况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沙湾市财政局下达塔地财教〔2022〕53号沙财教〔2023〕11号2023年学生资助补助经费；塔地财教〔2022〕55号沙财教〔2023〕13号2023年教育项目资金；塔地财教【2023】44号沙财教【2023】24号关于下达2023年学生资助补助经费预算（第二批）中央直达资金，预算安排资金总额331.97万元，其中财政资金331.97万元、其他资金0万元；2023年实际收到预算资金331.97万元，预算资金到位率为100.0%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（2）项目资金实际使用情况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截至2023年12月25日，本项目实际支付资金331.97万元，预算执行率100%。项目资金主要用于支付办公费用38.43万元、水费用13万元，电费 15.89万元，维修费用4.34万元、办公设备购置费用 80.53万元、劳务费102.64万元、其他交通费0.6万元、邮电费3.33万元、差旅费6.65万元、培训费5.85万元、租赁费0.27万元、学生助学金用59.84万元、奖学金0.6万元。共计331.97万元。</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20" w:lineRule="exact"/>
        <w:ind w:left="638" w:leftChars="304" w:firstLine="219" w:firstLineChars="7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1.总体目标</w:t>
      </w: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学生资助补助资金项目资金的设立，是以解决保障学校日常运转和教育教学活动的顺利开展，提升办学条件，增强了师生幸福感。全年项目计划实现目标如下：我校落实好资助政策，保证资金安全，及时下达资金，学校按时落实资助资金。免学费资金拨付到位，改善办学条件，提高教学质量。加大宣传力度，落实好中职学校助学金资助政策。减轻贫困家庭经济压力，助力家庭脱贫，帮助学生顺利完成学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2.阶段性目标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①数量指标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“免学费学生补助人数”指标，预期指标值为“大于等于1151人”；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“助学金补助人数”指标，预期指标值为“大于等于312人”；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②质量指标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“专项资金支付规范率”指标，预期指标值为“等于100%”；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③时效指标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“项目完成时限”指标，预期指标值为“2023年12月20日前”；</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319" w:leftChars="152"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项目成本指标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8" w:leftChars="304"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①经济成本指标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“免学费标准”指标，预期指标值为“等于2800元/生/年”；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8" w:leftChars="304"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“助学金标准”指标，预期指标值为“等于2500元/生/年”。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1" w:leftChars="152" w:hanging="312" w:hanging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（3）项目效益指标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“有效改善办学条件”指标，预期指标值为“有效改善”。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（4）相关满意度目标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“学生满意度”指标，预期指标值为“大于等于95%”。</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20" w:lineRule="exact"/>
        <w:ind w:left="319" w:leftChars="152" w:firstLine="533" w:firstLineChars="17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1.绩效评价的目的</w:t>
      </w:r>
    </w:p>
    <w:p>
      <w:pPr>
        <w:keepNext w:val="0"/>
        <w:keepLines w:val="0"/>
        <w:pageBreakBefore w:val="0"/>
        <w:widowControl w:val="0"/>
        <w:kinsoku/>
        <w:wordWrap/>
        <w:overflowPunct/>
        <w:topLinePunct w:val="0"/>
        <w:autoSpaceDE/>
        <w:autoSpaceDN/>
        <w:bidi w:val="0"/>
        <w:adjustRightInd/>
        <w:snapToGrid/>
        <w:spacing w:line="520" w:lineRule="exact"/>
        <w:ind w:left="319" w:leftChars="152" w:firstLine="530" w:firstLineChars="17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2.绩效评价的对象和范围</w:t>
      </w:r>
    </w:p>
    <w:p>
      <w:pPr>
        <w:keepNext w:val="0"/>
        <w:keepLines w:val="0"/>
        <w:pageBreakBefore w:val="0"/>
        <w:widowControl w:val="0"/>
        <w:kinsoku/>
        <w:wordWrap/>
        <w:overflowPunct/>
        <w:topLinePunct w:val="0"/>
        <w:autoSpaceDE/>
        <w:autoSpaceDN/>
        <w:bidi w:val="0"/>
        <w:adjustRightInd/>
        <w:snapToGrid/>
        <w:spacing w:line="520" w:lineRule="exact"/>
        <w:ind w:left="319" w:leftChars="152" w:firstLine="530" w:firstLineChars="17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城乡义务教育补助经费教育项目资金（公用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bCs/>
          <w:spacing w:val="-4"/>
          <w:sz w:val="32"/>
          <w:szCs w:val="32"/>
        </w:rPr>
        <w:t>1.绩效评价原则</w:t>
      </w:r>
      <w:r>
        <w:rPr>
          <w:rStyle w:val="18"/>
          <w:rFonts w:hint="eastAsia" w:ascii="仿宋_GB2312" w:hAnsi="仿宋_GB2312" w:eastAsia="仿宋_GB2312" w:cs="仿宋_GB2312"/>
          <w:b w:val="0"/>
          <w:bCs w:val="0"/>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学生资助补助资金项目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2.绩效评价指标体系及绩效评价标准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一级指标为：决策、过程、产出、成本、效益。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二级指标为：项目立项、绩效目标、资金投入、资金管理、组织实施、产出数量、产出质量、产出时效、经济成本、项目效益。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left="638" w:leftChars="304" w:firstLine="219" w:firstLineChars="7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第一阶段：前期准备。</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校长蒲建浩任评价组组长，绩效评价工作职责为检查项目绩效指标完成情况、审定项目支出绩效评价结果及项目支出绩效评价报告。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副校长巴扎别克任评价组副组长，绩效评价工作职责为组织和协调项目工作人员采取实地调查、资料检查等方式，核实项目绩效指标完成情况；组织受益对象对项目工作进行评价等。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会计姚彩红任评价组成员，绩效评价工作职责为做好项目支出绩效评价工作的沟通协调工作，对项目实施情况进行实地调查，编写项目支出绩效评价报告。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第二阶段：组织实施。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第三阶段：分析评价。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第四阶段：撰写与提交评价报告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第五阶段：归集档案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（一）综合评价情况</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通过2023年学生资助补助资金项目的实施，解决了学校的基本运行，包括教学设备维护、水电费支出、信息化设备更新等。保障了教师外出培训，提供了能力提升的机会，对校园进行维修改善学校的教学环境，缩小了城乡教育差距问题，实现了学校的教学环境得到改善，提高了教育教学质量，减轻贫困学生家庭负担，增强学校就读职业学校的信心。促进教育公平，促进教育资源的均衡配置，推动教育事业的均衡发展的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楷体_GB2312" w:hAnsi="楷体_GB2312" w:eastAsia="楷体_GB2312" w:cs="楷体_GB2312"/>
          <w:spacing w:val="-4"/>
          <w:sz w:val="32"/>
          <w:szCs w:val="32"/>
          <w:lang w:val="en-US" w:eastAsia="zh-CN"/>
        </w:rPr>
        <w:t xml:space="preserve"> </w:t>
      </w:r>
      <w:r>
        <w:rPr>
          <w:rStyle w:val="18"/>
          <w:rFonts w:hint="eastAsia" w:ascii="楷体_GB2312" w:hAnsi="楷体_GB2312" w:eastAsia="楷体_GB2312" w:cs="楷体_GB2312"/>
          <w:spacing w:val="-4"/>
          <w:sz w:val="32"/>
          <w:szCs w:val="32"/>
        </w:rPr>
        <w:t>（二）综合评价结论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2023年学生资助补助资金项目的绩效目标和各项具体绩效指标实现情况进行了客观评价，最终评分为100分。绩效评级为“优”，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spacing w:val="-4"/>
          <w:sz w:val="32"/>
          <w:szCs w:val="32"/>
          <w:lang w:val="en-US" w:eastAsia="zh-CN"/>
        </w:rPr>
      </w:pPr>
      <w:r>
        <w:rPr>
          <w:rStyle w:val="18"/>
          <w:rFonts w:hint="eastAsia" w:ascii="楷体_GB2312" w:hAnsi="楷体_GB2312" w:eastAsia="楷体_GB2312" w:cs="楷体_GB2312"/>
          <w:spacing w:val="-4"/>
          <w:sz w:val="32"/>
          <w:szCs w:val="32"/>
          <w:lang w:val="en-US" w:eastAsia="zh-CN"/>
        </w:rPr>
        <w:t>（二）项目管理情况分析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本项目是由沙湾市教育和科学技术局单位提出申报，于2023年01月批复设立，依据塔地财教〔2022〕53号沙财教〔2023〕11号2023年学生资助补助经费；塔地财教〔2022〕55号沙财教〔2023〕13号2023年教育项目资金；塔地财教【2023】44号沙财教【2023】24号关于下达2023年学生资助补助经费预算（第二批）中央直达资金，文件要求组织实施该项目。项目立项符合国家法律法规、自治区和地区行业发展规划和政策要求，属于本部门履职所需。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5.预算编制科学性：预算编制经过科学论证，内容与项目内容匹配，项目投资额与工作任务相匹配，根据评分标准，该指标3分，得3分。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6.资金分配合理性：本项目资金分配依据充分，资金分配额度合理，与项目地方实际相适应。根据评分标准，该指标2分，得2分。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 xml:space="preserve">四、项目绩效情况 </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2.预算执行率：本项目预算编制较为详细，预算资金331.97万元，实际执行331.97万元，预算执行率为100.0%，项目资金支出总体能够按照预算执行；根据评分标准，该指标2分，得2分。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3.资金使用合规性：项目任务下达后，我单位制定了《财务管理制度》制度和管理规定对经费使用进行规范管理，财务制度健全、执行严格；根据评分标准，该指标3分，得3分。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4.管理制度健全性：我单位制定了相关项目管理办法，同时对财政专项资金进行严格管理，基本做到了专款专用，根据评分标准，该指标4分，得4分。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项目产出类指标包括产出数量、产出质量、产出时效、产出成本共四方面的内容，由6个三级指标构成，权重分为40分，本项目实际得分40分，得分率为100%。具体各项指标得分如下：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w:t>
      </w:r>
      <w:r>
        <w:rPr>
          <w:rStyle w:val="18"/>
          <w:rFonts w:hint="eastAsia" w:ascii="仿宋_GB2312" w:hAnsi="仿宋_GB2312" w:eastAsia="仿宋_GB2312" w:cs="仿宋_GB2312"/>
          <w:b/>
          <w:bCs/>
          <w:spacing w:val="-4"/>
          <w:sz w:val="32"/>
          <w:szCs w:val="32"/>
          <w:lang w:val="en-US" w:eastAsia="zh-CN"/>
        </w:rPr>
        <w:t>.</w:t>
      </w:r>
      <w:r>
        <w:rPr>
          <w:rStyle w:val="18"/>
          <w:rFonts w:hint="eastAsia" w:ascii="仿宋_GB2312" w:hAnsi="仿宋_GB2312" w:eastAsia="仿宋_GB2312" w:cs="仿宋_GB2312"/>
          <w:b/>
          <w:bCs/>
          <w:spacing w:val="-4"/>
          <w:sz w:val="32"/>
          <w:szCs w:val="32"/>
        </w:rPr>
        <w:t>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“免学费学生补助人数（人）”指标，预期指标值为“大于等于1151人”，根据在学籍学生花名册可知，实际完成补助学生人数1310人，与预期目标不一致，根据评分标准，该指标5分，得5分。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“助学金补助人数（人）”指标，预期指标值为“大于等于312人”，根据在学籍学生花名册可知，实际完成助学金补助人数369人，与预期目标一致，根据评分标准，该指标5分，得5分。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专项资金支付规范率（%）”指标，预期指标值为“等于100%”，根据资金拨付情况及银行支付回单，拨付资金全部用于保障学校正常教育教学工作，资金支付规范率达100%，与预期目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时限”指标，预期指标值为“2023年12月20日前”；根据资金支付凭证显示，该项目于2023年12月20日前完成采购验收，按合同约定，资金已于2023年12月20日全部支付完毕，与预期目标指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经济成本“免学费标准（元/生/年）”指标，预期指标值为“等于2800元/生/年”，根据上级拨付资金文件显示，本项目标准为2800元/生/年，在年度计划成本范围内，根据评分标准，该指标5分，得5分。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经济成本“助学金标准（元/生/年）”指标，预期指标值为“等于2500元/生/年”，根据上级拨付资金文件显示，本项目标准为2500元/生/年，在年度计划成本范围内，根据评分标准，该指标5分，得5分。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项目效益类指标由社会效益1个二级指标和1个三级指标构成，权重分为20分，本项目实际得分20分，得分率为20%。具体各项指标得分如下：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“有效改善办学条件”指标，预期指标值为“有效改善”，根据本单位年度考核情况，实际完成值为“基本达成目标”，根据评分标准，该指标20分，得20分。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“在校学生满意度（%）”指标，预期指标值为“大于等于95%”，根据对在校的学生进行满意度问卷调查的结果可知，学生满意度达97%，根据评分标准，该指标10分,得10分。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（一）预算执行进度</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2023年学生资助补助资金项目预算金额万元，实际到位331.97万元，全年项目实际支出331.97万元，预算执行率为100.0%。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（二）绩效指标偏差情况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2023年本单位负责实施的2023年学生资助补助资金项目的绩效目标及指标已经全部达成，不存在偏差情况。</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lang w:val="en-US" w:eastAsia="zh-CN"/>
        </w:rPr>
        <w:t>(一)</w:t>
      </w:r>
      <w:r>
        <w:rPr>
          <w:rStyle w:val="18"/>
          <w:rFonts w:hint="eastAsia" w:ascii="楷体_GB2312" w:hAnsi="楷体_GB2312" w:eastAsia="楷体_GB2312" w:cs="楷体_GB2312"/>
          <w:spacing w:val="-4"/>
          <w:sz w:val="32"/>
          <w:szCs w:val="32"/>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1.强化绩效目标刚性约束，及时对项目进行跟踪问效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楷体_GB2312" w:hAnsi="楷体_GB2312" w:eastAsia="楷体_GB2312" w:cs="楷体_GB2312"/>
          <w:spacing w:val="-4"/>
          <w:sz w:val="32"/>
          <w:szCs w:val="32"/>
          <w:lang w:val="en-US" w:eastAsia="zh-CN"/>
        </w:rPr>
        <w:t xml:space="preserve">  </w:t>
      </w:r>
      <w:r>
        <w:rPr>
          <w:rStyle w:val="18"/>
          <w:rFonts w:hint="eastAsia" w:ascii="楷体_GB2312" w:hAnsi="楷体_GB2312" w:eastAsia="楷体_GB2312" w:cs="楷体_GB2312"/>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lang w:val="en-US" w:eastAsia="zh-CN"/>
        </w:rPr>
        <w:t>1.绩效预算认识不够充分，绩效理念有待进一步强化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w:t>
      </w:r>
      <w:r>
        <w:rPr>
          <w:rStyle w:val="18"/>
          <w:rFonts w:hint="eastAsia" w:ascii="仿宋_GB2312" w:hAnsi="仿宋_GB2312" w:eastAsia="仿宋_GB2312" w:cs="仿宋_GB2312"/>
          <w:b w:val="0"/>
          <w:bCs w:val="0"/>
          <w:spacing w:val="-4"/>
          <w:sz w:val="32"/>
          <w:szCs w:val="32"/>
          <w:lang w:val="en-US" w:eastAsia="zh-CN"/>
        </w:rPr>
        <w:t>绩效</w:t>
      </w:r>
      <w:r>
        <w:rPr>
          <w:rStyle w:val="18"/>
          <w:rFonts w:hint="eastAsia" w:ascii="仿宋_GB2312" w:hAnsi="仿宋_GB2312" w:eastAsia="仿宋_GB2312" w:cs="仿宋_GB2312"/>
          <w:b w:val="0"/>
          <w:bCs w:val="0"/>
          <w:spacing w:val="-4"/>
          <w:sz w:val="32"/>
          <w:szCs w:val="32"/>
        </w:rPr>
        <w:t>管理，工作推动机制不全，业务人员业务能力和素质还有待进一步提升。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lang w:val="en-US" w:eastAsia="zh-CN"/>
        </w:rPr>
        <w:t xml:space="preserve"> 2.绩效档案归档工作有</w:t>
      </w:r>
      <w:bookmarkStart w:id="0" w:name="_GoBack"/>
      <w:bookmarkEnd w:id="0"/>
      <w:r>
        <w:rPr>
          <w:rStyle w:val="18"/>
          <w:rFonts w:hint="eastAsia" w:ascii="仿宋_GB2312" w:hAnsi="仿宋_GB2312" w:eastAsia="仿宋_GB2312" w:cs="仿宋_GB2312"/>
          <w:spacing w:val="-4"/>
          <w:sz w:val="32"/>
          <w:szCs w:val="32"/>
          <w:lang w:val="en-US" w:eastAsia="zh-CN"/>
        </w:rPr>
        <w:t>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二是单位人员对档案管理工作缺少针对性和目的性，对绩效档案工作重要性的认识不足，缺乏熟练的业务知识，使绩效档案管理与实际业务存在一定偏差，未发挥其综合价值。</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5DAEA6"/>
    <w:multiLevelType w:val="singleLevel"/>
    <w:tmpl w:val="DF5DAEA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ZTViNDFkNTUwYjY3NWIwZGU3OTQzYWM2MzVkNDU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24717550"/>
    <w:rsid w:val="2D8D5D4B"/>
    <w:rsid w:val="4D2606A1"/>
    <w:rsid w:val="79487ACD"/>
    <w:rsid w:val="7DE40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7479</Words>
  <Characters>7966</Characters>
  <Lines>5</Lines>
  <Paragraphs>1</Paragraphs>
  <TotalTime>9</TotalTime>
  <ScaleCrop>false</ScaleCrop>
  <LinksUpToDate>false</LinksUpToDate>
  <CharactersWithSpaces>8001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常 鑫</cp:lastModifiedBy>
  <cp:lastPrinted>2018-12-31T10:56:00Z</cp:lastPrinted>
  <dcterms:modified xsi:type="dcterms:W3CDTF">2024-11-08T11:51:39Z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3DAD40E1D93D40389B594D6F7B1AAEE7_12</vt:lpwstr>
  </property>
</Properties>
</file>