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中国共产党沙湾市委员会网络安全和信息化委员会办公室</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kinsoku/>
        <w:wordWrap/>
        <w:overflowPunct/>
        <w:topLinePunct w:val="0"/>
        <w:bidi w:val="0"/>
        <w:adjustRightInd/>
        <w:snapToGrid w:val="0"/>
        <w:spacing w:line="240" w:lineRule="auto"/>
        <w:ind w:firstLine="640" w:firstLineChars="200"/>
        <w:textAlignment w:val="auto"/>
        <w:rPr>
          <w:rFonts w:hint="eastAsia" w:ascii="仿宋_GB2312" w:hAnsi="仿宋" w:eastAsia="仿宋_GB2312"/>
          <w:sz w:val="32"/>
          <w:szCs w:val="32"/>
          <w:highlight w:val="none"/>
        </w:rPr>
      </w:pPr>
      <w:r>
        <w:rPr>
          <w:rFonts w:ascii="仿宋_GB2312" w:hAnsi="仿宋" w:eastAsia="仿宋_GB2312"/>
          <w:sz w:val="32"/>
          <w:szCs w:val="32"/>
          <w:highlight w:val="none"/>
        </w:rPr>
        <w:t>因单位性质，职能涉密，不予公开。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中国共产党沙湾市委员会网络安全和信息化委员会办公室</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单位无下属预算单位，下设 5 个科室，分别是：综合科、互联网党建科、网络举报科、网络评论科、舆情分析科。</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bookmarkStart w:id="48" w:name="_GoBack"/>
      <w:bookmarkEnd w:id="48"/>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eastAsia="zh-CN"/>
        </w:rPr>
        <w:t>2</w:t>
      </w:r>
      <w:r>
        <w:rPr>
          <w:rFonts w:hint="eastAsia" w:ascii="仿宋_GB2312" w:eastAsia="仿宋_GB2312"/>
          <w:color w:val="auto"/>
          <w:sz w:val="32"/>
          <w:szCs w:val="32"/>
          <w:highlight w:val="none"/>
          <w:lang w:eastAsia="zh-CN"/>
        </w:rPr>
        <w:t>023年度</w:t>
      </w:r>
      <w:r>
        <w:rPr>
          <w:rFonts w:hint="eastAsia" w:ascii="仿宋_GB2312" w:eastAsia="仿宋_GB2312"/>
          <w:color w:val="auto"/>
          <w:sz w:val="32"/>
          <w:szCs w:val="32"/>
          <w:highlight w:val="none"/>
          <w:lang w:val="en-US" w:eastAsia="zh-CN"/>
        </w:rPr>
        <w:t>收入总计</w:t>
      </w:r>
      <w:r>
        <w:rPr>
          <w:rFonts w:hint="eastAsia" w:ascii="仿宋_GB2312" w:eastAsia="仿宋_GB2312"/>
          <w:color w:val="auto"/>
          <w:sz w:val="32"/>
          <w:szCs w:val="32"/>
          <w:highlight w:val="none"/>
          <w:lang w:eastAsia="zh-CN"/>
        </w:rPr>
        <w:t>217.22万元，</w:t>
      </w:r>
      <w:r>
        <w:rPr>
          <w:rFonts w:hint="eastAsia" w:ascii="仿宋_GB2312" w:eastAsia="仿宋_GB2312"/>
          <w:color w:val="auto"/>
          <w:sz w:val="32"/>
          <w:szCs w:val="32"/>
          <w:highlight w:val="none"/>
          <w:lang w:val="en-US" w:eastAsia="zh-CN"/>
        </w:rPr>
        <w:t>其中：本年收入合计</w:t>
      </w:r>
      <w:r>
        <w:rPr>
          <w:rFonts w:hint="eastAsia" w:ascii="仿宋_GB2312" w:eastAsia="仿宋_GB2312"/>
          <w:color w:val="auto"/>
          <w:sz w:val="32"/>
          <w:szCs w:val="32"/>
          <w:highlight w:val="none"/>
          <w:lang w:eastAsia="zh-CN"/>
        </w:rPr>
        <w:t>217.22万元，使用非财政拨款结余0.00万元，年初结转和结余0.00万元。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2023</w:t>
      </w:r>
      <w:r>
        <w:rPr>
          <w:rFonts w:hint="eastAsia" w:ascii="仿宋_GB2312" w:eastAsia="仿宋_GB2312"/>
          <w:color w:val="auto"/>
          <w:sz w:val="32"/>
          <w:szCs w:val="32"/>
          <w:highlight w:val="none"/>
          <w:lang w:eastAsia="zh-CN"/>
        </w:rPr>
        <w:t>年</w:t>
      </w:r>
      <w:r>
        <w:rPr>
          <w:rFonts w:hint="eastAsia" w:ascii="仿宋_GB2312" w:eastAsia="仿宋_GB2312"/>
          <w:color w:val="auto"/>
          <w:sz w:val="32"/>
          <w:szCs w:val="32"/>
          <w:highlight w:val="none"/>
          <w:lang w:val="en-US" w:eastAsia="zh-CN"/>
        </w:rPr>
        <w:t>度</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lang w:val="en-US" w:eastAsia="zh-CN"/>
        </w:rPr>
        <w:t>总计</w:t>
      </w:r>
      <w:r>
        <w:rPr>
          <w:rFonts w:hint="eastAsia" w:ascii="仿宋_GB2312" w:eastAsia="仿宋_GB2312"/>
          <w:color w:val="auto"/>
          <w:sz w:val="32"/>
          <w:szCs w:val="32"/>
          <w:highlight w:val="none"/>
          <w:lang w:eastAsia="zh-CN"/>
        </w:rPr>
        <w:t>217.22万元，</w:t>
      </w:r>
      <w:r>
        <w:rPr>
          <w:rFonts w:hint="eastAsia" w:ascii="仿宋_GB2312" w:eastAsia="仿宋_GB2312"/>
          <w:color w:val="auto"/>
          <w:sz w:val="32"/>
          <w:szCs w:val="32"/>
          <w:highlight w:val="none"/>
          <w:lang w:val="en-US" w:eastAsia="zh-CN"/>
        </w:rPr>
        <w:t>其中：本年支出合计</w:t>
      </w:r>
      <w:r>
        <w:rPr>
          <w:rFonts w:hint="eastAsia" w:ascii="仿宋_GB2312" w:eastAsia="仿宋_GB2312"/>
          <w:color w:val="auto"/>
          <w:sz w:val="32"/>
          <w:szCs w:val="32"/>
          <w:highlight w:val="none"/>
          <w:lang w:eastAsia="zh-CN"/>
        </w:rPr>
        <w:t>217.22万元，</w:t>
      </w:r>
      <w:r>
        <w:rPr>
          <w:rFonts w:hint="eastAsia" w:ascii="仿宋_GB2312" w:eastAsia="仿宋_GB2312"/>
          <w:color w:val="auto"/>
          <w:sz w:val="32"/>
          <w:szCs w:val="32"/>
          <w:highlight w:val="none"/>
          <w:lang w:val="en-US" w:eastAsia="zh-CN"/>
        </w:rPr>
        <w:t>结余分配</w:t>
      </w:r>
      <w:r>
        <w:rPr>
          <w:rFonts w:hint="eastAsia" w:ascii="仿宋_GB2312" w:eastAsia="仿宋_GB2312"/>
          <w:color w:val="auto"/>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收入支出总体与上年相比</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zh-CN" w:eastAsia="zh-CN"/>
        </w:rPr>
        <w:t>增加25.66万元</w:t>
      </w:r>
      <w:r>
        <w:rPr>
          <w:rFonts w:hint="eastAsia" w:ascii="仿宋_GB2312" w:eastAsia="仿宋_GB2312"/>
          <w:color w:val="auto"/>
          <w:sz w:val="32"/>
          <w:szCs w:val="32"/>
          <w:highlight w:val="none"/>
          <w:lang w:eastAsia="zh-CN"/>
        </w:rPr>
        <w:t>，增长13.40%，主要原因是：（</w:t>
      </w:r>
      <w:r>
        <w:rPr>
          <w:rFonts w:hint="eastAsia" w:ascii="仿宋_GB2312" w:eastAsia="仿宋_GB2312"/>
          <w:color w:val="auto"/>
          <w:sz w:val="32"/>
          <w:szCs w:val="32"/>
          <w:highlight w:val="none"/>
          <w:lang w:val="en-US" w:eastAsia="zh-CN"/>
        </w:rPr>
        <w:t>1）2023年调增工资并补发了基础绩效；（2）发放了2018年下半年大绩效，使得人员工资社保支出大幅度提高</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本年收入217.22万元，其中：财政拨款收入</w:t>
      </w:r>
      <w:r>
        <w:rPr>
          <w:rFonts w:hint="eastAsia" w:ascii="仿宋_GB2312" w:eastAsia="仿宋_GB2312"/>
          <w:color w:val="auto"/>
          <w:sz w:val="32"/>
          <w:szCs w:val="32"/>
          <w:highlight w:val="none"/>
          <w:lang w:val="zh-CN" w:eastAsia="zh-CN"/>
        </w:rPr>
        <w:t>217.22</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100.00%</w:t>
      </w:r>
      <w:r>
        <w:rPr>
          <w:rFonts w:hint="eastAsia" w:ascii="仿宋_GB2312" w:eastAsia="仿宋_GB2312"/>
          <w:color w:val="auto"/>
          <w:sz w:val="32"/>
          <w:szCs w:val="32"/>
          <w:highlight w:val="none"/>
          <w:lang w:val="en-US" w:eastAsia="zh-CN"/>
        </w:rPr>
        <w:t>；上级补助收入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；事业收入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；经营收入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；附属单位上缴收入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；其他收入</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万元，占</w:t>
      </w:r>
      <w:r>
        <w:rPr>
          <w:rFonts w:hint="eastAsia" w:ascii="仿宋_GB2312" w:eastAsia="仿宋_GB2312"/>
          <w:color w:val="auto"/>
          <w:sz w:val="32"/>
          <w:szCs w:val="32"/>
          <w:highlight w:val="none"/>
          <w:lang w:val="zh-CN" w:eastAsia="zh-CN"/>
        </w:rPr>
        <w:t>0.00%</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本年支出217.22万元，其中：基本支出211.22万元，占97.24%；项目支出6.00万元，占2.76%；上缴上级支出0.00万元，占0.00%；经营支出0.00万元，占0.00%；对附属单位补助支出0.00万元，占0.00%。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2023年度财政拨款收入</w:t>
      </w:r>
      <w:r>
        <w:rPr>
          <w:rFonts w:hint="eastAsia" w:ascii="仿宋_GB2312" w:eastAsia="仿宋_GB2312"/>
          <w:color w:val="auto"/>
          <w:sz w:val="32"/>
          <w:szCs w:val="32"/>
          <w:highlight w:val="none"/>
          <w:lang w:val="en-US" w:eastAsia="zh-CN"/>
        </w:rPr>
        <w:t>总计</w:t>
      </w:r>
      <w:r>
        <w:rPr>
          <w:rFonts w:hint="eastAsia" w:ascii="仿宋_GB2312" w:eastAsia="仿宋_GB2312"/>
          <w:color w:val="auto"/>
          <w:sz w:val="32"/>
          <w:szCs w:val="32"/>
          <w:highlight w:val="none"/>
          <w:lang w:val="zh-CN" w:eastAsia="zh-CN"/>
        </w:rPr>
        <w:t>217.22万元，</w:t>
      </w:r>
      <w:r>
        <w:rPr>
          <w:rFonts w:hint="eastAsia" w:ascii="仿宋_GB2312" w:eastAsia="仿宋_GB2312"/>
          <w:color w:val="auto"/>
          <w:sz w:val="32"/>
          <w:szCs w:val="32"/>
          <w:highlight w:val="none"/>
          <w:lang w:val="en-US" w:eastAsia="zh-CN"/>
        </w:rPr>
        <w:t>其中：年初财政拨款结转和结余</w:t>
      </w:r>
      <w:r>
        <w:rPr>
          <w:rFonts w:hint="eastAsia" w:ascii="仿宋_GB2312" w:eastAsia="仿宋_GB2312"/>
          <w:color w:val="auto"/>
          <w:sz w:val="32"/>
          <w:szCs w:val="32"/>
          <w:highlight w:val="none"/>
          <w:lang w:val="zh-CN" w:eastAsia="zh-CN"/>
        </w:rPr>
        <w:t>0.00万元，</w:t>
      </w:r>
      <w:r>
        <w:rPr>
          <w:rFonts w:hint="eastAsia" w:ascii="仿宋_GB2312" w:eastAsia="仿宋_GB2312"/>
          <w:color w:val="auto"/>
          <w:sz w:val="32"/>
          <w:szCs w:val="32"/>
          <w:highlight w:val="none"/>
          <w:lang w:val="en-US" w:eastAsia="zh-CN"/>
        </w:rPr>
        <w:t>本年财政拨款收入</w:t>
      </w:r>
      <w:r>
        <w:rPr>
          <w:rFonts w:hint="eastAsia" w:ascii="仿宋_GB2312" w:eastAsia="仿宋_GB2312"/>
          <w:color w:val="auto"/>
          <w:sz w:val="32"/>
          <w:szCs w:val="32"/>
          <w:highlight w:val="none"/>
          <w:lang w:val="zh-CN" w:eastAsia="zh-CN"/>
        </w:rPr>
        <w:t>217.22万元。财政拨款支出</w:t>
      </w:r>
      <w:r>
        <w:rPr>
          <w:rFonts w:hint="eastAsia" w:ascii="仿宋_GB2312" w:eastAsia="仿宋_GB2312"/>
          <w:color w:val="auto"/>
          <w:sz w:val="32"/>
          <w:szCs w:val="32"/>
          <w:highlight w:val="none"/>
          <w:lang w:val="en-US" w:eastAsia="zh-CN"/>
        </w:rPr>
        <w:t>总计</w:t>
      </w:r>
      <w:r>
        <w:rPr>
          <w:rFonts w:hint="eastAsia" w:ascii="仿宋_GB2312" w:eastAsia="仿宋_GB2312"/>
          <w:color w:val="auto"/>
          <w:sz w:val="32"/>
          <w:szCs w:val="32"/>
          <w:highlight w:val="none"/>
          <w:lang w:val="zh-CN" w:eastAsia="zh-CN"/>
        </w:rPr>
        <w:t>217.22万元，</w:t>
      </w:r>
      <w:r>
        <w:rPr>
          <w:rFonts w:hint="eastAsia" w:ascii="仿宋_GB2312" w:eastAsia="仿宋_GB2312"/>
          <w:color w:val="auto"/>
          <w:sz w:val="32"/>
          <w:szCs w:val="32"/>
          <w:highlight w:val="none"/>
          <w:lang w:val="en-US" w:eastAsia="zh-CN"/>
        </w:rPr>
        <w:t>其中：年末财政拨款结转和结余</w:t>
      </w:r>
      <w:r>
        <w:rPr>
          <w:rFonts w:hint="eastAsia" w:ascii="仿宋_GB2312" w:eastAsia="仿宋_GB2312"/>
          <w:color w:val="auto"/>
          <w:sz w:val="32"/>
          <w:szCs w:val="32"/>
          <w:highlight w:val="none"/>
          <w:lang w:val="zh-CN" w:eastAsia="zh-CN"/>
        </w:rPr>
        <w:t>0.00万元，</w:t>
      </w:r>
      <w:r>
        <w:rPr>
          <w:rFonts w:hint="eastAsia" w:ascii="仿宋_GB2312" w:eastAsia="仿宋_GB2312"/>
          <w:color w:val="auto"/>
          <w:sz w:val="32"/>
          <w:szCs w:val="32"/>
          <w:highlight w:val="none"/>
          <w:lang w:val="en-US" w:eastAsia="zh-CN"/>
        </w:rPr>
        <w:t>本年财政拨款支出</w:t>
      </w:r>
      <w:r>
        <w:rPr>
          <w:rFonts w:hint="eastAsia" w:ascii="仿宋_GB2312" w:eastAsia="仿宋_GB2312"/>
          <w:color w:val="auto"/>
          <w:sz w:val="32"/>
          <w:szCs w:val="32"/>
          <w:highlight w:val="none"/>
          <w:lang w:val="zh-CN" w:eastAsia="zh-CN"/>
        </w:rPr>
        <w:t>217.22万元。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财政拨款收入支出总体与上年相比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增加25.66万元，</w:t>
      </w:r>
      <w:r>
        <w:rPr>
          <w:rFonts w:hint="eastAsia" w:ascii="仿宋_GB2312" w:eastAsia="仿宋_GB2312"/>
          <w:color w:val="auto"/>
          <w:sz w:val="32"/>
          <w:szCs w:val="32"/>
          <w:highlight w:val="none"/>
          <w:lang w:val="en-US" w:eastAsia="zh-CN"/>
        </w:rPr>
        <w:t>增长13.40%,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1）2023年调增工资并补发了基础绩效；（2）发放了2018年下半年大绩效，使得人员工资社保支出大幅度提高</w:t>
      </w:r>
      <w:r>
        <w:rPr>
          <w:rFonts w:hint="eastAsia" w:ascii="仿宋_GB2312" w:eastAsia="仿宋_GB2312"/>
          <w:color w:val="auto"/>
          <w:sz w:val="32"/>
          <w:szCs w:val="32"/>
          <w:highlight w:val="none"/>
          <w:lang w:val="zh-CN" w:eastAsia="zh-CN"/>
        </w:rPr>
        <w:t>。与年初预算相比，年初预算数174.77万元，决算数217.22万元，预决算差异率24.29%，主要原因是：</w:t>
      </w:r>
      <w:r>
        <w:rPr>
          <w:rFonts w:hint="eastAsia" w:ascii="仿宋_GB2312" w:eastAsia="仿宋_GB2312"/>
          <w:color w:val="auto"/>
          <w:sz w:val="32"/>
          <w:szCs w:val="32"/>
          <w:highlight w:val="none"/>
          <w:lang w:val="en-US" w:eastAsia="zh-CN"/>
        </w:rPr>
        <w:t>2023年调增工资，追加并补发了基础绩效；追加了2018年下半年大绩效，使得人员工资社保支出大幅度提高</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2023年度一般公共预算财政拨款支出217.22万元，占本年支出合计的100.00%。与上年相比，增加25.66万元，</w:t>
      </w:r>
      <w:r>
        <w:rPr>
          <w:rFonts w:hint="eastAsia" w:ascii="仿宋_GB2312" w:eastAsia="仿宋_GB2312"/>
          <w:color w:val="auto"/>
          <w:sz w:val="32"/>
          <w:szCs w:val="32"/>
          <w:highlight w:val="none"/>
          <w:lang w:val="en-US" w:eastAsia="zh-CN"/>
        </w:rPr>
        <w:t>增长13.40%,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1）2023年调增工资并补发了基础绩效；（2）发放了2018年下半年大绩效，使得人员工资社保支出大幅度提高</w:t>
      </w:r>
      <w:r>
        <w:rPr>
          <w:rFonts w:hint="eastAsia" w:ascii="仿宋_GB2312" w:eastAsia="仿宋_GB2312"/>
          <w:color w:val="auto"/>
          <w:sz w:val="32"/>
          <w:szCs w:val="32"/>
          <w:highlight w:val="none"/>
          <w:lang w:val="zh-CN" w:eastAsia="zh-CN"/>
        </w:rPr>
        <w:t>。与年初预算相比，年初预算数174.77万元，决算数217.22万元，预决算差异率24.29%，主要原因是：</w:t>
      </w:r>
      <w:r>
        <w:rPr>
          <w:rFonts w:hint="eastAsia" w:ascii="仿宋_GB2312" w:eastAsia="仿宋_GB2312"/>
          <w:color w:val="auto"/>
          <w:sz w:val="32"/>
          <w:szCs w:val="32"/>
          <w:highlight w:val="none"/>
          <w:lang w:val="en-US" w:eastAsia="zh-CN"/>
        </w:rPr>
        <w:t>2023年调增工资，追加并补发了基础绩效；追加了2018年下半年大绩效，使得人员工资社保支出大幅度提高</w:t>
      </w:r>
      <w:r>
        <w:rPr>
          <w:rFonts w:hint="eastAsia" w:ascii="仿宋_GB2312" w:eastAsia="仿宋_GB2312"/>
          <w:color w:val="auto"/>
          <w:sz w:val="32"/>
          <w:szCs w:val="32"/>
          <w:highlight w:val="none"/>
          <w:lang w:val="zh-CN"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s="Times New Roman"/>
          <w:color w:val="auto"/>
          <w:kern w:val="2"/>
          <w:sz w:val="32"/>
          <w:szCs w:val="32"/>
          <w:highlight w:val="none"/>
          <w:lang w:val="en-US" w:eastAsia="zh-CN" w:bidi="ar-SA"/>
        </w:rPr>
        <w:t>（二）</w:t>
      </w: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173.73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79.98%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18.67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8.59%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8.96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4.12%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15.86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7.30%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kinsoku/>
        <w:wordWrap/>
        <w:overflowPunct/>
        <w:topLinePunct w:val="0"/>
        <w:bidi w:val="0"/>
        <w:adjustRightIn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1.一般公共服务支出（类）网信事务（款）行政运行（项）:支出决算数为54.48万元，比上年决算减少96.77万元，下降63.98%，主要原因是：2022年网信办核算均在行政运行科目下核算，未区分行政及事业。</w:t>
      </w:r>
      <w:r>
        <w:rPr>
          <w:rFonts w:hint="eastAsia" w:ascii="仿宋_GB2312" w:hAnsi="仿宋_GB2312" w:eastAsia="仿宋_GB2312" w:cs="仿宋_GB2312"/>
          <w:sz w:val="32"/>
          <w:szCs w:val="32"/>
          <w:highlight w:val="none"/>
          <w:lang w:val="en-US" w:eastAsia="zh-CN"/>
        </w:rPr>
        <w:t>2023年行政与</w:t>
      </w:r>
      <w:r>
        <w:rPr>
          <w:rFonts w:hint="eastAsia" w:ascii="仿宋_GB2312" w:hAnsi="仿宋_GB2312" w:eastAsia="仿宋_GB2312" w:cs="仿宋_GB2312"/>
          <w:sz w:val="32"/>
          <w:szCs w:val="32"/>
          <w:highlight w:val="none"/>
        </w:rPr>
        <w:t>事业</w:t>
      </w:r>
      <w:r>
        <w:rPr>
          <w:rFonts w:hint="eastAsia" w:ascii="仿宋_GB2312" w:hAnsi="仿宋_GB2312" w:eastAsia="仿宋_GB2312" w:cs="仿宋_GB2312"/>
          <w:sz w:val="32"/>
          <w:szCs w:val="32"/>
          <w:highlight w:val="none"/>
          <w:lang w:val="en-US" w:eastAsia="zh-CN"/>
        </w:rPr>
        <w:t>独立核算，造成行政决算较上年下降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kinsoku/>
        <w:wordWrap/>
        <w:overflowPunct/>
        <w:topLinePunct w:val="0"/>
        <w:bidi w:val="0"/>
        <w:adjustRightIn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2.卫生健康支出（类）行政事业单位医疗（款）行政单位医疗（项）:支出决算数为1.91万元，比上年决算减少0.29万元，下降13.18%，主要原因是：</w:t>
      </w:r>
      <w:r>
        <w:rPr>
          <w:rFonts w:hint="eastAsia" w:ascii="仿宋_GB2312" w:hAnsi="仿宋_GB2312" w:eastAsia="仿宋_GB2312" w:cs="仿宋_GB2312"/>
          <w:sz w:val="32"/>
          <w:szCs w:val="32"/>
          <w:highlight w:val="none"/>
          <w:lang w:val="en-US" w:eastAsia="zh-CN"/>
        </w:rPr>
        <w:t>2023年行政人员高工资人员调出，低工资人员调入，人员缴费基数整体下降</w:t>
      </w:r>
      <w:r>
        <w:rPr>
          <w:rFonts w:hint="eastAsia" w:ascii="仿宋_GB2312" w:hAnsi="仿宋_GB2312" w:eastAsia="仿宋_GB2312" w:cs="仿宋_GB2312"/>
          <w:sz w:val="32"/>
          <w:szCs w:val="32"/>
          <w:highlight w:val="none"/>
          <w:lang w:eastAsia="zh-CN"/>
        </w:rPr>
        <w:t>，医疗缴费减少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3.卫生健康支出（类）行政事业单位医疗（款）事业单位医疗（项）:支出决算数为6.10万元，比上年决算增加1.66万元，增长37.39%，主要原因是：</w:t>
      </w:r>
      <w:r>
        <w:rPr>
          <w:rFonts w:hint="eastAsia" w:ascii="仿宋_GB2312" w:hAnsi="仿宋_GB2312" w:eastAsia="仿宋_GB2312" w:cs="仿宋_GB2312"/>
          <w:sz w:val="32"/>
          <w:szCs w:val="32"/>
          <w:highlight w:val="none"/>
          <w:lang w:val="en-US" w:eastAsia="zh-CN"/>
        </w:rPr>
        <w:t>2023年</w:t>
      </w:r>
      <w:r>
        <w:rPr>
          <w:rFonts w:hint="eastAsia" w:ascii="仿宋_GB2312" w:hAnsi="仿宋_GB2312" w:eastAsia="仿宋_GB2312" w:cs="仿宋_GB2312"/>
          <w:sz w:val="32"/>
          <w:szCs w:val="32"/>
          <w:highlight w:val="none"/>
        </w:rPr>
        <w:t>事业单位医疗</w:t>
      </w:r>
      <w:r>
        <w:rPr>
          <w:rFonts w:hint="eastAsia" w:ascii="仿宋_GB2312" w:hAnsi="仿宋_GB2312" w:eastAsia="仿宋_GB2312" w:cs="仿宋_GB2312"/>
          <w:sz w:val="32"/>
          <w:szCs w:val="32"/>
          <w:highlight w:val="none"/>
          <w:lang w:eastAsia="zh-CN"/>
        </w:rPr>
        <w:t>缴费基数</w:t>
      </w:r>
      <w:r>
        <w:rPr>
          <w:rFonts w:hint="eastAsia" w:ascii="仿宋_GB2312" w:hAnsi="仿宋_GB2312" w:eastAsia="仿宋_GB2312" w:cs="仿宋_GB2312"/>
          <w:sz w:val="32"/>
          <w:szCs w:val="32"/>
          <w:highlight w:val="none"/>
          <w:lang w:val="en-US" w:eastAsia="zh-CN"/>
        </w:rPr>
        <w:t>上调</w:t>
      </w:r>
      <w:r>
        <w:rPr>
          <w:rFonts w:hint="eastAsia" w:ascii="仿宋_GB2312" w:hAnsi="仿宋_GB2312" w:eastAsia="仿宋_GB2312" w:cs="仿宋_GB2312"/>
          <w:sz w:val="32"/>
          <w:szCs w:val="32"/>
          <w:highlight w:val="none"/>
          <w:lang w:eastAsia="zh-CN"/>
        </w:rPr>
        <w:t>，医疗缴费</w:t>
      </w:r>
      <w:r>
        <w:rPr>
          <w:rFonts w:hint="eastAsia" w:ascii="仿宋_GB2312" w:hAnsi="仿宋_GB2312" w:eastAsia="仿宋_GB2312" w:cs="仿宋_GB2312"/>
          <w:sz w:val="32"/>
          <w:szCs w:val="32"/>
          <w:highlight w:val="none"/>
          <w:lang w:val="en-US" w:eastAsia="zh-CN"/>
        </w:rPr>
        <w:t>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4.卫生健康支出（类）行政事业单位医疗（款）公务员医疗补助（项）:支出决算数为0.95万元，比上年决算减少0.12万元，下降11.21%，主要原因是：</w:t>
      </w:r>
      <w:r>
        <w:rPr>
          <w:rFonts w:hint="eastAsia" w:ascii="仿宋_GB2312" w:hAnsi="仿宋_GB2312" w:eastAsia="仿宋_GB2312" w:cs="仿宋_GB2312"/>
          <w:sz w:val="32"/>
          <w:szCs w:val="32"/>
          <w:highlight w:val="none"/>
          <w:lang w:val="en-US" w:eastAsia="zh-CN"/>
        </w:rPr>
        <w:t>2023年行政人员调入调出有变化，高基数人员调出，低基数人员调入，人员缴费基数下降</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公务员</w:t>
      </w:r>
      <w:r>
        <w:rPr>
          <w:rFonts w:hint="eastAsia" w:ascii="仿宋_GB2312" w:hAnsi="仿宋_GB2312" w:eastAsia="仿宋_GB2312" w:cs="仿宋_GB2312"/>
          <w:sz w:val="32"/>
          <w:szCs w:val="32"/>
          <w:highlight w:val="none"/>
          <w:lang w:eastAsia="zh-CN"/>
        </w:rPr>
        <w:t>医疗缴费减少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5.住房保障支出（类）住房改革支出（款）住房公积金（项）:支出决算数为15.86万元，比上年决算增加3.56万元，增长28.94%，主要原因是：</w:t>
      </w:r>
      <w:r>
        <w:rPr>
          <w:rFonts w:hint="eastAsia" w:ascii="仿宋_GB2312" w:eastAsia="仿宋_GB2312"/>
          <w:color w:val="auto"/>
          <w:spacing w:val="0"/>
          <w:sz w:val="32"/>
          <w:szCs w:val="32"/>
          <w:highlight w:val="none"/>
          <w:lang w:val="en-US" w:eastAsia="zh-CN"/>
        </w:rPr>
        <w:t>2023年调增工资，缴费基数调高，缴费增加。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一般公共服务支出（类）网信事务（款）事业运行（项）:支出决算数为113.25万元，比上年决算增加113.25万元，增长100%，主要原因是：2023年以前统一使用行政运行科目核算，2023年开始事业运行独立核算，所以2023年较上年增长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7.一般公共服务支出（类）网信事务（款）其他网信事务支出（项）:支出决算数为6.00万元，比上年决算减少0.94万元，下降13.54%，主要原因是：2022年执行偿还债务金额为6.9405万元，2023年偿还债务6万元。按债务偿还计划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8.社会保障和就业支出（类）行政事业单位养老支出（款）机关事业单位基本养老保险缴费支出（项）:支出决算数为18.67万元，比上年决算增加5.30万元，增长39.64%，主要原因是：</w:t>
      </w:r>
      <w:r>
        <w:rPr>
          <w:rFonts w:hint="eastAsia" w:ascii="仿宋_GB2312" w:eastAsia="仿宋_GB2312"/>
          <w:color w:val="auto"/>
          <w:spacing w:val="0"/>
          <w:sz w:val="32"/>
          <w:szCs w:val="32"/>
          <w:highlight w:val="none"/>
          <w:lang w:val="en-US" w:eastAsia="zh-CN"/>
        </w:rPr>
        <w:t>2023年调增工资，缴费基数调高，缴费增加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2023年度一般公共预算财政拨款基本支出211.22万元，其中：人员经费199.50万元，包括：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公用经费11.72万元，包括：</w:t>
      </w:r>
      <w:r>
        <w:rPr>
          <w:rFonts w:hint="eastAsia" w:ascii="仿宋_GB2312" w:eastAsia="仿宋_GB2312"/>
          <w:color w:val="auto"/>
          <w:sz w:val="32"/>
          <w:szCs w:val="32"/>
          <w:highlight w:val="none"/>
          <w:lang w:val="en-US" w:eastAsia="zh-CN"/>
        </w:rPr>
        <w:t>办公费、电费、邮电费、物业管理费、维修（护）费、劳务费、工会经费、公务用车运行维护费。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“三公”经费支出0.30万元，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减少1.64万元，</w:t>
      </w:r>
      <w:r>
        <w:rPr>
          <w:rFonts w:hint="eastAsia" w:ascii="仿宋_GB2312" w:eastAsia="仿宋_GB2312"/>
          <w:color w:val="auto"/>
          <w:sz w:val="32"/>
          <w:szCs w:val="32"/>
          <w:highlight w:val="none"/>
          <w:lang w:val="en-US" w:eastAsia="zh-CN"/>
        </w:rPr>
        <w:t>下降84.54%,</w:t>
      </w:r>
      <w:r>
        <w:rPr>
          <w:rFonts w:hint="eastAsia" w:ascii="仿宋_GB2312" w:eastAsia="仿宋_GB2312"/>
          <w:color w:val="auto"/>
          <w:sz w:val="32"/>
          <w:szCs w:val="32"/>
          <w:highlight w:val="none"/>
          <w:lang w:val="zh-CN" w:eastAsia="zh-CN"/>
        </w:rPr>
        <w:t>主要原因是：压缩三公经费的要求，今年加大了公用支出的压缩力度。其中：因公出国（境）费支出0.00万元，占0.00%，比上年增加0.00万元，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主要原因是：单位无因公出国（境）费支出；公务用车购置及运行维护费支出0.30万元，占100.00%，比上年减少1.64万元，</w:t>
      </w:r>
      <w:r>
        <w:rPr>
          <w:rFonts w:hint="eastAsia" w:ascii="仿宋_GB2312" w:eastAsia="仿宋_GB2312"/>
          <w:color w:val="auto"/>
          <w:sz w:val="32"/>
          <w:szCs w:val="32"/>
          <w:highlight w:val="none"/>
          <w:lang w:val="en-US" w:eastAsia="zh-CN"/>
        </w:rPr>
        <w:t>下降84.54%,</w:t>
      </w:r>
      <w:r>
        <w:rPr>
          <w:rFonts w:hint="eastAsia" w:ascii="仿宋_GB2312" w:eastAsia="仿宋_GB2312"/>
          <w:color w:val="auto"/>
          <w:sz w:val="32"/>
          <w:szCs w:val="32"/>
          <w:highlight w:val="none"/>
          <w:lang w:val="zh-CN" w:eastAsia="zh-CN"/>
        </w:rPr>
        <w:t>主要原因是：压缩三公经费的要求，今年加大了公用支出的压缩力度；公务接待费支出0.00万元，占0.00%，比上年增加0.00万元，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公务用车购置及运行维护费0.30万元，其中：公务用车购置费0.00万元，公务用车运行维护费0.30万元。公务用车运行维护费开支内容包括</w:t>
      </w:r>
      <w:r>
        <w:rPr>
          <w:rFonts w:hint="eastAsia" w:ascii="仿宋_GB2312" w:eastAsia="仿宋_GB2312"/>
          <w:color w:val="auto"/>
          <w:sz w:val="32"/>
          <w:szCs w:val="32"/>
          <w:highlight w:val="none"/>
          <w:lang w:val="en-US" w:eastAsia="zh-CN"/>
        </w:rPr>
        <w:t>车辆维修及保险费</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预算数0.30万元，决算数0.30万元，预决算差异率0.00%，主要原因是：我单位未安排“三公”经费支出。预决算无差异。其中：因公出国（境）费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预算数0.30万元，决算数0.30万元，预决算差异率0.00%，主要原因是：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bookmarkStart w:id="18" w:name="_Toc5810"/>
      <w:bookmarkStart w:id="19" w:name="_Toc79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w:t>
      </w:r>
      <w:bookmarkEnd w:id="18"/>
      <w:bookmarkEnd w:id="19"/>
      <w:r>
        <w:rPr>
          <w:rFonts w:hint="eastAsia" w:ascii="黑体" w:hAnsi="黑体" w:eastAsia="黑体" w:cs="宋体"/>
          <w:bCs/>
          <w:color w:val="auto"/>
          <w:kern w:val="0"/>
          <w:sz w:val="32"/>
          <w:szCs w:val="32"/>
          <w:highlight w:val="none"/>
          <w:lang w:val="en-US" w:eastAsia="zh-CN"/>
        </w:rPr>
        <w:t>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val="zh-CN"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val="zh-CN" w:eastAsia="zh-CN"/>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bookmarkStart w:id="20" w:name="_Toc7314"/>
      <w:bookmarkStart w:id="21" w:name="_Toc1235"/>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bidi="ar-SA"/>
        </w:rPr>
        <w:t>十、</w:t>
      </w:r>
      <w:r>
        <w:rPr>
          <w:rFonts w:hint="eastAsia" w:ascii="黑体" w:hAnsi="黑体" w:eastAsia="黑体" w:cs="宋体"/>
          <w:bCs/>
          <w:color w:val="auto"/>
          <w:kern w:val="0"/>
          <w:sz w:val="32"/>
          <w:szCs w:val="32"/>
          <w:highlight w:val="none"/>
          <w:lang w:val="en-US" w:eastAsia="zh-CN"/>
        </w:rPr>
        <w:t>其他重要事项的情况说明</w:t>
      </w:r>
      <w:bookmarkEnd w:id="20"/>
      <w:bookmarkEnd w:id="21"/>
      <w:bookmarkStart w:id="22" w:name="_Toc13105"/>
      <w:bookmarkStart w:id="23" w:name="_Toc14519"/>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（一）机关运行经费支出情况</w:t>
      </w:r>
      <w:bookmarkEnd w:id="22"/>
      <w:bookmarkEnd w:id="23"/>
      <w:bookmarkStart w:id="24" w:name="_Toc227"/>
      <w:bookmarkStart w:id="25" w:name="_Toc26704"/>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中国共产党沙湾市委员会网络安全和信息化委员会办公室（行政单位和参照公务员法管理事业单位）机关运行经费支出11.72万元，</w:t>
      </w:r>
      <w:r>
        <w:rPr>
          <w:rFonts w:hint="eastAsia" w:ascii="仿宋_GB2312" w:eastAsia="仿宋_GB2312"/>
          <w:color w:val="auto"/>
          <w:sz w:val="32"/>
          <w:szCs w:val="32"/>
          <w:highlight w:val="none"/>
          <w:lang w:val="zh-CN" w:eastAsia="zh-CN"/>
        </w:rPr>
        <w:t>比上年减少13.94万元，下降54.33%，主要原因是：</w:t>
      </w:r>
      <w:r>
        <w:rPr>
          <w:rFonts w:hint="eastAsia" w:ascii="仿宋_GB2312" w:hAnsi="仿宋_GB2312" w:eastAsia="仿宋_GB2312" w:cs="仿宋_GB2312"/>
          <w:sz w:val="32"/>
          <w:szCs w:val="32"/>
          <w:highlight w:val="none"/>
          <w:lang w:val="en-US" w:eastAsia="zh-CN"/>
        </w:rPr>
        <w:t>高工资人员调出，低工资人员调入，</w:t>
      </w:r>
      <w:r>
        <w:rPr>
          <w:rFonts w:hint="eastAsia" w:ascii="仿宋_GB2312" w:eastAsia="仿宋_GB2312"/>
          <w:color w:val="auto"/>
          <w:sz w:val="32"/>
          <w:szCs w:val="32"/>
          <w:highlight w:val="none"/>
          <w:lang w:val="en-US" w:eastAsia="zh-CN"/>
        </w:rPr>
        <w:t>厉行节约，压减经费支付。</w:t>
      </w:r>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黑体" w:hAnsi="黑体" w:eastAsia="黑体" w:cs="宋体"/>
          <w:bCs/>
          <w:color w:val="auto"/>
          <w:kern w:val="0"/>
          <w:sz w:val="32"/>
          <w:szCs w:val="32"/>
          <w:highlight w:val="none"/>
          <w:lang w:val="zh-CN" w:eastAsia="zh-CN"/>
        </w:rPr>
      </w:pPr>
      <w:r>
        <w:rPr>
          <w:rFonts w:hint="eastAsia" w:ascii="黑体" w:hAnsi="黑体" w:eastAsia="黑体" w:cs="宋体"/>
          <w:bCs/>
          <w:color w:val="auto"/>
          <w:kern w:val="0"/>
          <w:sz w:val="32"/>
          <w:szCs w:val="32"/>
          <w:highlight w:val="none"/>
          <w:lang w:val="zh-CN" w:eastAsia="zh-CN"/>
        </w:rPr>
        <w:t>（</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val="zh-CN" w:eastAsia="zh-CN"/>
        </w:rPr>
        <w:t>）政府采购情况</w:t>
      </w:r>
      <w:bookmarkEnd w:id="24"/>
      <w:bookmarkEnd w:id="25"/>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2023年度政府采购支出总额0.82万元，其中：政府采购货物支出0.00万元、政府采购工程支出0.00万元、政府采购服务支出0.82万元。授予中小企业合同金额0.82万元，占政府采购支出总额的100.00%，其中：授予小微企业合同金额0.82万元，占政府采购支出总额的100.00%</w:t>
      </w:r>
      <w:r>
        <w:rPr>
          <w:rFonts w:hint="eastAsia" w:ascii="仿宋_GB2312" w:eastAsia="仿宋_GB2312"/>
          <w:color w:val="auto"/>
          <w:sz w:val="32"/>
          <w:szCs w:val="32"/>
          <w:highlight w:val="none"/>
          <w:lang w:val="en-US" w:eastAsia="zh-CN"/>
        </w:rPr>
        <w:t>。</w:t>
      </w:r>
      <w:bookmarkStart w:id="26" w:name="_Toc4591"/>
      <w:bookmarkStart w:id="27" w:name="_Toc8391"/>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黑体" w:hAnsi="黑体" w:eastAsia="黑体" w:cs="宋体"/>
          <w:bCs/>
          <w:color w:val="auto"/>
          <w:kern w:val="0"/>
          <w:sz w:val="32"/>
          <w:szCs w:val="32"/>
          <w:highlight w:val="none"/>
          <w:lang w:val="zh-CN" w:eastAsia="zh-CN"/>
        </w:rPr>
      </w:pPr>
      <w:r>
        <w:rPr>
          <w:rFonts w:hint="eastAsia" w:ascii="黑体" w:hAnsi="黑体" w:eastAsia="黑体" w:cs="宋体"/>
          <w:bCs/>
          <w:color w:val="auto"/>
          <w:kern w:val="0"/>
          <w:sz w:val="32"/>
          <w:szCs w:val="32"/>
          <w:highlight w:val="none"/>
          <w:lang w:val="zh-CN" w:eastAsia="zh-CN"/>
        </w:rPr>
        <w:t>（三）国有资产占用情况说明</w:t>
      </w:r>
      <w:bookmarkEnd w:id="26"/>
      <w:bookmarkEnd w:id="27"/>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52.22</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屋0.00平方米，价值0.00万元。车辆1辆，价值19.98万元，其中：副部（省）级及以上领导用车0辆、主要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用车0辆、其他用车1辆，其他用车主要是：</w:t>
      </w:r>
      <w:r>
        <w:rPr>
          <w:rFonts w:hint="eastAsia" w:ascii="仿宋_GB2312" w:eastAsia="仿宋_GB2312"/>
          <w:color w:val="auto"/>
          <w:sz w:val="32"/>
          <w:szCs w:val="32"/>
          <w:highlight w:val="none"/>
          <w:lang w:val="en-US" w:eastAsia="zh-CN"/>
        </w:rPr>
        <w:t>业务用车</w:t>
      </w:r>
      <w:r>
        <w:rPr>
          <w:rFonts w:hint="eastAsia" w:ascii="仿宋_GB2312" w:eastAsia="仿宋_GB2312"/>
          <w:color w:val="auto"/>
          <w:sz w:val="32"/>
          <w:szCs w:val="32"/>
          <w:highlight w:val="none"/>
          <w:lang w:val="zh-CN" w:eastAsia="zh-CN"/>
        </w:rPr>
        <w:t>；单价100万元（含）以上设备（不含车辆）0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bookmarkStart w:id="28" w:name="_Toc435"/>
      <w:bookmarkStart w:id="29" w:name="_Toc11283"/>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黑体" w:hAnsi="黑体" w:eastAsia="黑体" w:cs="宋体"/>
          <w:bCs/>
          <w:color w:val="auto"/>
          <w:kern w:val="0"/>
          <w:sz w:val="32"/>
          <w:szCs w:val="32"/>
          <w:highlight w:val="none"/>
          <w:lang w:val="zh-CN" w:eastAsia="zh-CN"/>
        </w:rPr>
      </w:pPr>
      <w:r>
        <w:rPr>
          <w:rFonts w:hint="eastAsia" w:ascii="黑体" w:hAnsi="黑体" w:eastAsia="黑体" w:cs="宋体"/>
          <w:bCs/>
          <w:color w:val="auto"/>
          <w:kern w:val="0"/>
          <w:sz w:val="32"/>
          <w:szCs w:val="32"/>
          <w:highlight w:val="none"/>
          <w:lang w:val="en-US" w:eastAsia="zh-CN"/>
        </w:rPr>
        <w:t>十一、</w:t>
      </w:r>
      <w:r>
        <w:rPr>
          <w:rFonts w:hint="eastAsia" w:ascii="黑体" w:hAnsi="黑体" w:eastAsia="黑体" w:cs="宋体"/>
          <w:bCs/>
          <w:color w:val="auto"/>
          <w:kern w:val="0"/>
          <w:sz w:val="32"/>
          <w:szCs w:val="32"/>
          <w:highlight w:val="none"/>
          <w:lang w:val="zh-CN" w:eastAsia="zh-CN"/>
        </w:rPr>
        <w:t>预算绩效的情况说明</w:t>
      </w:r>
      <w:bookmarkEnd w:id="28"/>
      <w:bookmarkEnd w:id="29"/>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val="zh-CN"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val="zh-CN" w:eastAsia="zh-CN"/>
        </w:rPr>
        <w:t>绩效自评表</w:t>
      </w:r>
      <w:r>
        <w:rPr>
          <w:rFonts w:hint="eastAsia" w:ascii="仿宋_GB2312" w:eastAsia="仿宋_GB2312"/>
          <w:color w:val="auto"/>
          <w:sz w:val="32"/>
          <w:szCs w:val="32"/>
          <w:highlight w:val="none"/>
          <w:lang w:val="en-US" w:eastAsia="zh-CN"/>
        </w:rPr>
        <w:t>1张，全年预算总额217.22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实际执行总额217.22</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个，</w:t>
      </w:r>
      <w:r>
        <w:rPr>
          <w:rFonts w:hint="eastAsia" w:ascii="仿宋_GB2312" w:eastAsia="仿宋_GB2312"/>
          <w:color w:val="auto"/>
          <w:sz w:val="32"/>
          <w:szCs w:val="32"/>
          <w:highlight w:val="none"/>
          <w:lang w:val="en-US" w:eastAsia="zh-CN"/>
        </w:rPr>
        <w:t>全年预算数6</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全年执行数6</w:t>
      </w:r>
      <w:r>
        <w:rPr>
          <w:rFonts w:hint="eastAsia" w:ascii="仿宋_GB2312" w:eastAsia="仿宋_GB2312"/>
          <w:color w:val="auto"/>
          <w:sz w:val="32"/>
          <w:szCs w:val="32"/>
          <w:highlight w:val="none"/>
          <w:lang w:val="zh-CN" w:eastAsia="zh-CN"/>
        </w:rPr>
        <w:t>万元，其中本单位sm项目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个，全年预算数</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val="zh-CN" w:eastAsia="zh-CN"/>
        </w:rPr>
        <w:t>万元，全年执行数</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val="zh-CN" w:eastAsia="zh-CN"/>
        </w:rPr>
        <w:t>万元，不予以公开。预算绩效管理取得的成效：一是根据年度绩效目标，从提升工作绩效入手，分解和细化绩效目标，明确项目绩效目标分管领导、责任科室及责任人；二是根据工作实际，加强绩效指标运行监控，制定措施办法，推进工作目标落实。发现的问题及原因：一是对绩效目标的设定不够细化和准确，部分项目设置的绩效指标与项目实际脱节，导致监控时无法达到预期目标值,预期指标值不够精准，希望给予专业指导；二是绩效填报工作主要是财务人员负责，项目实施部门未积极参与项目绩效管理工作中来，导致交接不到位，部分项目未及时进行调整。。下一步改进措施：一是加强各科室及时对接项目实施，明确分工，协调专人负责该项工作；二是通过对每笔资金的精细化管理来保障资金使用的合规、合法性，并据此分析各类资金支出产生的效益，使本单位的绩效监控工作上一个新台阶。具体项目自评情况附绩效自评表及自评报告。</w:t>
      </w:r>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val="zh-CN" w:eastAsia="zh-CN"/>
        </w:rPr>
        <w:t>。</w:t>
      </w:r>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eastAsia" w:ascii="黑体" w:hAnsi="黑体" w:eastAsia="黑体" w:cs="宋体"/>
          <w:bCs/>
          <w:color w:val="auto"/>
          <w:kern w:val="0"/>
          <w:sz w:val="32"/>
          <w:szCs w:val="32"/>
          <w:highlight w:val="none"/>
          <w:lang w:val="zh-CN" w:eastAsia="zh-CN"/>
        </w:rPr>
      </w:pPr>
      <w:r>
        <w:rPr>
          <w:rFonts w:hint="eastAsia" w:ascii="黑体" w:hAnsi="黑体" w:eastAsia="黑体" w:cs="宋体"/>
          <w:bCs/>
          <w:color w:val="auto"/>
          <w:kern w:val="0"/>
          <w:sz w:val="32"/>
          <w:szCs w:val="32"/>
          <w:highlight w:val="none"/>
          <w:lang w:val="zh-CN"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val="zh-CN" w:eastAsia="zh-CN"/>
        </w:rPr>
        <w:t>、其他需说明的事项</w:t>
      </w:r>
    </w:p>
    <w:p>
      <w:pPr>
        <w:keepNext w:val="0"/>
        <w:keepLines w:val="0"/>
        <w:pageBreakBefore w:val="0"/>
        <w:numPr>
          <w:ilvl w:val="0"/>
          <w:numId w:val="0"/>
        </w:numPr>
        <w:pBdr>
          <w:bottom w:val="single" w:color="FFFFFF" w:sz="4" w:space="31"/>
        </w:pBdr>
        <w:kinsoku/>
        <w:wordWrap/>
        <w:overflowPunct/>
        <w:topLinePunct w:val="0"/>
        <w:bidi w:val="0"/>
        <w:adjustRightIn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个，全年预算数</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val="zh-CN" w:eastAsia="zh-CN"/>
        </w:rPr>
        <w:t>万元，全年执行数</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val="zh-CN" w:eastAsia="zh-CN"/>
        </w:rPr>
        <w:t>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lOTIyZjE5NTNlNTdjODg3OGFkNTBlYmNiZjNiZjEifQ=="/>
    <w:docVar w:name="KSO_WPS_MARK_KEY" w:val="41ee2a61-2d54-4f93-83be-afdb9a40d732"/>
  </w:docVars>
  <w:rsids>
    <w:rsidRoot w:val="00000000"/>
    <w:rsid w:val="00213C59"/>
    <w:rsid w:val="003210CE"/>
    <w:rsid w:val="007A322D"/>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1E6568"/>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777DB9"/>
    <w:rsid w:val="0CA52EE8"/>
    <w:rsid w:val="0CBD6988"/>
    <w:rsid w:val="0CD208AC"/>
    <w:rsid w:val="0D172DAA"/>
    <w:rsid w:val="0D4903E8"/>
    <w:rsid w:val="0D7A4A46"/>
    <w:rsid w:val="0E640559"/>
    <w:rsid w:val="0EEA054B"/>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9179D4"/>
    <w:rsid w:val="22D7662C"/>
    <w:rsid w:val="23326B7F"/>
    <w:rsid w:val="2380045B"/>
    <w:rsid w:val="23BC04D2"/>
    <w:rsid w:val="23EF1892"/>
    <w:rsid w:val="2483647E"/>
    <w:rsid w:val="24A32D55"/>
    <w:rsid w:val="24CE6D9A"/>
    <w:rsid w:val="25292727"/>
    <w:rsid w:val="252E5CA9"/>
    <w:rsid w:val="256F7692"/>
    <w:rsid w:val="25903FBF"/>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BDD2475"/>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6A85383"/>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066C"/>
    <w:rsid w:val="4E0A1DD5"/>
    <w:rsid w:val="4E3160E5"/>
    <w:rsid w:val="4E4D37AF"/>
    <w:rsid w:val="4E8C6496"/>
    <w:rsid w:val="4EFD18DE"/>
    <w:rsid w:val="4F144236"/>
    <w:rsid w:val="4F663C87"/>
    <w:rsid w:val="4F7E29A8"/>
    <w:rsid w:val="4F9E1FFC"/>
    <w:rsid w:val="50447CC2"/>
    <w:rsid w:val="50874A7C"/>
    <w:rsid w:val="50895EE7"/>
    <w:rsid w:val="50920A2F"/>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292865"/>
    <w:rsid w:val="556A442D"/>
    <w:rsid w:val="55DA564E"/>
    <w:rsid w:val="55E816A3"/>
    <w:rsid w:val="5604127D"/>
    <w:rsid w:val="56044E6C"/>
    <w:rsid w:val="56166703"/>
    <w:rsid w:val="56510474"/>
    <w:rsid w:val="56665F0F"/>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416CF0"/>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783ADA"/>
    <w:rsid w:val="748D790E"/>
    <w:rsid w:val="749820CC"/>
    <w:rsid w:val="74CE04EC"/>
    <w:rsid w:val="74E76DCD"/>
    <w:rsid w:val="750C6A4F"/>
    <w:rsid w:val="751516DB"/>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2C102A"/>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5446</Words>
  <Characters>6131</Characters>
  <Lines>0</Lines>
  <Paragraphs>0</Paragraphs>
  <TotalTime>1</TotalTime>
  <ScaleCrop>false</ScaleCrop>
  <LinksUpToDate>false</LinksUpToDate>
  <CharactersWithSpaces>6148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2025-04-10T11:23:28Z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