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FF0000"/>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沙湾市种子站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1）负责辖区内农作物品种管理，开展辖区内农作物新品种的引进、试验、示范和推广；开展主要农作物品种区域试验、生产试验、抗性鉴定、品质测定等；搜集品种资源，建立品种资源库、数据库、信息库；负责落实自治区、地区安排的各种农作物品种试验、示范和展示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（2）负责辖区内农作物种子检验和种子生产田田间检验；为种子市场管理提供技术服务工作。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（3）负责辖区内主要农作物良繁基地建设、品种布局；开展种业信息服务和技术培训工作。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（4）为农作物品种审定、登记、引种备案、植物新品种保护、种子救灾备荒储备等提供技术服务工作。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（5）承办市农业农村局交办的其他工作任务。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沙湾市种子站</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单位无下属预算单位，下设2个处室，分别是：业务室、财务室。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118.08万元，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118.08万元，使用非财政拨款结余0.00万元，年初结转和结余0.00万元。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118.08万元，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118.08万元，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numPr>
          <w:ilvl w:val="0"/>
          <w:numId w:val="0"/>
        </w:numPr>
        <w:ind w:firstLine="640" w:firstLineChars="200"/>
        <w:rPr>
          <w:rFonts w:hint="eastAsia" w:ascii="仿宋_GB2312" w:hAnsi="仿宋" w:eastAsia="仿宋_GB2312" w:cs="Times New Roman"/>
          <w:color w:val="000000"/>
          <w:sz w:val="32"/>
          <w:szCs w:val="32"/>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增加4.64万元</w:t>
      </w:r>
      <w:r>
        <w:rPr>
          <w:rFonts w:hint="eastAsia" w:ascii="仿宋_GB2312" w:eastAsia="仿宋_GB2312"/>
          <w:color w:val="auto"/>
          <w:spacing w:val="0"/>
          <w:sz w:val="32"/>
          <w:szCs w:val="32"/>
          <w:highlight w:val="none"/>
          <w:lang w:eastAsia="zh-CN"/>
        </w:rPr>
        <w:t>，增长4.09%，主要原因是：</w:t>
      </w:r>
      <w:r>
        <w:rPr>
          <w:rFonts w:hint="eastAsia" w:ascii="仿宋_GB2312" w:hAnsi="仿宋" w:eastAsia="仿宋_GB2312" w:cs="Times New Roman"/>
          <w:color w:val="000000"/>
          <w:sz w:val="32"/>
          <w:szCs w:val="32"/>
          <w:lang w:val="en-US" w:eastAsia="zh-CN"/>
        </w:rPr>
        <w:t>本年增加基础绩效工资和艰边津贴，增加在职转退休职业年金收入，增加上年度为民办实事项目资金10万元，使本年收入支出总体比上年增加。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118.08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118.08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本年支出118.08万元，其中：基本支出108.08万元，占91.53%；项目支出10.00万元，占8.47%；上缴上级支出0.00万元，占0.00%；经营支出0.00万元，占0.00%；对附属单位补助支出0.00万元，占0.00%。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118.08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118.08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118.08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118.08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增加4.64万元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增长4.09%,</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000000"/>
          <w:sz w:val="32"/>
          <w:szCs w:val="32"/>
          <w:lang w:val="en-US" w:eastAsia="zh-CN"/>
        </w:rPr>
        <w:t>本年增加基础绩效工资和艰边津贴，增加在职转退休职业年金收入，增加上年度为民办实事项目资金10万元，使本年收入支出总体比上年增加。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101.16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118.08</w:t>
      </w:r>
      <w:r>
        <w:rPr>
          <w:rFonts w:hint="eastAsia" w:ascii="仿宋_GB2312" w:eastAsia="仿宋_GB2312"/>
          <w:color w:val="auto"/>
          <w:spacing w:val="0"/>
          <w:sz w:val="32"/>
          <w:szCs w:val="32"/>
          <w:highlight w:val="none"/>
          <w:lang w:eastAsia="zh-CN"/>
        </w:rPr>
        <w:t>万元，预决算差异率16.73%，主要原因是：</w:t>
      </w:r>
      <w:r>
        <w:rPr>
          <w:rFonts w:hint="eastAsia" w:ascii="仿宋_GB2312" w:hAnsi="仿宋" w:eastAsia="仿宋_GB2312"/>
          <w:sz w:val="32"/>
          <w:szCs w:val="32"/>
          <w:lang w:val="en-US" w:eastAsia="zh-CN"/>
        </w:rPr>
        <w:t>本年</w:t>
      </w:r>
      <w:r>
        <w:rPr>
          <w:rFonts w:hint="eastAsia" w:ascii="仿宋_GB2312" w:hAnsi="仿宋" w:eastAsia="仿宋_GB2312" w:cs="Times New Roman"/>
          <w:color w:val="000000"/>
          <w:sz w:val="32"/>
          <w:szCs w:val="32"/>
          <w:lang w:val="en-US" w:eastAsia="zh-CN"/>
        </w:rPr>
        <w:t>支付2022年为民办实事工作专项经费5万元，支付2023年为民办实事工作专项经费5万元,</w:t>
      </w:r>
      <w:r>
        <w:rPr>
          <w:rFonts w:hint="eastAsia" w:ascii="仿宋_GB2312" w:hAnsi="仿宋_GB2312" w:eastAsia="仿宋_GB2312" w:cs="仿宋_GB2312"/>
          <w:color w:val="auto"/>
          <w:sz w:val="32"/>
          <w:szCs w:val="32"/>
          <w:highlight w:val="none"/>
          <w:lang w:val="zh-CN" w:eastAsia="zh-CN"/>
        </w:rPr>
        <w:t>其余为正常的人员工资调整</w:t>
      </w:r>
      <w:r>
        <w:rPr>
          <w:rFonts w:hint="eastAsia" w:hAnsi="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2023年度一般公共预算财政拨款支出118.08万元，占本年支出合计的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增加4.64万元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增长4.09%,</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000000"/>
          <w:sz w:val="32"/>
          <w:szCs w:val="32"/>
          <w:lang w:val="en-US" w:eastAsia="zh-CN"/>
        </w:rPr>
        <w:t>本年增加基础绩效工资和艰边津贴，增加在职转退休职业年金收入，增加上年度为民办实事项目资金10万元，使本年收入支出总体比上年增加。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101.16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118.08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16.73%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val="en-US" w:eastAsia="zh-CN"/>
        </w:rPr>
        <w:t>本年</w:t>
      </w:r>
      <w:r>
        <w:rPr>
          <w:rFonts w:hint="eastAsia" w:ascii="仿宋_GB2312" w:hAnsi="仿宋" w:eastAsia="仿宋_GB2312" w:cs="Times New Roman"/>
          <w:color w:val="000000"/>
          <w:sz w:val="32"/>
          <w:szCs w:val="32"/>
          <w:lang w:val="en-US" w:eastAsia="zh-CN"/>
        </w:rPr>
        <w:t>支付2022年为民办实事工作专项经费5万元，支付2023年为民办实事工作专项经费5万元,</w:t>
      </w:r>
      <w:r>
        <w:rPr>
          <w:rFonts w:hint="eastAsia" w:ascii="仿宋_GB2312" w:hAnsi="仿宋_GB2312" w:eastAsia="仿宋_GB2312" w:cs="仿宋_GB2312"/>
          <w:color w:val="auto"/>
          <w:sz w:val="32"/>
          <w:szCs w:val="32"/>
          <w:highlight w:val="none"/>
          <w:lang w:val="zh-CN" w:eastAsia="zh-CN"/>
        </w:rPr>
        <w:t>其余为正常的人员工资调整</w:t>
      </w:r>
      <w:r>
        <w:rPr>
          <w:rFonts w:hint="eastAsia" w:hAnsi="仿宋_GB2312" w:cs="仿宋_GB2312"/>
          <w:color w:val="auto"/>
          <w:sz w:val="32"/>
          <w:szCs w:val="32"/>
          <w:highlight w:val="none"/>
          <w:lang w:val="zh-CN"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13.40%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.农林水支出（类）80.25万元，占</w:t>
      </w:r>
      <w:r>
        <w:rPr>
          <w:rFonts w:hint="eastAsia" w:ascii="仿宋_GB2312" w:eastAsia="仿宋_GB2312" w:cs="Times New Roman"/>
          <w:color w:val="auto"/>
          <w:spacing w:val="0"/>
          <w:kern w:val="2"/>
          <w:sz w:val="32"/>
          <w:szCs w:val="32"/>
          <w:highlight w:val="none"/>
          <w:lang w:val="zh-CN" w:eastAsia="zh-CN" w:bidi="ar-SA"/>
        </w:rPr>
        <w:t>67.96%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5.58%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8.47%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numPr>
          <w:ilvl w:val="0"/>
          <w:numId w:val="0"/>
        </w:num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1.卫生健康支出（类）行政事业单位医疗（款）行政单位医疗（项）:支出决算数为3.95万元，比上年决算减少6.25万元，下降61.27%，主要原因是：</w:t>
      </w:r>
      <w:r>
        <w:rPr>
          <w:rFonts w:hint="eastAsia" w:ascii="仿宋_GB2312" w:hAnsi="仿宋" w:eastAsia="仿宋_GB2312"/>
          <w:sz w:val="32"/>
          <w:szCs w:val="32"/>
          <w:lang w:val="en-US" w:eastAsia="zh-CN"/>
        </w:rPr>
        <w:t>减少原因为按医保政策要求，本年退回已经缴纳的退休人员基本医疗保险，使本年决算数比上年决算数减少</w:t>
      </w:r>
      <w:r>
        <w:rPr>
          <w:rFonts w:hint="eastAsia" w:ascii="仿宋_GB2312" w:hAnsi="仿宋" w:eastAsia="仿宋_GB2312"/>
          <w:sz w:val="32"/>
          <w:szCs w:val="32"/>
          <w:lang w:val="zh-CN" w:eastAsia="zh-CN"/>
        </w:rPr>
        <w:t>。</w:t>
      </w:r>
    </w:p>
    <w:p>
      <w:pPr>
        <w:numPr>
          <w:ilvl w:val="0"/>
          <w:numId w:val="0"/>
        </w:num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2.卫生健康支出（类）行政事业单位医疗（款）公务员医疗补助（项）:支出决算数为1.48万元，比上年决算减少1.42万元，下降48.97%，主要原因是：</w:t>
      </w:r>
      <w:r>
        <w:rPr>
          <w:rFonts w:hint="eastAsia" w:ascii="仿宋_GB2312" w:hAnsi="仿宋" w:eastAsia="仿宋_GB2312"/>
          <w:sz w:val="32"/>
          <w:szCs w:val="32"/>
          <w:lang w:val="en-US" w:eastAsia="zh-CN"/>
        </w:rPr>
        <w:t>减少原因为按医保政策要求，退回退休人员公务员医疗保险，使本年决算数比上年决算数减少</w:t>
      </w:r>
      <w:r>
        <w:rPr>
          <w:rFonts w:hint="eastAsia" w:ascii="仿宋_GB2312" w:hAnsi="仿宋_GB2312" w:eastAsia="仿宋_GB2312" w:cs="仿宋_GB2312"/>
          <w:color w:val="auto"/>
          <w:kern w:val="2"/>
          <w:sz w:val="32"/>
          <w:szCs w:val="32"/>
          <w:highlight w:val="none"/>
          <w:lang w:val="zh-CN" w:eastAsia="zh-CN" w:bidi="ar-SA"/>
        </w:rPr>
        <w:t>。</w:t>
      </w:r>
    </w:p>
    <w:p>
      <w:pPr>
        <w:numPr>
          <w:ilvl w:val="0"/>
          <w:numId w:val="0"/>
        </w:numPr>
        <w:ind w:firstLine="640" w:firstLineChars="20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3.住房保障支出（类）住房改革支出（款）住房公积金（项）:支出决算数为6.59万元，比上年决算增加0.81万元，增长14.01%，主要原因是：</w:t>
      </w:r>
      <w:r>
        <w:rPr>
          <w:rFonts w:hint="eastAsia" w:ascii="仿宋_GB2312" w:hAnsi="仿宋" w:eastAsia="仿宋_GB2312"/>
          <w:sz w:val="32"/>
          <w:szCs w:val="32"/>
          <w:lang w:val="en-US" w:eastAsia="zh-CN"/>
        </w:rPr>
        <w:t>增加原因为本年度由于人员工资增加，住房公积金缴费基数增加，使住房公积金决算支出增加</w:t>
      </w:r>
      <w:r>
        <w:rPr>
          <w:rFonts w:hint="eastAsia" w:ascii="仿宋_GB2312" w:hAnsi="仿宋_GB2312" w:eastAsia="仿宋_GB2312" w:cs="仿宋_GB2312"/>
          <w:color w:val="auto"/>
          <w:kern w:val="2"/>
          <w:sz w:val="32"/>
          <w:szCs w:val="32"/>
          <w:highlight w:val="none"/>
          <w:lang w:val="zh-CN" w:eastAsia="zh-CN" w:bidi="ar-SA"/>
        </w:rPr>
        <w:t>。</w:t>
      </w:r>
    </w:p>
    <w:p>
      <w:pPr>
        <w:numPr>
          <w:ilvl w:val="0"/>
          <w:numId w:val="0"/>
        </w:num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4.社会保障和就业支出（类）行政事业单位养老支出（款）行政单位离退休（项）:支出决算数为7.57万元，比上年决算增加2.47万元，增长48.43%，主要原因是：</w:t>
      </w:r>
      <w:r>
        <w:rPr>
          <w:rFonts w:hint="eastAsia" w:ascii="仿宋_GB2312" w:hAnsi="仿宋" w:eastAsia="仿宋_GB2312"/>
          <w:sz w:val="32"/>
          <w:szCs w:val="32"/>
          <w:lang w:val="en-US" w:eastAsia="zh-CN"/>
        </w:rPr>
        <w:t>增加原因为本年度</w:t>
      </w:r>
      <w:r>
        <w:rPr>
          <w:rFonts w:hint="eastAsia" w:ascii="仿宋_GB2312" w:hAnsi="仿宋" w:eastAsia="仿宋_GB2312" w:cs="Times New Roman"/>
          <w:color w:val="000000"/>
          <w:sz w:val="32"/>
          <w:szCs w:val="32"/>
          <w:lang w:val="en-US" w:eastAsia="zh-CN"/>
        </w:rPr>
        <w:t>增加退休人员基础绩效奖7.57万元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5.农林水支出（类）农业农村（款）行政运行（项）:支出决算数为80.25万元，比上年决算减少0.33万元，下降0.41%，主要原因是：</w:t>
      </w:r>
      <w:r>
        <w:rPr>
          <w:rFonts w:hint="eastAsia" w:ascii="仿宋_GB2312" w:hAnsi="仿宋" w:eastAsia="仿宋_GB2312" w:cs="Times New Roman"/>
          <w:color w:val="000000"/>
          <w:sz w:val="32"/>
          <w:szCs w:val="32"/>
          <w:lang w:val="en-US" w:eastAsia="zh-CN"/>
        </w:rPr>
        <w:t>厉行节约，减少了办公费支出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6.其他支出（类）其他支出（款）其他支出（项）:支出决算数为10.00万元，比上年决算增加7.50万元，增长300.00%，主要原因是：本年度支付了以前年度及本年度为民办实事经费支出</w:t>
      </w:r>
      <w:r>
        <w:rPr>
          <w:rFonts w:hint="eastAsia" w:ascii="仿宋_GB2312" w:hAnsi="仿宋_GB2312" w:eastAsia="仿宋_GB2312" w:cs="仿宋_GB2312"/>
          <w:color w:val="auto"/>
          <w:kern w:val="2"/>
          <w:sz w:val="32"/>
          <w:szCs w:val="32"/>
          <w:highlight w:val="none"/>
          <w:lang w:val="zh-CN" w:eastAsia="zh-CN" w:bidi="ar-SA"/>
        </w:rPr>
        <w:t>。</w:t>
      </w:r>
    </w:p>
    <w:p>
      <w:pPr>
        <w:numPr>
          <w:ilvl w:val="0"/>
          <w:numId w:val="0"/>
        </w:numPr>
        <w:ind w:firstLine="640" w:firstLineChars="200"/>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7.社会保障和就业支出（类）行政事业单位养老支出（款）机关事业单位基本养老保险缴费支出（项）:支出决算数为8.26万元，比上年决算增加1.88万元，增长29.47%，主要原因是：</w:t>
      </w:r>
      <w:r>
        <w:rPr>
          <w:rFonts w:hint="eastAsia" w:ascii="仿宋_GB2312" w:hAnsi="仿宋" w:eastAsia="仿宋_GB2312"/>
          <w:sz w:val="32"/>
          <w:szCs w:val="32"/>
          <w:lang w:val="en-US" w:eastAsia="zh-CN"/>
        </w:rPr>
        <w:t>增加原因为本年度</w:t>
      </w:r>
      <w:r>
        <w:rPr>
          <w:rFonts w:hint="eastAsia" w:ascii="仿宋_GB2312" w:hAnsi="仿宋" w:eastAsia="仿宋_GB2312" w:cs="Times New Roman"/>
          <w:color w:val="000000"/>
          <w:sz w:val="32"/>
          <w:szCs w:val="32"/>
          <w:lang w:val="en-US" w:eastAsia="zh-CN"/>
        </w:rPr>
        <w:t>增加退休人员基础绩效奖7.57万元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108.08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103.58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基本工资、津贴补贴、奖金、机关事业单位基本养老保险缴费、职工基本医疗保险缴费、公务员医疗补助缴费、其他社会保障缴费、住房公积金、退休费、抚恤金。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4.51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办公费、电费、邮电费、物业管理费、差旅费、工会经费、公务用车运行维护费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“三公”经费支出1.60万元，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减少0.03万元，</w:t>
      </w:r>
      <w:r>
        <w:rPr>
          <w:rFonts w:hint="eastAsia" w:ascii="仿宋_GB2312" w:eastAsia="仿宋_GB2312"/>
          <w:color w:val="auto"/>
          <w:sz w:val="32"/>
          <w:szCs w:val="32"/>
          <w:highlight w:val="none"/>
          <w:lang w:val="en-US" w:eastAsia="zh-CN"/>
        </w:rPr>
        <w:t>下降1.84%,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主要原因为本年单位本着厉行节约的原则，减少公务接待支出，使三公经费支出比上年减少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主要原因是：本年度没有安排因公出国（境）费支出</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公务用车购置及运行维护费支出1.60万元，占100.00%，比上年增加0.00万元，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本单位厉行节约，车辆运行维护费与上年一致。</w:t>
      </w:r>
      <w:r>
        <w:rPr>
          <w:rFonts w:hint="eastAsia" w:ascii="仿宋_GB2312" w:eastAsia="仿宋_GB2312"/>
          <w:color w:val="auto"/>
          <w:sz w:val="32"/>
          <w:szCs w:val="32"/>
          <w:highlight w:val="none"/>
          <w:lang w:val="zh-CN" w:eastAsia="zh-CN"/>
        </w:rPr>
        <w:t>公务接待费支出0.00万元，占0.00%，比上年减少0.03万元，</w:t>
      </w:r>
      <w:r>
        <w:rPr>
          <w:rFonts w:hint="eastAsia" w:ascii="仿宋_GB2312" w:eastAsia="仿宋_GB2312"/>
          <w:color w:val="auto"/>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因为本年单位本着厉行节约的原则，减少公务接待支出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公务用车购置及运行维护费1.60万元，其中：公务用车购置费0.00万元，公务用车运行维护费1.60万元</w:t>
      </w:r>
      <w:r>
        <w:rPr>
          <w:rFonts w:hint="eastAsia" w:ascii="仿宋_GB2312" w:eastAsia="仿宋_GB2312"/>
          <w:color w:val="auto"/>
          <w:sz w:val="32"/>
          <w:szCs w:val="32"/>
          <w:highlight w:val="none"/>
          <w:lang w:val="en-US" w:eastAsia="zh-CN"/>
        </w:rPr>
        <w:t>,</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公务用车运行维护费开支内容包括一是用于公务用车加油。二是用于车辆维修</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公务接待费0.00万元，开支内容包括没有安排公务接待费支出。单位全年安排的国内公务接待0批次，0人次。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预算数2.00万元，决算数1.60万元，预决算差异率-20.00%，主要原因是：2023年度单位加强财政预算资金的管理、</w:t>
      </w:r>
      <w:r>
        <w:rPr>
          <w:rFonts w:hint="eastAsia" w:ascii="仿宋_GB2312" w:eastAsia="仿宋_GB2312"/>
          <w:color w:val="auto"/>
          <w:sz w:val="32"/>
          <w:szCs w:val="32"/>
          <w:highlight w:val="none"/>
          <w:lang w:val="en-US" w:eastAsia="zh-CN"/>
        </w:rPr>
        <w:t>加强公务接待费管理</w:t>
      </w:r>
      <w:r>
        <w:rPr>
          <w:rFonts w:hint="eastAsia" w:ascii="仿宋_GB2312" w:eastAsia="仿宋_GB2312"/>
          <w:color w:val="auto"/>
          <w:sz w:val="32"/>
          <w:szCs w:val="32"/>
          <w:highlight w:val="none"/>
          <w:lang w:val="zh-CN" w:eastAsia="zh-CN"/>
        </w:rPr>
        <w:t>，压缩了三公经费的支出，故</w:t>
      </w:r>
      <w:r>
        <w:rPr>
          <w:rFonts w:hint="eastAsia" w:ascii="仿宋_GB2312" w:eastAsia="仿宋_GB2312"/>
          <w:color w:val="auto"/>
          <w:sz w:val="32"/>
          <w:szCs w:val="32"/>
          <w:highlight w:val="none"/>
          <w:lang w:val="en-US" w:eastAsia="zh-CN"/>
        </w:rPr>
        <w:t>预决算有差异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0.00万元，决算数0.00万元，主要原因是：我单位202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年没有安排因公出国（境）费，预决算差异率0.00%；公务用车购置费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预算数0.00万元，决算数0.00万元，主要原因是：我单位202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年没有安排公务用车购置费，预决算差异率0.00%；公务用车运行费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预算数1.60万元，决算数1.60万元，主要原因是：公务用车运行费预算数和决算数无变化，预决算差异率0.00%；公务接待费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预算数0.40万元，决算数0.00万元，预决算差异率-100.00%，主要原因是：本单位</w:t>
      </w:r>
      <w:r>
        <w:rPr>
          <w:rFonts w:hint="eastAsia" w:ascii="仿宋_GB2312" w:eastAsia="仿宋_GB2312"/>
          <w:color w:val="auto"/>
          <w:sz w:val="32"/>
          <w:szCs w:val="32"/>
          <w:highlight w:val="none"/>
          <w:lang w:val="en-US" w:eastAsia="zh-CN"/>
        </w:rPr>
        <w:t>2023年未产生公务接待费用支出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沙湾市种子站（行政单位和参照公务员法管理事业单位）机关运行经费支出4.51万元，</w:t>
      </w:r>
      <w:r>
        <w:rPr>
          <w:rFonts w:hint="eastAsia" w:ascii="仿宋_GB2312" w:hAnsi="仿宋_GB2312" w:eastAsia="仿宋_GB2312" w:cs="仿宋_GB2312"/>
          <w:color w:val="auto"/>
          <w:sz w:val="32"/>
          <w:szCs w:val="32"/>
          <w:highlight w:val="none"/>
          <w:lang w:val="zh-CN" w:eastAsia="zh-CN"/>
        </w:rPr>
        <w:t>比上年增加0.62万元，增长15.94%，主要原因是：</w:t>
      </w:r>
      <w:r>
        <w:rPr>
          <w:rFonts w:hint="eastAsia" w:ascii="仿宋_GB2312" w:hAnsi="仿宋_GB2312" w:eastAsia="仿宋_GB2312" w:cs="仿宋_GB2312"/>
          <w:color w:val="auto"/>
          <w:sz w:val="32"/>
          <w:szCs w:val="32"/>
          <w:highlight w:val="none"/>
          <w:lang w:val="en-US" w:eastAsia="zh-CN"/>
        </w:rPr>
        <w:t>上年度有部分公用经费没有及时支付，本年度较上年多支付了公用经费。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40.96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屋12.00平方米，价值0.24万元。车辆1辆，价值12.59万元，其中：副部（省）级及以上领导用车0辆、主要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用车0辆、机要通信用车0辆、应急保障用车0辆、执法执勤用车1辆、特种专业技术用车0辆、离退休干部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w:t>
      </w:r>
      <w:r>
        <w:rPr>
          <w:rFonts w:hint="eastAsia" w:ascii="仿宋_GB2312" w:hAnsi="仿宋_GB2312" w:eastAsia="仿宋_GB2312" w:cs="仿宋_GB2312"/>
          <w:color w:val="auto"/>
          <w:sz w:val="32"/>
          <w:szCs w:val="32"/>
          <w:highlight w:val="none"/>
          <w:lang w:val="en-US" w:eastAsia="zh-CN"/>
        </w:rPr>
        <w:t>其他用车主要是我单位无其他用车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Style w:val="13"/>
          <w:rFonts w:hint="eastAsia" w:ascii="仿宋_GB2312" w:hAnsi="仿宋_GB2312" w:eastAsia="仿宋_GB2312" w:cs="仿宋_GB2312"/>
          <w:b w:val="0"/>
          <w:bCs w:val="0"/>
          <w:color w:val="auto"/>
          <w:spacing w:val="-4"/>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1个</w:t>
      </w:r>
      <w:r>
        <w:rPr>
          <w:rFonts w:hint="eastAsia" w:ascii="仿宋_GB2312" w:hAnsi="仿宋_GB2312" w:eastAsia="仿宋_GB2312" w:cs="仿宋_GB2312"/>
          <w:color w:val="auto"/>
          <w:kern w:val="0"/>
          <w:sz w:val="32"/>
          <w:szCs w:val="32"/>
          <w:highlight w:val="none"/>
          <w:lang w:val="en-US" w:eastAsia="zh-CN"/>
        </w:rPr>
        <w:t>，全年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118.08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118.08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；预算绩效评价项目2个，</w:t>
      </w:r>
      <w:r>
        <w:rPr>
          <w:rStyle w:val="13"/>
          <w:rFonts w:hint="eastAsia" w:ascii="仿宋_GB2312" w:hAnsi="仿宋_GB2312" w:eastAsia="仿宋_GB2312" w:cs="仿宋_GB2312"/>
          <w:b w:val="0"/>
          <w:bCs w:val="0"/>
          <w:color w:val="auto"/>
          <w:spacing w:val="-4"/>
          <w:sz w:val="32"/>
          <w:szCs w:val="32"/>
          <w:lang w:val="en-US" w:eastAsia="zh-CN"/>
        </w:rPr>
        <w:t>全年预算数10万元，全年执行数10万元。</w:t>
      </w:r>
      <w:r>
        <w:rPr>
          <w:rFonts w:hint="eastAsia" w:ascii="仿宋_GB2312" w:eastAsia="仿宋_GB2312"/>
          <w:color w:val="auto"/>
          <w:sz w:val="32"/>
          <w:szCs w:val="32"/>
          <w:highlight w:val="none"/>
          <w:lang w:val="en-US" w:eastAsia="zh-CN"/>
        </w:rPr>
        <w:t>其中：</w:t>
      </w:r>
      <w:r>
        <w:rPr>
          <w:rStyle w:val="13"/>
          <w:rFonts w:hint="eastAsia" w:ascii="仿宋_GB2312" w:hAnsi="仿宋_GB2312" w:eastAsia="仿宋_GB2312" w:cs="仿宋_GB2312"/>
          <w:b w:val="0"/>
          <w:bCs w:val="0"/>
          <w:color w:val="auto"/>
          <w:spacing w:val="-4"/>
          <w:sz w:val="32"/>
          <w:szCs w:val="32"/>
          <w:lang w:val="en-US" w:eastAsia="zh-CN"/>
        </w:rPr>
        <w:t>本单位sm项目2个，全年预算数10万元，全年执行数10万元，不予以公开。</w:t>
      </w:r>
      <w:r>
        <w:rPr>
          <w:rFonts w:hint="eastAsia" w:ascii="仿宋_GB2312" w:eastAsia="仿宋_GB2312"/>
          <w:color w:val="auto"/>
          <w:sz w:val="32"/>
          <w:szCs w:val="32"/>
          <w:highlight w:val="none"/>
          <w:lang w:eastAsia="zh-CN"/>
        </w:rPr>
        <w:t>预算绩效管理取得的成效：</w:t>
      </w:r>
      <w:r>
        <w:rPr>
          <w:rFonts w:hint="eastAsia" w:ascii="仿宋_GB2312" w:hAnsi="仿宋" w:eastAsia="仿宋_GB2312" w:cs="Times New Roman"/>
          <w:kern w:val="2"/>
          <w:sz w:val="32"/>
          <w:szCs w:val="32"/>
          <w:lang w:val="en-US" w:eastAsia="zh-CN" w:bidi="ar-SA"/>
        </w:rPr>
        <w:t>一是学习贯彻习近平总书记关于“三农”工作的重要论述，按照省委十届六次全会安排部署，围绕单位目标任务，完成种子站各项业务工作，注重管理质量，提升工作效能，依法行政。二是负责辖区内农作物种子检验和种子生产田田间检验，为种子市场管理提供技术服务工作。三是为农作物品种审定、登记、引种备案、植物新品种保护、种子救灾备荒储备等提供技术服务工作。</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一是</w:t>
      </w:r>
      <w:r>
        <w:rPr>
          <w:rFonts w:hint="eastAsia" w:ascii="仿宋_GB2312" w:eastAsia="仿宋_GB2312"/>
          <w:sz w:val="32"/>
          <w:szCs w:val="32"/>
          <w:highlight w:val="none"/>
          <w:lang w:val="en-US" w:eastAsia="zh-CN"/>
        </w:rPr>
        <w:t>预算绩效管理工作时间紧、任务重、专业性强，我单位的预算绩效存在一些不足之处需要完善。二是预算绩效管理缺乏系统的培训，造成预算绩效管理指导不到位、认识不到位，理解不充分，对预算绩效管理工作重点把握不到位。下一步</w:t>
      </w:r>
      <w:r>
        <w:rPr>
          <w:rFonts w:hint="eastAsia" w:ascii="仿宋_GB2312" w:hAnsi="Times New Roman" w:eastAsia="仿宋_GB2312" w:cs="Times New Roman"/>
          <w:sz w:val="32"/>
          <w:szCs w:val="32"/>
          <w:highlight w:val="none"/>
          <w:lang w:val="en-US" w:eastAsia="zh-Hans"/>
        </w:rPr>
        <w:t>改进措施</w:t>
      </w:r>
      <w:r>
        <w:rPr>
          <w:rFonts w:hint="eastAsia" w:ascii="仿宋_GB2312" w:eastAsia="仿宋_GB2312" w:cs="Times New Roman"/>
          <w:sz w:val="32"/>
          <w:szCs w:val="32"/>
          <w:highlight w:val="none"/>
          <w:lang w:val="en-US" w:eastAsia="zh-CN"/>
        </w:rPr>
        <w:t>：</w:t>
      </w:r>
      <w:r>
        <w:rPr>
          <w:rStyle w:val="13"/>
          <w:rFonts w:hint="eastAsia" w:ascii="仿宋_GB2312" w:hAnsi="仿宋_GB2312" w:eastAsia="仿宋_GB2312" w:cs="仿宋_GB2312"/>
          <w:b w:val="0"/>
          <w:bCs w:val="0"/>
          <w:color w:val="auto"/>
          <w:spacing w:val="-4"/>
          <w:sz w:val="32"/>
          <w:szCs w:val="32"/>
          <w:lang w:eastAsia="zh-CN"/>
        </w:rPr>
        <w:t>一是</w:t>
      </w:r>
      <w:r>
        <w:rPr>
          <w:rStyle w:val="13"/>
          <w:rFonts w:hint="eastAsia" w:ascii="仿宋_GB2312" w:hAnsi="仿宋_GB2312" w:eastAsia="仿宋_GB2312" w:cs="仿宋_GB2312"/>
          <w:b w:val="0"/>
          <w:bCs w:val="0"/>
          <w:color w:val="auto"/>
          <w:spacing w:val="-4"/>
          <w:sz w:val="32"/>
          <w:szCs w:val="32"/>
        </w:rPr>
        <w:t>提高资金的使用效益。</w:t>
      </w:r>
      <w:r>
        <w:rPr>
          <w:rStyle w:val="13"/>
          <w:rFonts w:hint="eastAsia" w:ascii="仿宋_GB2312" w:hAnsi="仿宋_GB2312" w:eastAsia="仿宋_GB2312" w:cs="仿宋_GB2312"/>
          <w:b w:val="0"/>
          <w:bCs w:val="0"/>
          <w:color w:val="auto"/>
          <w:spacing w:val="-4"/>
          <w:sz w:val="32"/>
          <w:szCs w:val="32"/>
          <w:lang w:val="en-US" w:eastAsia="zh-CN"/>
        </w:rPr>
        <w:t>本单位将</w:t>
      </w:r>
      <w:r>
        <w:rPr>
          <w:rStyle w:val="13"/>
          <w:rFonts w:hint="eastAsia" w:ascii="仿宋_GB2312" w:hAnsi="仿宋_GB2312" w:eastAsia="仿宋_GB2312" w:cs="仿宋_GB2312"/>
          <w:b w:val="0"/>
          <w:bCs w:val="0"/>
          <w:color w:val="auto"/>
          <w:spacing w:val="-4"/>
          <w:sz w:val="32"/>
          <w:szCs w:val="32"/>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r>
        <w:rPr>
          <w:rStyle w:val="13"/>
          <w:rFonts w:hint="eastAsia" w:ascii="仿宋_GB2312" w:hAnsi="仿宋_GB2312" w:eastAsia="仿宋_GB2312" w:cs="仿宋_GB2312"/>
          <w:b w:val="0"/>
          <w:bCs w:val="0"/>
          <w:color w:val="auto"/>
          <w:spacing w:val="-4"/>
          <w:sz w:val="32"/>
          <w:szCs w:val="32"/>
          <w:lang w:val="en-US" w:eastAsia="zh-CN"/>
        </w:rPr>
        <w:t>二是</w:t>
      </w:r>
      <w:r>
        <w:rPr>
          <w:rStyle w:val="13"/>
          <w:rFonts w:hint="eastAsia" w:ascii="仿宋_GB2312" w:hAnsi="仿宋_GB2312" w:eastAsia="仿宋_GB2312" w:cs="仿宋_GB2312"/>
          <w:b w:val="0"/>
          <w:bCs w:val="0"/>
          <w:color w:val="auto"/>
          <w:spacing w:val="-4"/>
          <w:sz w:val="32"/>
          <w:szCs w:val="32"/>
        </w:rPr>
        <w:t>加强预算执行管理。做好事前审批、事中管理和事后监督工作，不断加快预算执行进度，推动预算执行按照资金计划有序进行。</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24" w:firstLineChars="200"/>
        <w:jc w:val="left"/>
        <w:textAlignment w:val="auto"/>
        <w:rPr>
          <w:rStyle w:val="13"/>
          <w:rFonts w:hint="eastAsia" w:ascii="仿宋_GB2312" w:hAnsi="仿宋_GB2312" w:eastAsia="仿宋_GB2312" w:cs="仿宋_GB2312"/>
          <w:b w:val="0"/>
          <w:bCs w:val="0"/>
          <w:color w:val="auto"/>
          <w:spacing w:val="-4"/>
          <w:sz w:val="32"/>
          <w:szCs w:val="32"/>
          <w:lang w:val="en-US" w:eastAsia="zh-CN"/>
        </w:rPr>
      </w:pPr>
      <w:r>
        <w:rPr>
          <w:rStyle w:val="13"/>
          <w:rFonts w:hint="eastAsia" w:ascii="仿宋_GB2312" w:hAnsi="仿宋_GB2312" w:eastAsia="仿宋_GB2312" w:cs="仿宋_GB2312"/>
          <w:b w:val="0"/>
          <w:bCs w:val="0"/>
          <w:color w:val="auto"/>
          <w:spacing w:val="-4"/>
          <w:sz w:val="32"/>
          <w:szCs w:val="32"/>
          <w:lang w:val="en-US" w:eastAsia="zh-CN"/>
        </w:rPr>
        <w:t>本单位sm项目2个，全年预算数10万元，全年执行数10万元,不予以公开绩效自评表。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lang w:val="en-US" w:eastAsia="zh-CN"/>
        </w:rPr>
      </w:pPr>
      <w:bookmarkStart w:id="48" w:name="_GoBack"/>
      <w:bookmarkEnd w:id="48"/>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82788"/>
    <w:rsid w:val="01ED22F2"/>
    <w:rsid w:val="02BD3108"/>
    <w:rsid w:val="02F73D26"/>
    <w:rsid w:val="03425B6E"/>
    <w:rsid w:val="034D4FEF"/>
    <w:rsid w:val="035D1785"/>
    <w:rsid w:val="039F47CE"/>
    <w:rsid w:val="03BD5310"/>
    <w:rsid w:val="03E05CE8"/>
    <w:rsid w:val="03F973EE"/>
    <w:rsid w:val="043E5B56"/>
    <w:rsid w:val="04C04386"/>
    <w:rsid w:val="04D1736D"/>
    <w:rsid w:val="04D96608"/>
    <w:rsid w:val="04F210E4"/>
    <w:rsid w:val="04FA68C4"/>
    <w:rsid w:val="053F5AE6"/>
    <w:rsid w:val="0568116E"/>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AE1DE1"/>
    <w:rsid w:val="0B4F5C9B"/>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CB4058"/>
    <w:rsid w:val="0F1113DA"/>
    <w:rsid w:val="0F78534A"/>
    <w:rsid w:val="0F89358A"/>
    <w:rsid w:val="0F8C6D51"/>
    <w:rsid w:val="105B0B5E"/>
    <w:rsid w:val="112E58D0"/>
    <w:rsid w:val="115D2F6B"/>
    <w:rsid w:val="11731CAC"/>
    <w:rsid w:val="119500A0"/>
    <w:rsid w:val="11C0733B"/>
    <w:rsid w:val="11D50D17"/>
    <w:rsid w:val="120E0809"/>
    <w:rsid w:val="127F665A"/>
    <w:rsid w:val="12841571"/>
    <w:rsid w:val="12F7068C"/>
    <w:rsid w:val="12FE7BB6"/>
    <w:rsid w:val="138946CE"/>
    <w:rsid w:val="14207DC0"/>
    <w:rsid w:val="14B932DA"/>
    <w:rsid w:val="150A66AF"/>
    <w:rsid w:val="150B75FA"/>
    <w:rsid w:val="154C1139"/>
    <w:rsid w:val="158C5B77"/>
    <w:rsid w:val="15FA5DA1"/>
    <w:rsid w:val="160D1149"/>
    <w:rsid w:val="163563C0"/>
    <w:rsid w:val="164315EF"/>
    <w:rsid w:val="16557DFE"/>
    <w:rsid w:val="167268FB"/>
    <w:rsid w:val="16770D0A"/>
    <w:rsid w:val="16987EB4"/>
    <w:rsid w:val="169A0039"/>
    <w:rsid w:val="16D50C50"/>
    <w:rsid w:val="16E120E1"/>
    <w:rsid w:val="17385A05"/>
    <w:rsid w:val="173B3901"/>
    <w:rsid w:val="176747F9"/>
    <w:rsid w:val="17954A6E"/>
    <w:rsid w:val="17BE2C86"/>
    <w:rsid w:val="17C97012"/>
    <w:rsid w:val="180059E9"/>
    <w:rsid w:val="184510FD"/>
    <w:rsid w:val="190648B0"/>
    <w:rsid w:val="19071D6C"/>
    <w:rsid w:val="193554D8"/>
    <w:rsid w:val="19D26CD4"/>
    <w:rsid w:val="19E60D19"/>
    <w:rsid w:val="1A3E3450"/>
    <w:rsid w:val="1AD807E5"/>
    <w:rsid w:val="1B155DAE"/>
    <w:rsid w:val="1B39345B"/>
    <w:rsid w:val="1BFB2A1F"/>
    <w:rsid w:val="1C015D4A"/>
    <w:rsid w:val="1C290ED5"/>
    <w:rsid w:val="1C317E4F"/>
    <w:rsid w:val="1C472464"/>
    <w:rsid w:val="1D22799A"/>
    <w:rsid w:val="1D5C1A72"/>
    <w:rsid w:val="1DA2406F"/>
    <w:rsid w:val="1DAF458D"/>
    <w:rsid w:val="1DED157D"/>
    <w:rsid w:val="1E086ACE"/>
    <w:rsid w:val="1E62130A"/>
    <w:rsid w:val="1E97358B"/>
    <w:rsid w:val="1EAA4A5F"/>
    <w:rsid w:val="1EE869A7"/>
    <w:rsid w:val="1F3F37CF"/>
    <w:rsid w:val="1F682713"/>
    <w:rsid w:val="1FA15E62"/>
    <w:rsid w:val="1FA834FD"/>
    <w:rsid w:val="1FED69B6"/>
    <w:rsid w:val="205B0787"/>
    <w:rsid w:val="2064678E"/>
    <w:rsid w:val="20DC1AB9"/>
    <w:rsid w:val="20DD6197"/>
    <w:rsid w:val="212631E0"/>
    <w:rsid w:val="2138666F"/>
    <w:rsid w:val="214851FB"/>
    <w:rsid w:val="21742080"/>
    <w:rsid w:val="218F6806"/>
    <w:rsid w:val="21A53757"/>
    <w:rsid w:val="21F879E1"/>
    <w:rsid w:val="221236C6"/>
    <w:rsid w:val="22D7662C"/>
    <w:rsid w:val="23326B7F"/>
    <w:rsid w:val="2365407E"/>
    <w:rsid w:val="2380045B"/>
    <w:rsid w:val="239A2F68"/>
    <w:rsid w:val="23BC04D2"/>
    <w:rsid w:val="23EF1892"/>
    <w:rsid w:val="24126965"/>
    <w:rsid w:val="2483647E"/>
    <w:rsid w:val="24A32D55"/>
    <w:rsid w:val="24CE6D9A"/>
    <w:rsid w:val="25292727"/>
    <w:rsid w:val="252E5CA9"/>
    <w:rsid w:val="256F7692"/>
    <w:rsid w:val="25BA2154"/>
    <w:rsid w:val="25C8773F"/>
    <w:rsid w:val="25E33126"/>
    <w:rsid w:val="26235823"/>
    <w:rsid w:val="264A7253"/>
    <w:rsid w:val="26DB28F4"/>
    <w:rsid w:val="26F0170C"/>
    <w:rsid w:val="26FE3B9A"/>
    <w:rsid w:val="27201D62"/>
    <w:rsid w:val="27286E73"/>
    <w:rsid w:val="27CB2C04"/>
    <w:rsid w:val="27CF2642"/>
    <w:rsid w:val="27E777F5"/>
    <w:rsid w:val="27EA1D4C"/>
    <w:rsid w:val="27EA2E41"/>
    <w:rsid w:val="282459E2"/>
    <w:rsid w:val="283A7FE5"/>
    <w:rsid w:val="285F51FF"/>
    <w:rsid w:val="28CF5758"/>
    <w:rsid w:val="28DA4193"/>
    <w:rsid w:val="28DF2665"/>
    <w:rsid w:val="29072599"/>
    <w:rsid w:val="291029F3"/>
    <w:rsid w:val="297242DF"/>
    <w:rsid w:val="29CB58F0"/>
    <w:rsid w:val="2A053397"/>
    <w:rsid w:val="2A145E96"/>
    <w:rsid w:val="2A2131BB"/>
    <w:rsid w:val="2AF5378F"/>
    <w:rsid w:val="2BB94DBF"/>
    <w:rsid w:val="2BF37410"/>
    <w:rsid w:val="2C454D9A"/>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135642"/>
    <w:rsid w:val="30704386"/>
    <w:rsid w:val="30862F5F"/>
    <w:rsid w:val="30A4775A"/>
    <w:rsid w:val="31207983"/>
    <w:rsid w:val="314029C9"/>
    <w:rsid w:val="31BE2A64"/>
    <w:rsid w:val="31C63837"/>
    <w:rsid w:val="31C82E39"/>
    <w:rsid w:val="32414067"/>
    <w:rsid w:val="32601BAD"/>
    <w:rsid w:val="329F6389"/>
    <w:rsid w:val="32D13416"/>
    <w:rsid w:val="3389023A"/>
    <w:rsid w:val="33CB74FA"/>
    <w:rsid w:val="33E505BB"/>
    <w:rsid w:val="343642F2"/>
    <w:rsid w:val="343F3010"/>
    <w:rsid w:val="345D0A00"/>
    <w:rsid w:val="34713BFD"/>
    <w:rsid w:val="34C13589"/>
    <w:rsid w:val="34FA3DCB"/>
    <w:rsid w:val="350C2E7F"/>
    <w:rsid w:val="353369E3"/>
    <w:rsid w:val="35B21E0B"/>
    <w:rsid w:val="35E00D72"/>
    <w:rsid w:val="36965B9D"/>
    <w:rsid w:val="36C549FD"/>
    <w:rsid w:val="37A755DD"/>
    <w:rsid w:val="37F33BFE"/>
    <w:rsid w:val="37F94FA0"/>
    <w:rsid w:val="380D3381"/>
    <w:rsid w:val="38115B1F"/>
    <w:rsid w:val="383F3B43"/>
    <w:rsid w:val="38442B7B"/>
    <w:rsid w:val="385E3AC3"/>
    <w:rsid w:val="387D6B9E"/>
    <w:rsid w:val="38B75FF0"/>
    <w:rsid w:val="38C217B2"/>
    <w:rsid w:val="38D45016"/>
    <w:rsid w:val="38D90432"/>
    <w:rsid w:val="38DB3D17"/>
    <w:rsid w:val="3914510A"/>
    <w:rsid w:val="3926770B"/>
    <w:rsid w:val="395E6FAD"/>
    <w:rsid w:val="3982065B"/>
    <w:rsid w:val="398D3668"/>
    <w:rsid w:val="39DA0497"/>
    <w:rsid w:val="3A511A46"/>
    <w:rsid w:val="3A893816"/>
    <w:rsid w:val="3A893B6D"/>
    <w:rsid w:val="3AD1763A"/>
    <w:rsid w:val="3B196883"/>
    <w:rsid w:val="3B6716E3"/>
    <w:rsid w:val="3B6C6B2D"/>
    <w:rsid w:val="3B9D5E94"/>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AE3509"/>
    <w:rsid w:val="3FB77A1D"/>
    <w:rsid w:val="3FDC3674"/>
    <w:rsid w:val="3FED7F8A"/>
    <w:rsid w:val="40094AEF"/>
    <w:rsid w:val="405470BD"/>
    <w:rsid w:val="40794A29"/>
    <w:rsid w:val="40834692"/>
    <w:rsid w:val="413745CF"/>
    <w:rsid w:val="41431AD5"/>
    <w:rsid w:val="414B3C0F"/>
    <w:rsid w:val="417C1CE7"/>
    <w:rsid w:val="41900018"/>
    <w:rsid w:val="41944406"/>
    <w:rsid w:val="41CE128F"/>
    <w:rsid w:val="41DA6F12"/>
    <w:rsid w:val="42171FB1"/>
    <w:rsid w:val="424C36DF"/>
    <w:rsid w:val="42C10D7B"/>
    <w:rsid w:val="434E6957"/>
    <w:rsid w:val="43BA0E31"/>
    <w:rsid w:val="43C15147"/>
    <w:rsid w:val="43E14DD2"/>
    <w:rsid w:val="43F800E9"/>
    <w:rsid w:val="443A7E4B"/>
    <w:rsid w:val="444A7D08"/>
    <w:rsid w:val="44AA7FFF"/>
    <w:rsid w:val="44C35AE0"/>
    <w:rsid w:val="452F5B3A"/>
    <w:rsid w:val="454E7FD2"/>
    <w:rsid w:val="46061BDC"/>
    <w:rsid w:val="461404F8"/>
    <w:rsid w:val="46413018"/>
    <w:rsid w:val="464B7E04"/>
    <w:rsid w:val="468041AA"/>
    <w:rsid w:val="468123C6"/>
    <w:rsid w:val="46901EEE"/>
    <w:rsid w:val="469C74D2"/>
    <w:rsid w:val="47445515"/>
    <w:rsid w:val="474B4782"/>
    <w:rsid w:val="479A5D2B"/>
    <w:rsid w:val="47D90D14"/>
    <w:rsid w:val="47DE1152"/>
    <w:rsid w:val="48387FB0"/>
    <w:rsid w:val="483A6114"/>
    <w:rsid w:val="488727DB"/>
    <w:rsid w:val="48AF40D7"/>
    <w:rsid w:val="48B82268"/>
    <w:rsid w:val="48C354B3"/>
    <w:rsid w:val="493D58B5"/>
    <w:rsid w:val="494A7A04"/>
    <w:rsid w:val="49605EF7"/>
    <w:rsid w:val="4A0A26D2"/>
    <w:rsid w:val="4A2019A5"/>
    <w:rsid w:val="4A202F23"/>
    <w:rsid w:val="4A241A0B"/>
    <w:rsid w:val="4A5C2BD7"/>
    <w:rsid w:val="4A7B2875"/>
    <w:rsid w:val="4A934476"/>
    <w:rsid w:val="4AAA220A"/>
    <w:rsid w:val="4AE12E67"/>
    <w:rsid w:val="4AF9173F"/>
    <w:rsid w:val="4B3533BD"/>
    <w:rsid w:val="4B4C0111"/>
    <w:rsid w:val="4B7E5C5E"/>
    <w:rsid w:val="4B8553A9"/>
    <w:rsid w:val="4BDB3730"/>
    <w:rsid w:val="4BF56DAC"/>
    <w:rsid w:val="4C200F7A"/>
    <w:rsid w:val="4CEE3180"/>
    <w:rsid w:val="4D0F4AF6"/>
    <w:rsid w:val="4DF94F37"/>
    <w:rsid w:val="4E013C01"/>
    <w:rsid w:val="4E0A1DD5"/>
    <w:rsid w:val="4E3160E5"/>
    <w:rsid w:val="4E4D37AF"/>
    <w:rsid w:val="4E8C6496"/>
    <w:rsid w:val="4EEF3721"/>
    <w:rsid w:val="4EFD18DE"/>
    <w:rsid w:val="4F144236"/>
    <w:rsid w:val="4F663C87"/>
    <w:rsid w:val="4F7E29A8"/>
    <w:rsid w:val="4F9E1FFC"/>
    <w:rsid w:val="50447CC2"/>
    <w:rsid w:val="50874A7C"/>
    <w:rsid w:val="50895EE7"/>
    <w:rsid w:val="50921B9D"/>
    <w:rsid w:val="50D16158"/>
    <w:rsid w:val="50DB5F45"/>
    <w:rsid w:val="51025EB1"/>
    <w:rsid w:val="51141503"/>
    <w:rsid w:val="51214AEC"/>
    <w:rsid w:val="513C450E"/>
    <w:rsid w:val="518D0ED5"/>
    <w:rsid w:val="525C687F"/>
    <w:rsid w:val="526161E1"/>
    <w:rsid w:val="5278212B"/>
    <w:rsid w:val="52A3740A"/>
    <w:rsid w:val="52F647F7"/>
    <w:rsid w:val="52F92565"/>
    <w:rsid w:val="530B3D2A"/>
    <w:rsid w:val="53AE735E"/>
    <w:rsid w:val="53D03877"/>
    <w:rsid w:val="53E0234A"/>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22777F"/>
    <w:rsid w:val="57540E7D"/>
    <w:rsid w:val="577B4878"/>
    <w:rsid w:val="57926973"/>
    <w:rsid w:val="57D1482F"/>
    <w:rsid w:val="58175352"/>
    <w:rsid w:val="581F2200"/>
    <w:rsid w:val="58260CF8"/>
    <w:rsid w:val="583059FA"/>
    <w:rsid w:val="584A0929"/>
    <w:rsid w:val="584E01E9"/>
    <w:rsid w:val="58CD2491"/>
    <w:rsid w:val="591B41B2"/>
    <w:rsid w:val="59254A26"/>
    <w:rsid w:val="59326325"/>
    <w:rsid w:val="595C505B"/>
    <w:rsid w:val="595E55C3"/>
    <w:rsid w:val="596E7E20"/>
    <w:rsid w:val="59FE0E89"/>
    <w:rsid w:val="5A0A103C"/>
    <w:rsid w:val="5A3F3B98"/>
    <w:rsid w:val="5A5D23AA"/>
    <w:rsid w:val="5A60780B"/>
    <w:rsid w:val="5A8C28CD"/>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736998"/>
    <w:rsid w:val="62DD7D21"/>
    <w:rsid w:val="63492385"/>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4065D2"/>
    <w:rsid w:val="669B4528"/>
    <w:rsid w:val="66CC12D7"/>
    <w:rsid w:val="67134CEF"/>
    <w:rsid w:val="671F1ABD"/>
    <w:rsid w:val="67521A59"/>
    <w:rsid w:val="67C304AB"/>
    <w:rsid w:val="683D7CF6"/>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CF1EC9"/>
    <w:rsid w:val="6CEF0725"/>
    <w:rsid w:val="6D4B2604"/>
    <w:rsid w:val="6D77358F"/>
    <w:rsid w:val="6D8030E4"/>
    <w:rsid w:val="6DDD14CC"/>
    <w:rsid w:val="6E0E35C4"/>
    <w:rsid w:val="6E0F7A08"/>
    <w:rsid w:val="6E3947F5"/>
    <w:rsid w:val="6E6733A0"/>
    <w:rsid w:val="6E6E3938"/>
    <w:rsid w:val="6E9C74ED"/>
    <w:rsid w:val="6EF72976"/>
    <w:rsid w:val="6F795A80"/>
    <w:rsid w:val="6F7C1D2E"/>
    <w:rsid w:val="6F7D1832"/>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307B2"/>
    <w:rsid w:val="73674C62"/>
    <w:rsid w:val="73845865"/>
    <w:rsid w:val="739B6D9E"/>
    <w:rsid w:val="73BC1D76"/>
    <w:rsid w:val="73FB6630"/>
    <w:rsid w:val="748D790E"/>
    <w:rsid w:val="749820CC"/>
    <w:rsid w:val="74CB2DCF"/>
    <w:rsid w:val="74CE04EC"/>
    <w:rsid w:val="74D85EC1"/>
    <w:rsid w:val="74E24AE7"/>
    <w:rsid w:val="74E76DCD"/>
    <w:rsid w:val="751D7C0A"/>
    <w:rsid w:val="75336329"/>
    <w:rsid w:val="75722D56"/>
    <w:rsid w:val="75994291"/>
    <w:rsid w:val="75DB5477"/>
    <w:rsid w:val="75FC6AC3"/>
    <w:rsid w:val="7616619B"/>
    <w:rsid w:val="76660D7C"/>
    <w:rsid w:val="766C5968"/>
    <w:rsid w:val="76990144"/>
    <w:rsid w:val="76BE0C8F"/>
    <w:rsid w:val="76CD53B2"/>
    <w:rsid w:val="76E6594C"/>
    <w:rsid w:val="770719AC"/>
    <w:rsid w:val="77257871"/>
    <w:rsid w:val="776526CC"/>
    <w:rsid w:val="77A262E1"/>
    <w:rsid w:val="77B13C33"/>
    <w:rsid w:val="77DA19F9"/>
    <w:rsid w:val="77DC095A"/>
    <w:rsid w:val="77ED6F44"/>
    <w:rsid w:val="77F45548"/>
    <w:rsid w:val="77FC440B"/>
    <w:rsid w:val="784E7CA6"/>
    <w:rsid w:val="78574801"/>
    <w:rsid w:val="7873527F"/>
    <w:rsid w:val="790A6425"/>
    <w:rsid w:val="790E2D96"/>
    <w:rsid w:val="79130020"/>
    <w:rsid w:val="791B54B2"/>
    <w:rsid w:val="793C0F89"/>
    <w:rsid w:val="795A0A34"/>
    <w:rsid w:val="797339C3"/>
    <w:rsid w:val="79D57D57"/>
    <w:rsid w:val="79F00650"/>
    <w:rsid w:val="7A5C6890"/>
    <w:rsid w:val="7A6242BF"/>
    <w:rsid w:val="7A794513"/>
    <w:rsid w:val="7A9B3811"/>
    <w:rsid w:val="7AB467DA"/>
    <w:rsid w:val="7AB9318D"/>
    <w:rsid w:val="7AE952D2"/>
    <w:rsid w:val="7B9F26AF"/>
    <w:rsid w:val="7BB607FE"/>
    <w:rsid w:val="7C7248A0"/>
    <w:rsid w:val="7C976D69"/>
    <w:rsid w:val="7CB743EE"/>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outlineLvl w:val="2"/>
    </w:pPr>
    <w:rPr>
      <w:rFonts w:ascii="仿宋_GB2312" w:hAnsi="仿宋_GB2312" w:eastAsia="仿宋_GB2312"/>
      <w:b/>
      <w:bCs/>
      <w:szCs w:val="32"/>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spacing w:before="100" w:beforeAutospacing="1" w:after="100" w:afterAutospacing="1" w:line="480" w:lineRule="auto"/>
      <w:ind w:left="200" w:leftChars="200"/>
    </w:p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正文文字 1"/>
    <w:basedOn w:val="1"/>
    <w:next w:val="1"/>
    <w:qFormat/>
    <w:uiPriority w:val="0"/>
    <w:pPr>
      <w:spacing w:before="100" w:beforeAutospacing="1" w:after="100" w:afterAutospacing="1"/>
      <w:ind w:left="240"/>
    </w:pPr>
    <w:rPr>
      <w:sz w:val="28"/>
      <w:szCs w:val="28"/>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2025-04-10T04:17:12Z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