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pP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沙湾市畜牧兽医站</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lang w:eastAsia="zh-CN"/>
          <w14:textFill>
            <w14:solidFill>
              <w14:schemeClr w14:val="tx1"/>
            </w14:solidFill>
          </w14:textFill>
        </w:rPr>
        <w:t xml:space="preserve"> 2023年度</w:t>
      </w:r>
      <w:r>
        <w:rPr>
          <w:rFonts w:hint="eastAsia" w:ascii="方正小标宋_GBK" w:hAnsi="宋体" w:eastAsia="方正小标宋_GBK"/>
          <w:color w:val="000000" w:themeColor="text1"/>
          <w:sz w:val="44"/>
          <w:szCs w:val="44"/>
          <w:highlight w:val="none"/>
          <w14:textFill>
            <w14:solidFill>
              <w14:schemeClr w14:val="tx1"/>
            </w14:solidFill>
          </w14:textFill>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t>公开说明</w:t>
      </w:r>
    </w:p>
    <w:p>
      <w:pPr>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bCs w:val="0"/>
          <w:color w:val="000000" w:themeColor="text1"/>
          <w:kern w:val="0"/>
          <w:sz w:val="36"/>
          <w:szCs w:val="36"/>
          <w:highlight w:val="none"/>
          <w14:textFill>
            <w14:solidFill>
              <w14:schemeClr w14:val="tx1"/>
            </w14:solidFill>
          </w14:textFill>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TOC \o "1-3" \n  \h \u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_Toc32314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 xml:space="preserve">第一部分 </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单位</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概况</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_Toc30567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一、主要职能</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二、机构设置</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及人员</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_Toc29374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第二部分 部门决算情况说明</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_Toc25314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_Toc12142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二、</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收入</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_Toc13201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三、支出决算情况说明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_Toc26564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四、财政拨款收入支出决算总体情况说明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_Toc20360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五、一般公共预算财政拨款支出决算情况说明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_Toc30870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六、一般公共预算财政拨款基本支出决算情况说明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_Toc21518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七</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财政拨款</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“三公”经费支出</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决算</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政府性基金预算财政拨款收入支出决算情况说明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rPr>
          <w:rFonts w:hint="eastAsia"/>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_Toc5810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、国有资本经营预算财政拨款收入支出决算情况说明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_Toc1235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、其他重要事项的情况</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_Toc14519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（一）</w:t>
      </w:r>
      <w:r>
        <w:rPr>
          <w:rFonts w:hint="eastAsia" w:ascii="仿宋_GB2312" w:hAnsi="仿宋_GB2312" w:eastAsia="仿宋_GB2312" w:cs="仿宋_GB2312"/>
          <w:color w:val="000000" w:themeColor="text1"/>
          <w:sz w:val="32"/>
          <w:szCs w:val="32"/>
          <w:highlight w:val="none"/>
          <w14:textFill>
            <w14:solidFill>
              <w14:schemeClr w14:val="tx1"/>
            </w14:solidFill>
          </w14:textFill>
        </w:rPr>
        <w:t>机关运行经费支出情况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_Toc227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（二）政府采购情况</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_Toc8391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（三）国有资产占用情况说明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_Toc11283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十</w:t>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一</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、预算绩效的情况说明</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_Toc3250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第三部分 专业名词解释</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instrText xml:space="preserve"> HYPERLINK \l _Toc22784 </w:instrTex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第四部分 部门决算报表（见附表）</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_Toc2183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一、《收入支出决算总表》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_Toc24532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二、《收入决算表》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_Toc32434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三、《支出决算表》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_Toc28786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四、《财政拨款收入支出决算总表》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_Toc14869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五、《一般公共预算财政拨款支出决算表》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_Toc8884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六、《一般公共预算财政拨款基本支出决算表》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begin"/>
      </w:r>
      <w:r>
        <w:rPr>
          <w:rFonts w:hint="eastAsia" w:ascii="仿宋_GB2312" w:hAnsi="仿宋_GB2312" w:eastAsia="仿宋_GB2312" w:cs="仿宋_GB2312"/>
          <w:color w:val="000000" w:themeColor="text1"/>
          <w:sz w:val="32"/>
          <w:szCs w:val="32"/>
          <w:highlight w:val="none"/>
          <w14:textFill>
            <w14:solidFill>
              <w14:schemeClr w14:val="tx1"/>
            </w14:solidFill>
          </w14:textFill>
        </w:rPr>
        <w:instrText xml:space="preserve"> HYPERLINK \l _Toc29106 </w:instrTex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七、《财政拨款“三公”经费支出决算表》</w:t>
      </w: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begin"/>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instrText xml:space="preserve"> HYPERLINK \l _Toc7643 </w:instrTex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separate"/>
      </w: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八、</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《政府性基金预算财政拨款收入支出决算表》</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pPr>
      <w:r>
        <w:rPr>
          <w:rFonts w:hint="eastAsia" w:ascii="仿宋_GB2312" w:hAnsi="仿宋_GB2312" w:eastAsia="仿宋_GB2312" w:cs="仿宋_GB2312"/>
          <w:bCs/>
          <w:color w:val="000000" w:themeColor="text1"/>
          <w:kern w:val="0"/>
          <w:sz w:val="32"/>
          <w:szCs w:val="32"/>
          <w:highlight w:val="none"/>
          <w:lang w:val="en-US" w:eastAsia="zh-CN"/>
          <w14:textFill>
            <w14:solidFill>
              <w14:schemeClr w14:val="tx1"/>
            </w14:solidFill>
          </w14:textFill>
        </w:rPr>
        <w:t>九</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、《国有资本经营</w:t>
      </w:r>
      <w:r>
        <w:rPr>
          <w:rFonts w:hint="eastAsia" w:ascii="仿宋_GB2312" w:hAnsi="仿宋_GB2312" w:eastAsia="仿宋_GB2312" w:cs="仿宋_GB2312"/>
          <w:bCs/>
          <w:color w:val="000000" w:themeColor="text1"/>
          <w:kern w:val="0"/>
          <w:sz w:val="32"/>
          <w:szCs w:val="32"/>
          <w:highlight w:val="none"/>
          <w14:textFill>
            <w14:solidFill>
              <w14:schemeClr w14:val="tx1"/>
            </w14:solidFill>
          </w14:textFill>
        </w:rPr>
        <w:t>预算财政拨款收入支出决算表</w:t>
      </w:r>
      <w:r>
        <w:rPr>
          <w:rFonts w:hint="eastAsia" w:ascii="仿宋_GB2312" w:hAnsi="仿宋_GB2312" w:eastAsia="仿宋_GB2312" w:cs="仿宋_GB2312"/>
          <w:bCs/>
          <w:color w:val="000000" w:themeColor="text1"/>
          <w:kern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000000" w:themeColor="text1"/>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fldChar w:fldCharType="end"/>
      </w:r>
    </w:p>
    <w:p>
      <w:pPr>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0" w:name="_Toc24028"/>
      <w:bookmarkStart w:id="1" w:name="_Toc32314"/>
      <w:r>
        <w:rPr>
          <w:rFonts w:hint="eastAsia" w:ascii="黑体" w:hAnsi="黑体" w:eastAsia="黑体"/>
          <w:color w:val="000000" w:themeColor="text1"/>
          <w:sz w:val="32"/>
          <w:szCs w:val="32"/>
          <w:highlight w:val="none"/>
          <w14:textFill>
            <w14:solidFill>
              <w14:schemeClr w14:val="tx1"/>
            </w14:solidFill>
          </w14:textFill>
        </w:rPr>
        <w:t xml:space="preserve">第一部分 </w:t>
      </w:r>
      <w:r>
        <w:rPr>
          <w:rFonts w:hint="eastAsia" w:ascii="黑体" w:hAnsi="黑体" w:eastAsia="黑体"/>
          <w:color w:val="000000" w:themeColor="text1"/>
          <w:sz w:val="32"/>
          <w:szCs w:val="32"/>
          <w:highlight w:val="none"/>
          <w:lang w:eastAsia="zh-CN"/>
          <w14:textFill>
            <w14:solidFill>
              <w14:schemeClr w14:val="tx1"/>
            </w14:solidFill>
          </w14:textFill>
        </w:rPr>
        <w:t>单位</w:t>
      </w:r>
      <w:r>
        <w:rPr>
          <w:rFonts w:hint="eastAsia" w:ascii="黑体" w:hAnsi="黑体" w:eastAsia="黑体"/>
          <w:color w:val="000000" w:themeColor="text1"/>
          <w:sz w:val="32"/>
          <w:szCs w:val="32"/>
          <w:highlight w:val="none"/>
          <w14:textFill>
            <w14:solidFill>
              <w14:schemeClr w14:val="tx1"/>
            </w14:solidFill>
          </w14:textFill>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 w:eastAsia="仿宋_GB2312"/>
          <w:color w:val="000000" w:themeColor="text1"/>
          <w:sz w:val="32"/>
          <w:szCs w:val="32"/>
          <w14:textFill>
            <w14:solidFill>
              <w14:schemeClr w14:val="tx1"/>
            </w14:solidFill>
          </w14:textFill>
        </w:rPr>
      </w:pPr>
      <w:bookmarkStart w:id="2" w:name="_Toc30567"/>
      <w:bookmarkStart w:id="3" w:name="_Toc30738"/>
      <w:r>
        <w:rPr>
          <w:rFonts w:hint="eastAsia" w:ascii="黑体" w:hAnsi="黑体" w:eastAsia="黑体" w:cs="宋体"/>
          <w:bCs/>
          <w:color w:val="000000" w:themeColor="text1"/>
          <w:kern w:val="0"/>
          <w:sz w:val="32"/>
          <w:szCs w:val="32"/>
          <w:highlight w:val="none"/>
          <w14:textFill>
            <w14:solidFill>
              <w14:schemeClr w14:val="tx1"/>
            </w14:solidFill>
          </w14:textFill>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1）负责对畜禽品种的管理，包括种畜禽品种的登记、鉴定、畜禽品种的审定、畜禽品种性能测定。（2）负责监督和指导全县肉牛、奶牛、肉羊、细毛羊、绒山羊、家禽、生猪的品种改良，良种推广和新品种的培育等工作。（3）负责全县畜禽改良新需物资，器械及液氮的组织供应。（4）负责畜牧业畜禽发展规划的制定，良种繁育，推广及管理体系的业务指导及监督。（5）负责全县畜牧生产技术项目的科研立项、推广、善及工作，负责畜牧业有关法律法规宣传及实用技术的宣传培训和推广工作。（6）负责全县良种畜禽的引进、繁育、调剂、推广及种畜禽场种畜禽质量的监督检查和发放种畜（禽）合格证。（7）负责组织畜禽品种，畜产品资源的保护及合理开发种用工作，无公害畜产品产地认证工作。（8）负责本县牲畜品种标准的拟室工作。研究拟室本县畜禽饲养、品种改良、畜产品等方面的技术标准并组织监督落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4" w:name="_Toc31238"/>
      <w:bookmarkStart w:id="5" w:name="_Toc2151"/>
      <w:r>
        <w:rPr>
          <w:rFonts w:hint="eastAsia" w:ascii="黑体" w:hAnsi="黑体" w:eastAsia="黑体" w:cs="宋体"/>
          <w:bCs/>
          <w:color w:val="000000" w:themeColor="text1"/>
          <w:kern w:val="0"/>
          <w:sz w:val="32"/>
          <w:szCs w:val="32"/>
          <w:highlight w:val="none"/>
          <w14:textFill>
            <w14:solidFill>
              <w14:schemeClr w14:val="tx1"/>
            </w14:solidFill>
          </w14:textFill>
        </w:rPr>
        <w:t>二、机构设置</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及</w:t>
      </w:r>
      <w:bookmarkEnd w:id="4"/>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人员</w:t>
      </w:r>
      <w:r>
        <w:rPr>
          <w:rFonts w:hint="eastAsia" w:ascii="黑体" w:hAnsi="黑体" w:eastAsia="黑体" w:cs="宋体"/>
          <w:bCs/>
          <w:color w:val="000000" w:themeColor="text1"/>
          <w:kern w:val="0"/>
          <w:sz w:val="32"/>
          <w:szCs w:val="32"/>
          <w:highlight w:val="none"/>
          <w14:textFill>
            <w14:solidFill>
              <w14:schemeClr w14:val="tx1"/>
            </w14:solidFill>
          </w14:textFill>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沙湾市畜牧兽医站</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实有人数</w:t>
      </w:r>
      <w:r>
        <w:rPr>
          <w:rFonts w:hint="eastAsia" w:ascii="仿宋_GB2312" w:eastAsia="仿宋_GB2312"/>
          <w:color w:val="000000" w:themeColor="text1"/>
          <w:sz w:val="32"/>
          <w:szCs w:val="32"/>
          <w:highlight w:val="none"/>
          <w:lang w:val="zh-CN" w:eastAsia="zh-CN"/>
          <w14:textFill>
            <w14:solidFill>
              <w14:schemeClr w14:val="tx1"/>
            </w14:solidFill>
          </w14:textFill>
        </w:rPr>
        <w:t>20</w:t>
      </w:r>
      <w:r>
        <w:rPr>
          <w:rFonts w:hint="eastAsia" w:ascii="仿宋_GB2312" w:eastAsia="仿宋_GB2312"/>
          <w:color w:val="000000" w:themeColor="text1"/>
          <w:sz w:val="32"/>
          <w:szCs w:val="32"/>
          <w:highlight w:val="none"/>
          <w14:textFill>
            <w14:solidFill>
              <w14:schemeClr w14:val="tx1"/>
            </w14:solidFill>
          </w14:textFill>
        </w:rPr>
        <w:t>人，其中：在职人员</w:t>
      </w:r>
      <w:r>
        <w:rPr>
          <w:rFonts w:hint="eastAsia" w:ascii="仿宋_GB2312" w:eastAsia="仿宋_GB2312"/>
          <w:color w:val="000000" w:themeColor="text1"/>
          <w:sz w:val="32"/>
          <w:szCs w:val="32"/>
          <w:highlight w:val="none"/>
          <w:lang w:val="zh-CN" w:eastAsia="zh-CN"/>
          <w14:textFill>
            <w14:solidFill>
              <w14:schemeClr w14:val="tx1"/>
            </w14:solidFill>
          </w14:textFill>
        </w:rPr>
        <w:t>14</w:t>
      </w:r>
      <w:r>
        <w:rPr>
          <w:rFonts w:hint="eastAsia" w:ascii="仿宋_GB2312" w:eastAsia="仿宋_GB2312"/>
          <w:color w:val="000000" w:themeColor="text1"/>
          <w:sz w:val="32"/>
          <w:szCs w:val="32"/>
          <w:highlight w:val="none"/>
          <w14:textFill>
            <w14:solidFill>
              <w14:schemeClr w14:val="tx1"/>
            </w14:solidFill>
          </w14:textFill>
        </w:rPr>
        <w:t>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离休人员</w:t>
      </w:r>
      <w:r>
        <w:rPr>
          <w:rFonts w:hint="eastAsia" w:ascii="仿宋_GB2312" w:eastAsia="仿宋_GB2312"/>
          <w:color w:val="000000" w:themeColor="text1"/>
          <w:sz w:val="32"/>
          <w:szCs w:val="32"/>
          <w:highlight w:val="none"/>
          <w:lang w:val="zh-CN"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人，退休人员</w:t>
      </w:r>
      <w:r>
        <w:rPr>
          <w:rFonts w:hint="eastAsia" w:ascii="仿宋_GB2312" w:eastAsia="仿宋_GB2312"/>
          <w:color w:val="000000" w:themeColor="text1"/>
          <w:sz w:val="32"/>
          <w:szCs w:val="32"/>
          <w:highlight w:val="none"/>
          <w:lang w:val="zh-CN" w:eastAsia="zh-CN"/>
          <w14:textFill>
            <w14:solidFill>
              <w14:schemeClr w14:val="tx1"/>
            </w14:solidFill>
          </w14:textFill>
        </w:rPr>
        <w:t>6</w:t>
      </w:r>
      <w:r>
        <w:rPr>
          <w:rFonts w:hint="eastAsia" w:ascii="仿宋_GB2312" w:eastAsia="仿宋_GB2312"/>
          <w:color w:val="000000" w:themeColor="text1"/>
          <w:sz w:val="32"/>
          <w:szCs w:val="32"/>
          <w:highlight w:val="none"/>
          <w14:textFill>
            <w14:solidFill>
              <w14:schemeClr w14:val="tx1"/>
            </w14:solidFill>
          </w14:textFill>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000000" w:themeColor="text1"/>
          <w:kern w:val="0"/>
          <w:sz w:val="32"/>
          <w:szCs w:val="32"/>
          <w:highlight w:val="none"/>
          <w14:textFill>
            <w14:solidFill>
              <w14:schemeClr w14:val="tx1"/>
            </w14:solidFill>
          </w14:textFill>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000000" w:themeColor="text1"/>
          <w:kern w:val="0"/>
          <w:sz w:val="32"/>
          <w:szCs w:val="32"/>
          <w:highlight w:val="none"/>
          <w14:textFill>
            <w14:solidFill>
              <w14:schemeClr w14:val="tx1"/>
            </w14:solidFill>
          </w14:textFill>
        </w:rPr>
        <w:t>单位无下属预算单位，下设</w:t>
      </w:r>
      <w:r>
        <w:rPr>
          <w:rFonts w:hint="eastAsia" w:ascii="仿宋_GB2312" w:hAnsi="黑体" w:eastAsia="仿宋_GB2312" w:cs="宋体"/>
          <w:bCs/>
          <w:color w:val="000000" w:themeColor="text1"/>
          <w:kern w:val="0"/>
          <w:sz w:val="32"/>
          <w:szCs w:val="32"/>
          <w:highlight w:val="none"/>
          <w:lang w:val="en-US" w:eastAsia="zh-CN"/>
          <w14:textFill>
            <w14:solidFill>
              <w14:schemeClr w14:val="tx1"/>
            </w14:solidFill>
          </w14:textFill>
        </w:rPr>
        <w:t>3</w:t>
      </w:r>
      <w:r>
        <w:rPr>
          <w:rFonts w:hint="eastAsia" w:ascii="仿宋_GB2312" w:hAnsi="黑体" w:eastAsia="仿宋_GB2312" w:cs="宋体"/>
          <w:bCs/>
          <w:color w:val="000000" w:themeColor="text1"/>
          <w:kern w:val="0"/>
          <w:sz w:val="32"/>
          <w:szCs w:val="32"/>
          <w:highlight w:val="none"/>
          <w14:textFill>
            <w14:solidFill>
              <w14:schemeClr w14:val="tx1"/>
            </w14:solidFill>
          </w14:textFill>
        </w:rPr>
        <w:t>个处室，分别是：</w:t>
      </w:r>
      <w:r>
        <w:rPr>
          <w:rFonts w:hint="eastAsia" w:ascii="仿宋_GB2312" w:hAnsi="黑体" w:eastAsia="仿宋_GB2312" w:cs="宋体"/>
          <w:bCs/>
          <w:color w:val="000000" w:themeColor="text1"/>
          <w:kern w:val="0"/>
          <w:sz w:val="32"/>
          <w:szCs w:val="32"/>
          <w:highlight w:val="none"/>
          <w:lang w:eastAsia="zh-CN"/>
          <w14:textFill>
            <w14:solidFill>
              <w14:schemeClr w14:val="tx1"/>
            </w14:solidFill>
          </w14:textFill>
        </w:rPr>
        <w:t>办公室、党建室、化验室</w:t>
      </w:r>
      <w:r>
        <w:rPr>
          <w:rFonts w:hint="eastAsia" w:ascii="仿宋_GB2312" w:hAnsi="宋体" w:eastAsia="仿宋_GB2312" w:cs="宋体"/>
          <w:color w:val="000000" w:themeColor="text1"/>
          <w:kern w:val="0"/>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6" w:name="_Toc29374"/>
      <w:bookmarkStart w:id="7" w:name="_Toc3092"/>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二</w:t>
      </w:r>
      <w:r>
        <w:rPr>
          <w:rFonts w:hint="eastAsia" w:ascii="黑体" w:hAnsi="黑体" w:eastAsia="黑体"/>
          <w:color w:val="000000" w:themeColor="text1"/>
          <w:sz w:val="32"/>
          <w:szCs w:val="32"/>
          <w:highlight w:val="none"/>
          <w14:textFill>
            <w14:solidFill>
              <w14:schemeClr w14:val="tx1"/>
            </w14:solidFill>
          </w14:textFill>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8" w:name="_Toc12566"/>
      <w:bookmarkStart w:id="9" w:name="_Toc25314"/>
      <w:r>
        <w:rPr>
          <w:rFonts w:hint="eastAsia" w:ascii="黑体" w:hAnsi="黑体" w:eastAsia="黑体" w:cs="宋体"/>
          <w:bCs/>
          <w:color w:val="000000" w:themeColor="text1"/>
          <w:kern w:val="0"/>
          <w:sz w:val="32"/>
          <w:szCs w:val="32"/>
          <w:highlight w:val="none"/>
          <w14:textFill>
            <w14:solidFill>
              <w14:schemeClr w14:val="tx1"/>
            </w14:solidFill>
          </w14:textFill>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收入总计</w:t>
      </w:r>
      <w:r>
        <w:rPr>
          <w:rFonts w:hint="eastAsia" w:ascii="仿宋_GB2312" w:eastAsia="仿宋_GB2312"/>
          <w:color w:val="000000" w:themeColor="text1"/>
          <w:spacing w:val="0"/>
          <w:sz w:val="32"/>
          <w:szCs w:val="32"/>
          <w:highlight w:val="none"/>
          <w:lang w:eastAsia="zh-CN"/>
          <w14:textFill>
            <w14:solidFill>
              <w14:schemeClr w14:val="tx1"/>
            </w14:solidFill>
          </w14:textFill>
        </w:rPr>
        <w:t>319.72万元，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其中：本年收入合计</w:t>
      </w:r>
      <w:r>
        <w:rPr>
          <w:rFonts w:hint="eastAsia" w:ascii="仿宋_GB2312" w:eastAsia="仿宋_GB2312"/>
          <w:color w:val="000000" w:themeColor="text1"/>
          <w:spacing w:val="0"/>
          <w:sz w:val="32"/>
          <w:szCs w:val="32"/>
          <w:highlight w:val="none"/>
          <w:lang w:eastAsia="zh-CN"/>
          <w14:textFill>
            <w14:solidFill>
              <w14:schemeClr w14:val="tx1"/>
            </w14:solidFill>
          </w14:textFill>
        </w:rPr>
        <w:t>319.72万元，使用非财政拨款结余0.00万元，年初结转和结余0.00万元。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2023</w:t>
      </w:r>
      <w:r>
        <w:rPr>
          <w:rFonts w:hint="eastAsia" w:ascii="仿宋_GB2312" w:eastAsia="仿宋_GB2312"/>
          <w:color w:val="000000" w:themeColor="text1"/>
          <w:spacing w:val="0"/>
          <w:sz w:val="32"/>
          <w:szCs w:val="32"/>
          <w:highlight w:val="none"/>
          <w:lang w:eastAsia="zh-CN"/>
          <w14:textFill>
            <w14:solidFill>
              <w14:schemeClr w14:val="tx1"/>
            </w14:solidFill>
          </w14:textFill>
        </w:rPr>
        <w:t>年</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度</w:t>
      </w:r>
      <w:r>
        <w:rPr>
          <w:rFonts w:hint="eastAsia" w:ascii="仿宋_GB2312" w:eastAsia="仿宋_GB2312"/>
          <w:color w:val="000000" w:themeColor="text1"/>
          <w:spacing w:val="0"/>
          <w:sz w:val="32"/>
          <w:szCs w:val="32"/>
          <w:highlight w:val="none"/>
          <w:lang w:eastAsia="zh-CN"/>
          <w14:textFill>
            <w14:solidFill>
              <w14:schemeClr w14:val="tx1"/>
            </w14:solidFill>
          </w14:textFill>
        </w:rPr>
        <w:t>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eastAsia="zh-CN"/>
          <w14:textFill>
            <w14:solidFill>
              <w14:schemeClr w14:val="tx1"/>
            </w14:solidFill>
          </w14:textFill>
        </w:rPr>
        <w:t>319.72万元，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其中：本年支出合计</w:t>
      </w:r>
      <w:r>
        <w:rPr>
          <w:rFonts w:hint="eastAsia" w:ascii="仿宋_GB2312" w:eastAsia="仿宋_GB2312"/>
          <w:color w:val="000000" w:themeColor="text1"/>
          <w:spacing w:val="0"/>
          <w:sz w:val="32"/>
          <w:szCs w:val="32"/>
          <w:highlight w:val="none"/>
          <w:lang w:eastAsia="zh-CN"/>
          <w14:textFill>
            <w14:solidFill>
              <w14:schemeClr w14:val="tx1"/>
            </w14:solidFill>
          </w14:textFill>
        </w:rPr>
        <w:t>319.72万元，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结余分配</w:t>
      </w:r>
      <w:r>
        <w:rPr>
          <w:rFonts w:hint="eastAsia" w:ascii="仿宋_GB2312" w:eastAsia="仿宋_GB2312"/>
          <w:color w:val="000000" w:themeColor="text1"/>
          <w:spacing w:val="0"/>
          <w:sz w:val="32"/>
          <w:szCs w:val="32"/>
          <w:highlight w:val="none"/>
          <w:lang w:eastAsia="zh-CN"/>
          <w14:textFill>
            <w14:solidFill>
              <w14:schemeClr w14:val="tx1"/>
            </w14:solidFill>
          </w14:textFill>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val="en-US" w:eastAsia="zh-CN"/>
          <w14:textFill>
            <w14:solidFill>
              <w14:schemeClr w14:val="tx1"/>
            </w14:solidFill>
          </w14:textFill>
        </w:rPr>
        <w:t>收入支出总体与上年相比</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增加56.91万元</w:t>
      </w:r>
      <w:r>
        <w:rPr>
          <w:rFonts w:hint="eastAsia" w:ascii="仿宋_GB2312" w:eastAsia="仿宋_GB2312"/>
          <w:color w:val="000000" w:themeColor="text1"/>
          <w:spacing w:val="0"/>
          <w:sz w:val="32"/>
          <w:szCs w:val="32"/>
          <w:highlight w:val="none"/>
          <w:lang w:eastAsia="zh-CN"/>
          <w14:textFill>
            <w14:solidFill>
              <w14:schemeClr w14:val="tx1"/>
            </w14:solidFill>
          </w14:textFill>
        </w:rPr>
        <w:t>，增长21.65%，主要原因是：</w:t>
      </w:r>
      <w:r>
        <w:rPr>
          <w:rFonts w:hint="eastAsia" w:ascii="仿宋_GB2312" w:eastAsia="仿宋_GB2312"/>
          <w:color w:val="000000" w:themeColor="text1"/>
          <w:sz w:val="32"/>
          <w:szCs w:val="32"/>
          <w14:textFill>
            <w14:solidFill>
              <w14:schemeClr w14:val="tx1"/>
            </w14:solidFill>
          </w14:textFill>
        </w:rPr>
        <w:t>一是基础绩效奖增资。二是艰苦边远地区津贴增资。三是人员晋升</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14:textFill>
            <w14:solidFill>
              <w14:schemeClr w14:val="tx1"/>
            </w14:solidFill>
          </w14:textFill>
        </w:rPr>
      </w:pPr>
      <w:bookmarkStart w:id="10" w:name="_Toc12142"/>
      <w:bookmarkStart w:id="11" w:name="_Toc1979"/>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14:textFill>
            <w14:solidFill>
              <w14:schemeClr w14:val="tx1"/>
            </w14:solidFill>
          </w14:textFill>
        </w:rPr>
        <w:t>收入</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本年收入</w:t>
      </w:r>
      <w:r>
        <w:rPr>
          <w:rFonts w:hint="eastAsia" w:ascii="仿宋_GB2312" w:eastAsia="仿宋_GB2312"/>
          <w:color w:val="000000" w:themeColor="text1"/>
          <w:sz w:val="32"/>
          <w:szCs w:val="32"/>
          <w:highlight w:val="none"/>
          <w:lang w:eastAsia="zh-CN"/>
          <w14:textFill>
            <w14:solidFill>
              <w14:schemeClr w14:val="tx1"/>
            </w14:solidFill>
          </w14:textFill>
        </w:rPr>
        <w:t>319.72</w:t>
      </w:r>
      <w:r>
        <w:rPr>
          <w:rFonts w:hint="eastAsia" w:ascii="仿宋_GB2312" w:eastAsia="仿宋_GB2312"/>
          <w:color w:val="000000" w:themeColor="text1"/>
          <w:sz w:val="32"/>
          <w:szCs w:val="32"/>
          <w:highlight w:val="none"/>
          <w14:textFill>
            <w14:solidFill>
              <w14:schemeClr w14:val="tx1"/>
            </w14:solidFill>
          </w14:textFill>
        </w:rPr>
        <w:t>万元，其中：财政拨款收入</w:t>
      </w:r>
      <w:r>
        <w:rPr>
          <w:rFonts w:hint="eastAsia" w:ascii="仿宋_GB2312" w:eastAsia="仿宋_GB2312"/>
          <w:color w:val="000000" w:themeColor="text1"/>
          <w:sz w:val="32"/>
          <w:szCs w:val="32"/>
          <w:highlight w:val="none"/>
          <w:lang w:val="zh-CN"/>
          <w14:textFill>
            <w14:solidFill>
              <w14:schemeClr w14:val="tx1"/>
            </w14:solidFill>
          </w14:textFill>
        </w:rPr>
        <w:t>319.72</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100.00%</w:t>
      </w:r>
      <w:r>
        <w:rPr>
          <w:rFonts w:hint="eastAsia" w:ascii="仿宋_GB2312" w:eastAsia="仿宋_GB2312"/>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附属单位上缴收入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color w:val="000000" w:themeColor="text1"/>
          <w:sz w:val="32"/>
          <w:szCs w:val="32"/>
          <w:highlight w:val="none"/>
          <w:lang w:val="zh-CN"/>
          <w14:textFill>
            <w14:solidFill>
              <w14:schemeClr w14:val="tx1"/>
            </w14:solidFill>
          </w14:textFill>
        </w:rPr>
        <w:t>0.00%</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2" w:name="_Toc27961"/>
      <w:bookmarkStart w:id="13" w:name="_Toc13201"/>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本年支出319.72万元，其中：基本支出278.22万元，占87.02%；项目支出41.50万元，占12.98%；上缴上级支出0.00万元，占0.00%；经营支出0.00万元，占0.00%；对附属单位补助支出0.00万元，占0.00%。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4" w:name="_Toc26564"/>
      <w:bookmarkStart w:id="15" w:name="_Toc4393"/>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2023年度财政拨款收入</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319.72</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其中：年初财政拨款结转和结余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本年财政拨款收入</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319.72</w:t>
      </w:r>
      <w:r>
        <w:rPr>
          <w:rFonts w:hint="eastAsia" w:ascii="仿宋_GB2312" w:eastAsia="仿宋_GB2312"/>
          <w:color w:val="000000" w:themeColor="text1"/>
          <w:spacing w:val="0"/>
          <w:sz w:val="32"/>
          <w:szCs w:val="32"/>
          <w:highlight w:val="none"/>
          <w:lang w:eastAsia="zh-CN"/>
          <w14:textFill>
            <w14:solidFill>
              <w14:schemeClr w14:val="tx1"/>
            </w14:solidFill>
          </w14:textFill>
        </w:rPr>
        <w:t>万元。财政拨款支出</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总计</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319.72</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其中：年末财政拨款结转和结余</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0.00</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本年财政拨款支出</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319.72</w:t>
      </w:r>
      <w:r>
        <w:rPr>
          <w:rFonts w:hint="eastAsia" w:ascii="仿宋_GB2312" w:eastAsia="仿宋_GB2312"/>
          <w:color w:val="000000" w:themeColor="text1"/>
          <w:spacing w:val="0"/>
          <w:sz w:val="32"/>
          <w:szCs w:val="32"/>
          <w:highlight w:val="none"/>
          <w:lang w:eastAsia="zh-CN"/>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财政拨款收入支出总体与上年相比</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增加56.91万元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增长21.65%,</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一是基础绩效奖增资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二是艰苦边远地区津贴增资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三是人员晋升</w:t>
      </w:r>
      <w:r>
        <w:rPr>
          <w:rFonts w:hint="eastAsia" w:ascii="仿宋_GB2312" w:eastAsia="仿宋_GB2312"/>
          <w:color w:val="000000" w:themeColor="text1"/>
          <w:spacing w:val="0"/>
          <w:sz w:val="32"/>
          <w:szCs w:val="32"/>
          <w:highlight w:val="none"/>
          <w:lang w:eastAsia="zh-CN"/>
          <w14:textFill>
            <w14:solidFill>
              <w14:schemeClr w14:val="tx1"/>
            </w14:solidFill>
          </w14:textFill>
        </w:rPr>
        <w:t>。与年初预算相比，年初预算数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253.84</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319.72</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万元，预决算差异率25.95%，主要原因是：</w:t>
      </w:r>
      <w:r>
        <w:rPr>
          <w:rFonts w:hint="eastAsia" w:ascii="仿宋_GB2312" w:eastAsia="仿宋_GB2312"/>
          <w:color w:val="000000" w:themeColor="text1"/>
          <w:sz w:val="32"/>
          <w:szCs w:val="32"/>
          <w14:textFill>
            <w14:solidFill>
              <w14:schemeClr w14:val="tx1"/>
            </w14:solidFill>
          </w14:textFill>
        </w:rPr>
        <w:t>一是基础绩效奖增资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二是艰苦边远地区津贴增资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三是人员晋升</w:t>
      </w:r>
      <w:r>
        <w:rPr>
          <w:rFonts w:hint="eastAsia" w:ascii="仿宋_GB2312" w:eastAsia="仿宋_GB2312"/>
          <w:color w:val="000000" w:themeColor="text1"/>
          <w:spacing w:val="0"/>
          <w:sz w:val="32"/>
          <w:szCs w:val="32"/>
          <w:highlight w:val="none"/>
          <w:lang w:eastAsia="zh-CN"/>
          <w14:textFill>
            <w14:solidFill>
              <w14:schemeClr w14:val="tx1"/>
            </w14:solidFill>
          </w14:textFill>
        </w:rPr>
        <w:t>，四是年终支付了历年项目欠款。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6" w:name="_Toc13833"/>
      <w:bookmarkStart w:id="17" w:name="_Toc20360"/>
      <w:r>
        <w:rPr>
          <w:rFonts w:hint="eastAsia" w:ascii="黑体" w:hAnsi="黑体" w:eastAsia="黑体" w:cs="宋体"/>
          <w:bCs/>
          <w:color w:val="000000" w:themeColor="text1"/>
          <w:kern w:val="0"/>
          <w:sz w:val="32"/>
          <w:szCs w:val="32"/>
          <w:highlight w:val="none"/>
          <w:lang w:eastAsia="zh-CN"/>
          <w14:textFill>
            <w14:solidFill>
              <w14:schemeClr w14:val="tx1"/>
            </w14:solidFill>
          </w14:textFill>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000000" w:themeColor="text1"/>
          <w:spacing w:val="0"/>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2023年度一般公共预算财政拨款支出319.72万元，占本年支出合计的</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100.00%</w:t>
      </w:r>
      <w:r>
        <w:rPr>
          <w:rFonts w:hint="eastAsia" w:ascii="仿宋_GB2312" w:eastAsia="仿宋_GB2312"/>
          <w:color w:val="000000" w:themeColor="text1"/>
          <w:spacing w:val="0"/>
          <w:sz w:val="32"/>
          <w:szCs w:val="32"/>
          <w:highlight w:val="none"/>
          <w:lang w:eastAsia="zh-CN"/>
          <w14:textFill>
            <w14:solidFill>
              <w14:schemeClr w14:val="tx1"/>
            </w14:solidFill>
          </w14:textFill>
        </w:rPr>
        <w:t>。与上年相比，</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增加56.91万元</w:t>
      </w:r>
      <w:r>
        <w:rPr>
          <w:rFonts w:hint="eastAsia" w:ascii="仿宋_GB2312" w:eastAsia="仿宋_GB2312"/>
          <w:color w:val="000000" w:themeColor="text1"/>
          <w:spacing w:val="0"/>
          <w:sz w:val="32"/>
          <w:szCs w:val="32"/>
          <w:highlight w:val="none"/>
          <w:lang w:eastAsia="zh-CN"/>
          <w14:textFill>
            <w14:solidFill>
              <w14:schemeClr w14:val="tx1"/>
            </w14:solidFill>
          </w14:textFill>
        </w:rPr>
        <w:t>，</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增长21.65%,</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一是基础绩效奖增资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二是艰苦边远地区津贴增资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三是人员晋升</w:t>
      </w:r>
      <w:r>
        <w:rPr>
          <w:rFonts w:hint="eastAsia" w:ascii="仿宋_GB2312" w:eastAsia="仿宋_GB2312"/>
          <w:color w:val="000000" w:themeColor="text1"/>
          <w:spacing w:val="0"/>
          <w:sz w:val="32"/>
          <w:szCs w:val="32"/>
          <w:highlight w:val="none"/>
          <w:lang w:eastAsia="zh-CN"/>
          <w14:textFill>
            <w14:solidFill>
              <w14:schemeClr w14:val="tx1"/>
            </w14:solidFill>
          </w14:textFill>
        </w:rPr>
        <w:t>。与年初预算相比，年初预算数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253.84</w:t>
      </w:r>
      <w:r>
        <w:rPr>
          <w:rFonts w:hint="eastAsia" w:ascii="仿宋_GB2312" w:eastAsia="仿宋_GB2312"/>
          <w:color w:val="000000" w:themeColor="text1"/>
          <w:spacing w:val="0"/>
          <w:sz w:val="32"/>
          <w:szCs w:val="32"/>
          <w:highlight w:val="none"/>
          <w:lang w:eastAsia="zh-CN"/>
          <w14:textFill>
            <w14:solidFill>
              <w14:schemeClr w14:val="tx1"/>
            </w14:solidFill>
          </w14:textFill>
        </w:rPr>
        <w:t>万元，决算数</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319.72</w:t>
      </w:r>
      <w:r>
        <w:rPr>
          <w:rFonts w:hint="eastAsia" w:ascii="仿宋_GB2312" w:eastAsia="仿宋_GB2312"/>
          <w:color w:val="000000" w:themeColor="text1"/>
          <w:spacing w:val="0"/>
          <w:sz w:val="32"/>
          <w:szCs w:val="32"/>
          <w:highlight w:val="none"/>
          <w:lang w:eastAsia="zh-CN"/>
          <w14:textFill>
            <w14:solidFill>
              <w14:schemeClr w14:val="tx1"/>
            </w14:solidFill>
          </w14:textFill>
        </w:rPr>
        <w:t>万元，预决算差异率</w:t>
      </w:r>
      <w:r>
        <w:rPr>
          <w:rFonts w:hint="eastAsia" w:ascii="仿宋_GB2312" w:eastAsia="仿宋_GB2312"/>
          <w:color w:val="000000" w:themeColor="text1"/>
          <w:spacing w:val="0"/>
          <w:sz w:val="32"/>
          <w:szCs w:val="32"/>
          <w:highlight w:val="none"/>
          <w:lang w:val="zh-CN" w:eastAsia="zh-CN"/>
          <w14:textFill>
            <w14:solidFill>
              <w14:schemeClr w14:val="tx1"/>
            </w14:solidFill>
          </w14:textFill>
        </w:rPr>
        <w:t>25.95%</w:t>
      </w:r>
      <w:r>
        <w:rPr>
          <w:rFonts w:hint="eastAsia" w:ascii="仿宋_GB2312" w:eastAsia="仿宋_GB2312"/>
          <w:color w:val="000000" w:themeColor="text1"/>
          <w:spacing w:val="0"/>
          <w:sz w:val="32"/>
          <w:szCs w:val="32"/>
          <w:highlight w:val="none"/>
          <w:lang w:eastAsia="zh-CN"/>
          <w14:textFill>
            <w14:solidFill>
              <w14:schemeClr w14:val="tx1"/>
            </w14:solidFill>
          </w14:textFill>
        </w:rPr>
        <w:t>，主要原因是：</w:t>
      </w:r>
      <w:r>
        <w:rPr>
          <w:rFonts w:hint="eastAsia" w:ascii="仿宋_GB2312" w:eastAsia="仿宋_GB2312"/>
          <w:color w:val="000000" w:themeColor="text1"/>
          <w:sz w:val="32"/>
          <w:szCs w:val="32"/>
          <w14:textFill>
            <w14:solidFill>
              <w14:schemeClr w14:val="tx1"/>
            </w14:solidFill>
          </w14:textFill>
        </w:rPr>
        <w:t>一是基础绩效奖增资。二是艰苦边远地区津贴增资。三是人员晋升</w:t>
      </w:r>
      <w:r>
        <w:rPr>
          <w:rFonts w:hint="eastAsia" w:ascii="仿宋_GB2312" w:eastAsia="仿宋_GB2312"/>
          <w:color w:val="000000" w:themeColor="text1"/>
          <w:spacing w:val="0"/>
          <w:sz w:val="32"/>
          <w:szCs w:val="32"/>
          <w:highlight w:val="none"/>
          <w:lang w:eastAsia="zh-CN"/>
          <w14:textFill>
            <w14:solidFill>
              <w14:schemeClr w14:val="tx1"/>
            </w14:solidFill>
          </w14:textFill>
        </w:rPr>
        <w:t>。四是年终支付了历年项目欠款。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一般公共预算</w:t>
      </w:r>
      <w:r>
        <w:rPr>
          <w:rFonts w:hint="eastAsia" w:ascii="黑体" w:hAnsi="黑体" w:eastAsia="黑体"/>
          <w:color w:val="000000" w:themeColor="text1"/>
          <w:sz w:val="32"/>
          <w:szCs w:val="32"/>
          <w:highlight w:val="none"/>
          <w:lang w:val="en-US" w:eastAsia="zh-CN"/>
          <w14:textFill>
            <w14:solidFill>
              <w14:schemeClr w14:val="tx1"/>
            </w14:solidFill>
          </w14:textFill>
        </w:rPr>
        <w:t>财政拨款支出决算</w:t>
      </w:r>
      <w:r>
        <w:rPr>
          <w:rFonts w:hint="eastAsia" w:ascii="黑体" w:hAnsi="黑体" w:eastAsia="黑体"/>
          <w:color w:val="000000" w:themeColor="text1"/>
          <w:sz w:val="32"/>
          <w:szCs w:val="32"/>
          <w:highlight w:val="none"/>
          <w:lang w:eastAsia="zh-CN"/>
          <w14:textFill>
            <w14:solidFill>
              <w14:schemeClr w14:val="tx1"/>
            </w14:solidFill>
          </w14:textFill>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1</w:t>
      </w:r>
      <w:r>
        <w:rPr>
          <w:rFonts w:hint="default"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科学技术支出（类）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1.50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0.47%</w:t>
      </w:r>
      <w:r>
        <w:rPr>
          <w:rFonts w:hint="default" w:ascii="仿宋_GB2312" w:hAnsi="Times New Roman" w:eastAsia="仿宋_GB2312" w:cs="Times New Roman"/>
          <w:color w:val="000000" w:themeColor="text1"/>
          <w:spacing w:val="0"/>
          <w:kern w:val="2"/>
          <w:sz w:val="32"/>
          <w:szCs w:val="32"/>
          <w:highlight w:val="none"/>
          <w:lang w:val="en-US"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2</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.社会保障和就业支出（类）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28.44</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8.90%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3</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.卫生健康支出（类）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10.35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3.24%</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spacing w:val="0"/>
          <w:kern w:val="2"/>
          <w:sz w:val="32"/>
          <w:szCs w:val="32"/>
          <w:highlight w:val="none"/>
          <w:lang w:val="en-US" w:eastAsia="zh-CN" w:bidi="ar-SA"/>
          <w14:textFill>
            <w14:solidFill>
              <w14:schemeClr w14:val="tx1"/>
            </w14:solidFill>
          </w14:textFill>
        </w:rPr>
        <w:t>4</w:t>
      </w:r>
      <w:r>
        <w:rPr>
          <w:rFonts w:hint="eastAsia" w:ascii="仿宋_GB2312" w:hAnsi="仿宋_GB2312" w:eastAsia="仿宋_GB2312" w:cs="仿宋_GB2312"/>
          <w:color w:val="000000" w:themeColor="text1"/>
          <w:spacing w:val="0"/>
          <w:kern w:val="2"/>
          <w:sz w:val="32"/>
          <w:szCs w:val="32"/>
          <w:highlight w:val="none"/>
          <w:lang w:val="zh-CN" w:eastAsia="zh-CN" w:bidi="ar-SA"/>
          <w14:textFill>
            <w14:solidFill>
              <w14:schemeClr w14:val="tx1"/>
            </w14:solidFill>
          </w14:textFill>
        </w:rPr>
        <w:t>.农林水支出（类）255.26万元，占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79.84%</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5</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.住房保障支出（类）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19.17</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6.00%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pPr>
      <w:r>
        <w:rPr>
          <w:rFonts w:hint="eastAsia" w:ascii="仿宋_GB2312" w:eastAsia="仿宋_GB2312" w:cs="Times New Roman"/>
          <w:color w:val="000000" w:themeColor="text1"/>
          <w:spacing w:val="0"/>
          <w:kern w:val="2"/>
          <w:sz w:val="32"/>
          <w:szCs w:val="32"/>
          <w:highlight w:val="none"/>
          <w:lang w:val="en-US" w:eastAsia="zh-CN" w:bidi="ar-SA"/>
          <w14:textFill>
            <w14:solidFill>
              <w14:schemeClr w14:val="tx1"/>
            </w14:solidFill>
          </w14:textFill>
        </w:rPr>
        <w:t>6</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.其他支出（类）</w:t>
      </w:r>
      <w:r>
        <w:rPr>
          <w:rFonts w:hint="eastAsia"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5.00</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万元，占</w:t>
      </w:r>
      <w:r>
        <w:rPr>
          <w:rFonts w:hint="eastAsia" w:ascii="仿宋_GB2312" w:eastAsia="仿宋_GB2312" w:cs="Times New Roman"/>
          <w:color w:val="000000" w:themeColor="text1"/>
          <w:spacing w:val="0"/>
          <w:kern w:val="2"/>
          <w:sz w:val="32"/>
          <w:szCs w:val="32"/>
          <w:highlight w:val="none"/>
          <w:lang w:val="zh-CN" w:eastAsia="zh-CN" w:bidi="ar-SA"/>
          <w14:textFill>
            <w14:solidFill>
              <w14:schemeClr w14:val="tx1"/>
            </w14:solidFill>
          </w14:textFill>
        </w:rPr>
        <w:t>1.56%</w:t>
      </w:r>
      <w:r>
        <w:rPr>
          <w:rFonts w:hint="default" w:ascii="仿宋_GB2312" w:hAnsi="Times New Roman" w:eastAsia="仿宋_GB2312" w:cs="Times New Roman"/>
          <w:color w:val="000000" w:themeColor="text1"/>
          <w:spacing w:val="0"/>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lang w:eastAsia="zh-CN"/>
          <w14:textFill>
            <w14:solidFill>
              <w14:schemeClr w14:val="tx1"/>
            </w14:solidFill>
          </w14:textFill>
        </w:rPr>
      </w:pPr>
      <w:r>
        <w:rPr>
          <w:rFonts w:hint="eastAsia" w:ascii="黑体" w:hAnsi="黑体" w:eastAsia="黑体"/>
          <w:color w:val="000000" w:themeColor="text1"/>
          <w:sz w:val="32"/>
          <w:szCs w:val="32"/>
          <w:highlight w:val="none"/>
          <w:lang w:eastAsia="zh-CN"/>
          <w14:textFill>
            <w14:solidFill>
              <w14:schemeClr w14:val="tx1"/>
            </w14:solidFill>
          </w14:textFill>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1.卫生健康支出（类）行政事业单位医疗（款）事业单位医疗（项）:支出决算数为10.35万元，比上年决算减少1.94万元，下降15.79%，主要原因是：因医保部门要求2023年退休人员暂未缴纳医保金，</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所以较</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2022年相比决算数减少。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2.农林水支出（类）农业农村（款）事业运行（项）:支出决算数为220.26万元，比上年决算增加11.69万元，增长5.60%，主要原因是：</w:t>
      </w:r>
      <w:r>
        <w:rPr>
          <w:rFonts w:hint="eastAsia" w:ascii="仿宋_GB2312" w:eastAsia="仿宋_GB2312"/>
          <w:color w:val="000000" w:themeColor="text1"/>
          <w:sz w:val="32"/>
          <w:szCs w:val="32"/>
          <w14:textFill>
            <w14:solidFill>
              <w14:schemeClr w14:val="tx1"/>
            </w14:solidFill>
          </w14:textFill>
        </w:rPr>
        <w:t>一是基础绩效奖增资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二是艰苦边远地区津贴增资</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三是人员晋升</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3.住房保障支出（类）住房改革支出（款）住房公积金（项）:支出决算数为19.17万元，比上年决算增加1.53万元，增长8.67%，主要原因是：</w:t>
      </w:r>
      <w:r>
        <w:rPr>
          <w:rFonts w:hint="eastAsia" w:ascii="仿宋_GB2312" w:eastAsia="仿宋_GB2312"/>
          <w:color w:val="auto"/>
          <w:sz w:val="32"/>
          <w:szCs w:val="32"/>
          <w:lang w:eastAsia="zh-CN"/>
        </w:rPr>
        <w:t>工资增资缴费基数增大使</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住房公积金缴费增加。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4.农林水支出（类）农业农村（款）病虫害控制（项）:支出决算数为35.00万元，比上年决算增加35.00万元，增长100%，主要原因是：较上年</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本年支付了</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2020年自治区畜牧业高质量发展资金28万；动物防疫补助7万</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5.社会保障和就业支出（类）行政事业单位养老支出（款）事业单位离退休（项）:支出决算数为4.12万元，比上年决算增加1.84万元，增长80.70%，主要原因是：本年度补发了在职转退休人员绩效工资</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6.其他支出（类）其他支出（款）其他支出（项）:支出决算数为5.00万元，比上年决算增加2.77万元，增长124.22%，主要原因是：本年度支付了2022年为民办实事工作经费。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7.科学技术支出（类）技术研究与开发（款）科技成果转化与扩散（项）:支出决算数为1.50万元，比上年决算增加1.50万元，增长100%，主要原因是：此项目为本年度新增项目，上年度未实施此类项。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8.社会保障和就业支出（类）行政事业单位养老支出（款）机关事业单位基本养老保险缴费支出（项）:支出决算数为24.32万元，比上年决算增加4.52万元，增长22.83%，主要原因是：</w:t>
      </w:r>
      <w:r>
        <w:rPr>
          <w:rFonts w:hint="eastAsia" w:ascii="仿宋_GB2312" w:hAnsi="仿宋_GB2312" w:eastAsia="仿宋_GB2312" w:cs="仿宋_GB2312"/>
          <w:color w:val="000000" w:themeColor="text1"/>
          <w:kern w:val="2"/>
          <w:sz w:val="32"/>
          <w:szCs w:val="32"/>
          <w:highlight w:val="none"/>
          <w:lang w:val="zh-CN" w:eastAsia="zh-CN" w:bidi="ar-SA"/>
          <w14:textFill>
            <w14:solidFill>
              <w14:schemeClr w14:val="tx1"/>
            </w14:solidFill>
          </w14:textFill>
        </w:rPr>
        <w:t>工资增资缴费基数增大，基本养老保险缴费支出增加。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pacing w:val="0"/>
          <w:sz w:val="32"/>
          <w:szCs w:val="32"/>
          <w:highlight w:val="none"/>
          <w:lang w:eastAsia="zh-CN"/>
          <w14:textFill>
            <w14:solidFill>
              <w14:schemeClr w14:val="tx1"/>
            </w14:solidFill>
          </w14:textFill>
        </w:rPr>
        <w:t>2023年度</w:t>
      </w:r>
      <w:r>
        <w:rPr>
          <w:rFonts w:hint="eastAsia" w:ascii="仿宋_GB2312" w:eastAsia="仿宋_GB2312"/>
          <w:color w:val="000000" w:themeColor="text1"/>
          <w:sz w:val="32"/>
          <w:szCs w:val="32"/>
          <w:highlight w:val="none"/>
          <w14:textFill>
            <w14:solidFill>
              <w14:schemeClr w14:val="tx1"/>
            </w14:solidFill>
          </w14:textFill>
        </w:rPr>
        <w:t>一般公共预算财政拨款基本支出</w:t>
      </w:r>
      <w:r>
        <w:rPr>
          <w:rFonts w:hint="eastAsia" w:ascii="仿宋_GB2312" w:eastAsia="仿宋_GB2312"/>
          <w:color w:val="000000" w:themeColor="text1"/>
          <w:sz w:val="32"/>
          <w:szCs w:val="32"/>
          <w:highlight w:val="none"/>
          <w:lang w:eastAsia="zh-CN"/>
          <w14:textFill>
            <w14:solidFill>
              <w14:schemeClr w14:val="tx1"/>
            </w14:solidFill>
          </w14:textFill>
        </w:rPr>
        <w:t>278.22</w:t>
      </w:r>
      <w:r>
        <w:rPr>
          <w:rFonts w:hint="eastAsia" w:ascii="仿宋_GB2312" w:eastAsia="仿宋_GB2312"/>
          <w:color w:val="000000" w:themeColor="text1"/>
          <w:sz w:val="32"/>
          <w:szCs w:val="32"/>
          <w:highlight w:val="none"/>
          <w14:textFill>
            <w14:solidFill>
              <w14:schemeClr w14:val="tx1"/>
            </w14:solidFill>
          </w14:textFill>
        </w:rPr>
        <w:t>万元，其中：人员经费</w:t>
      </w:r>
      <w:r>
        <w:rPr>
          <w:rFonts w:hint="eastAsia" w:ascii="仿宋_GB2312" w:eastAsia="仿宋_GB2312"/>
          <w:color w:val="000000" w:themeColor="text1"/>
          <w:sz w:val="32"/>
          <w:szCs w:val="32"/>
          <w:highlight w:val="none"/>
          <w:lang w:eastAsia="zh-CN"/>
          <w14:textFill>
            <w14:solidFill>
              <w14:schemeClr w14:val="tx1"/>
            </w14:solidFill>
          </w14:textFill>
        </w:rPr>
        <w:t>267.13</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基本工资、津贴补贴、奖金、绩效工资、机关事业单位基本养老保险缴费、职工基本医疗保险缴费、其他社会保障缴费、住房公积金、其他工资福利支出、退休费、其他对个人和家庭的补助。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公用经费</w:t>
      </w:r>
      <w:r>
        <w:rPr>
          <w:rFonts w:hint="eastAsia" w:ascii="仿宋_GB2312" w:eastAsia="仿宋_GB2312"/>
          <w:color w:val="000000" w:themeColor="text1"/>
          <w:sz w:val="32"/>
          <w:szCs w:val="32"/>
          <w:highlight w:val="none"/>
          <w:lang w:eastAsia="zh-CN"/>
          <w14:textFill>
            <w14:solidFill>
              <w14:schemeClr w14:val="tx1"/>
            </w14:solidFill>
          </w14:textFill>
        </w:rPr>
        <w:t>11.09</w:t>
      </w:r>
      <w:r>
        <w:rPr>
          <w:rFonts w:hint="eastAsia" w:ascii="仿宋_GB2312" w:eastAsia="仿宋_GB2312"/>
          <w:color w:val="000000" w:themeColor="text1"/>
          <w:sz w:val="32"/>
          <w:szCs w:val="32"/>
          <w:highlight w:val="none"/>
          <w14:textFill>
            <w14:solidFill>
              <w14:schemeClr w14:val="tx1"/>
            </w14:solidFill>
          </w14:textFill>
        </w:rPr>
        <w:t>万元，包括：</w:t>
      </w:r>
      <w:r>
        <w:rPr>
          <w:rFonts w:hint="eastAsia" w:ascii="仿宋_GB2312" w:eastAsia="仿宋_GB2312"/>
          <w:color w:val="000000" w:themeColor="text1"/>
          <w:sz w:val="32"/>
          <w:szCs w:val="32"/>
          <w:highlight w:val="none"/>
          <w:lang w:val="en-US" w:eastAsia="zh-CN"/>
          <w14:textFill>
            <w14:solidFill>
              <w14:schemeClr w14:val="tx1"/>
            </w14:solidFill>
          </w14:textFill>
        </w:rPr>
        <w:t>办公费、电费、邮电费、物业管理费、差旅费、工会经费、公务用车运行维护费。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七、</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财政拨款</w:t>
      </w:r>
      <w:r>
        <w:rPr>
          <w:rFonts w:hint="eastAsia" w:ascii="黑体" w:hAnsi="黑体" w:eastAsia="黑体" w:cs="宋体"/>
          <w:bCs/>
          <w:color w:val="000000" w:themeColor="text1"/>
          <w:kern w:val="0"/>
          <w:sz w:val="32"/>
          <w:szCs w:val="32"/>
          <w:highlight w:val="none"/>
          <w14:textFill>
            <w14:solidFill>
              <w14:schemeClr w14:val="tx1"/>
            </w14:solidFill>
          </w14:textFill>
        </w:rPr>
        <w:t>“三公”经费支出</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决算</w:t>
      </w:r>
      <w:r>
        <w:rPr>
          <w:rFonts w:hint="eastAsia" w:ascii="黑体" w:hAnsi="黑体" w:eastAsia="黑体" w:cs="宋体"/>
          <w:bCs/>
          <w:color w:val="000000" w:themeColor="text1"/>
          <w:kern w:val="0"/>
          <w:sz w:val="32"/>
          <w:szCs w:val="32"/>
          <w:highlight w:val="none"/>
          <w14:textFill>
            <w14:solidFill>
              <w14:schemeClr w14:val="tx1"/>
            </w14:solidFill>
          </w14:textFill>
        </w:rPr>
        <w:t>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2023年度</w:t>
      </w:r>
      <w:r>
        <w:rPr>
          <w:rFonts w:hint="eastAsia" w:ascii="仿宋_GB2312" w:eastAsia="仿宋_GB2312"/>
          <w:color w:val="000000" w:themeColor="text1"/>
          <w:sz w:val="32"/>
          <w:szCs w:val="32"/>
          <w:highlight w:val="none"/>
          <w:lang w:val="en-US" w:eastAsia="zh-CN"/>
          <w14:textFill>
            <w14:solidFill>
              <w14:schemeClr w14:val="tx1"/>
            </w14:solidFill>
          </w14:textFill>
        </w:rPr>
        <w:t>财政拨款</w:t>
      </w:r>
      <w:r>
        <w:rPr>
          <w:rFonts w:hint="eastAsia" w:ascii="仿宋_GB2312" w:eastAsia="仿宋_GB2312"/>
          <w:color w:val="000000" w:themeColor="text1"/>
          <w:sz w:val="32"/>
          <w:szCs w:val="32"/>
          <w:highlight w:val="none"/>
          <w:lang w:val="zh-CN" w:eastAsia="zh-CN"/>
          <w14:textFill>
            <w14:solidFill>
              <w14:schemeClr w14:val="tx1"/>
            </w14:solidFill>
          </w14:textFill>
        </w:rPr>
        <w:t>“三公”经费支出2.42万元，</w:t>
      </w:r>
      <w:r>
        <w:rPr>
          <w:rFonts w:hint="eastAsia" w:ascii="仿宋_GB2312" w:eastAsia="仿宋_GB2312"/>
          <w:color w:val="000000" w:themeColor="text1"/>
          <w:sz w:val="32"/>
          <w:szCs w:val="32"/>
          <w:highlight w:val="none"/>
          <w:lang w:val="en-US" w:eastAsia="zh-CN"/>
          <w14:textFill>
            <w14:solidFill>
              <w14:schemeClr w14:val="tx1"/>
            </w14:solidFill>
          </w14:textFill>
        </w:rPr>
        <w:t>比上年</w:t>
      </w:r>
      <w:r>
        <w:rPr>
          <w:rFonts w:hint="eastAsia" w:ascii="仿宋_GB2312" w:eastAsia="仿宋_GB2312"/>
          <w:color w:val="000000" w:themeColor="text1"/>
          <w:sz w:val="32"/>
          <w:szCs w:val="32"/>
          <w:highlight w:val="none"/>
          <w:lang w:val="zh-CN" w:eastAsia="zh-CN"/>
          <w14:textFill>
            <w14:solidFill>
              <w14:schemeClr w14:val="tx1"/>
            </w14:solidFill>
          </w14:textFill>
        </w:rPr>
        <w:t>增加0.44万元，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增长22.22%,</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主要原因是：一是本年度车辆加油款增加。二是本年度支付了上年度车辆维修款。其中：因公出国（境）费支出0.00万元，占0.00%，比上年增加0.00万元，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增长0.00%,</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主要原因是：无因公出国（境）费用；公务用车购置及运行维护费支出2.42万元，占100.00%，比上年增加0.44万元，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增长22.22%,</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主要原因是：一是本年度车辆加油款增加。二是本年度支付了上年度车辆维修款；公务接待费支出0.00万元，占0.00%，比上年增加0.00万元，</w:t>
      </w:r>
      <w:r>
        <w:rPr>
          <w:rFonts w:hint="eastAsia" w:ascii="仿宋_GB2312" w:eastAsia="仿宋_GB2312"/>
          <w:color w:val="000000" w:themeColor="text1"/>
          <w:spacing w:val="0"/>
          <w:sz w:val="32"/>
          <w:szCs w:val="32"/>
          <w:highlight w:val="none"/>
          <w:lang w:val="en-US" w:eastAsia="zh-CN"/>
          <w14:textFill>
            <w14:solidFill>
              <w14:schemeClr w14:val="tx1"/>
            </w14:solidFill>
          </w14:textFill>
        </w:rPr>
        <w:t>增长0.00%,</w:t>
      </w:r>
      <w:r>
        <w:rPr>
          <w:rFonts w:hint="eastAsia" w:ascii="仿宋_GB2312" w:eastAsia="仿宋_GB2312"/>
          <w:color w:val="000000" w:themeColor="text1"/>
          <w:sz w:val="32"/>
          <w:szCs w:val="32"/>
          <w:highlight w:val="none"/>
          <w:lang w:val="zh-CN" w:eastAsia="zh-CN"/>
          <w14:textFill>
            <w14:solidFill>
              <w14:schemeClr w14:val="tx1"/>
            </w14:solidFill>
          </w14:textFill>
        </w:rPr>
        <w:t>主要原因是：无公务接待费支出。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因公出国（境）费支出0.00万元，开支内容包括无因公出国费支出。单位全年安排的因公出国（境）团组0个，因公出国（境）0人次。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用车购置及运行维护费2.42万元，其中：公务用车购置费0.00万元，公务用车运行维护费2.42万元。公务用车运行维护费开支内容包括一是本年度车辆加油款增加。二是本年度支付了上年度车辆维修款。公务用车购置数0辆，公务用车保有量2辆。国有资产占用情况</w:t>
      </w:r>
      <w:r>
        <w:rPr>
          <w:rFonts w:hint="eastAsia" w:ascii="仿宋_GB2312" w:eastAsia="仿宋_GB2312"/>
          <w:color w:val="000000" w:themeColor="text1"/>
          <w:sz w:val="32"/>
          <w:szCs w:val="32"/>
          <w:highlight w:val="none"/>
          <w:lang w:val="en-US" w:eastAsia="zh-CN"/>
          <w14:textFill>
            <w14:solidFill>
              <w14:schemeClr w14:val="tx1"/>
            </w14:solidFill>
          </w14:textFill>
        </w:rPr>
        <w:t>中固定资产车辆</w:t>
      </w:r>
      <w:r>
        <w:rPr>
          <w:rFonts w:hint="eastAsia" w:ascii="仿宋_GB2312" w:eastAsia="仿宋_GB2312"/>
          <w:color w:val="000000" w:themeColor="text1"/>
          <w:sz w:val="32"/>
          <w:szCs w:val="32"/>
          <w:highlight w:val="none"/>
          <w:lang w:val="zh-CN" w:eastAsia="zh-CN"/>
          <w14:textFill>
            <w14:solidFill>
              <w14:schemeClr w14:val="tx1"/>
            </w14:solidFill>
          </w14:textFill>
        </w:rPr>
        <w:t>2辆，</w:t>
      </w:r>
      <w:r>
        <w:rPr>
          <w:rFonts w:hint="eastAsia" w:ascii="仿宋_GB2312" w:eastAsia="仿宋_GB2312"/>
          <w:color w:val="000000" w:themeColor="text1"/>
          <w:sz w:val="32"/>
          <w:szCs w:val="32"/>
          <w:highlight w:val="none"/>
          <w:lang w:val="en-US" w:eastAsia="zh-CN"/>
          <w14:textFill>
            <w14:solidFill>
              <w14:schemeClr w14:val="tx1"/>
            </w14:solidFill>
          </w14:textFill>
        </w:rPr>
        <w:t>与</w:t>
      </w:r>
      <w:r>
        <w:rPr>
          <w:rFonts w:hint="eastAsia" w:ascii="仿宋_GB2312" w:eastAsia="仿宋_GB2312"/>
          <w:color w:val="000000" w:themeColor="text1"/>
          <w:sz w:val="32"/>
          <w:szCs w:val="32"/>
          <w:highlight w:val="none"/>
          <w:lang w:val="zh-CN" w:eastAsia="zh-CN"/>
          <w14:textFill>
            <w14:solidFill>
              <w14:schemeClr w14:val="tx1"/>
            </w14:solidFill>
          </w14:textFill>
        </w:rPr>
        <w:t>公务用车</w:t>
      </w:r>
      <w:r>
        <w:rPr>
          <w:rFonts w:hint="eastAsia" w:ascii="仿宋_GB2312" w:eastAsia="仿宋_GB2312"/>
          <w:color w:val="000000" w:themeColor="text1"/>
          <w:sz w:val="32"/>
          <w:szCs w:val="32"/>
          <w:highlight w:val="none"/>
          <w:lang w:val="en-US" w:eastAsia="zh-CN"/>
          <w14:textFill>
            <w14:solidFill>
              <w14:schemeClr w14:val="tx1"/>
            </w14:solidFill>
          </w14:textFill>
        </w:rPr>
        <w:t>保有量差异</w:t>
      </w:r>
      <w:r>
        <w:rPr>
          <w:rFonts w:hint="eastAsia" w:ascii="仿宋_GB2312" w:eastAsia="仿宋_GB2312"/>
          <w:color w:val="000000" w:themeColor="text1"/>
          <w:sz w:val="32"/>
          <w:szCs w:val="32"/>
          <w:highlight w:val="none"/>
          <w:lang w:val="zh-CN" w:eastAsia="zh-CN"/>
          <w14:textFill>
            <w14:solidFill>
              <w14:schemeClr w14:val="tx1"/>
            </w14:solidFill>
          </w14:textFill>
        </w:rPr>
        <w:t>原因是：公务用车保有量</w:t>
      </w:r>
      <w:r>
        <w:rPr>
          <w:rFonts w:hint="eastAsia" w:ascii="仿宋_GB2312" w:eastAsia="仿宋_GB2312"/>
          <w:color w:val="000000" w:themeColor="text1"/>
          <w:sz w:val="32"/>
          <w:szCs w:val="32"/>
          <w:highlight w:val="none"/>
          <w:lang w:val="en-US" w:eastAsia="zh-CN"/>
          <w14:textFill>
            <w14:solidFill>
              <w14:schemeClr w14:val="tx1"/>
            </w14:solidFill>
          </w14:textFill>
        </w:rPr>
        <w:t>2辆同国有资产占用情况中固定资产车辆2辆无差异</w:t>
      </w:r>
      <w:r>
        <w:rPr>
          <w:rFonts w:hint="eastAsia" w:ascii="仿宋_GB2312" w:eastAsia="仿宋_GB2312"/>
          <w:color w:val="000000" w:themeColor="text1"/>
          <w:sz w:val="32"/>
          <w:szCs w:val="32"/>
          <w:highlight w:val="none"/>
          <w:lang w:val="zh-CN" w:eastAsia="zh-CN"/>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公务接待费0.00万元，开支内容包括无公务接待费。单位全年安排的国内公务接待0批次，0人次。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val="zh-CN" w:eastAsia="zh-CN"/>
          <w14:textFill>
            <w14:solidFill>
              <w14:schemeClr w14:val="tx1"/>
            </w14:solidFill>
          </w14:textFill>
        </w:rPr>
      </w:pPr>
      <w:r>
        <w:rPr>
          <w:rFonts w:hint="eastAsia" w:ascii="仿宋_GB2312" w:eastAsia="仿宋_GB2312"/>
          <w:color w:val="000000" w:themeColor="text1"/>
          <w:sz w:val="32"/>
          <w:szCs w:val="32"/>
          <w:highlight w:val="none"/>
          <w:lang w:val="zh-CN" w:eastAsia="zh-CN"/>
          <w14:textFill>
            <w14:solidFill>
              <w14:schemeClr w14:val="tx1"/>
            </w14:solidFill>
          </w14:textFill>
        </w:rPr>
        <w:t>与</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预算相比</w:t>
      </w:r>
      <w:r>
        <w:rPr>
          <w:rFonts w:hint="eastAsia" w:ascii="仿宋_GB2312" w:eastAsia="仿宋_GB2312"/>
          <w:color w:val="000000" w:themeColor="text1"/>
          <w:sz w:val="32"/>
          <w:szCs w:val="32"/>
          <w:highlight w:val="none"/>
          <w:lang w:val="en-US" w:eastAsia="zh-CN"/>
          <w14:textFill>
            <w14:solidFill>
              <w14:schemeClr w14:val="tx1"/>
            </w14:solidFill>
          </w14:textFill>
        </w:rPr>
        <w:t>,</w:t>
      </w:r>
      <w:r>
        <w:rPr>
          <w:rFonts w:hint="eastAsia" w:ascii="仿宋_GB2312" w:eastAsia="仿宋_GB2312"/>
          <w:color w:val="000000" w:themeColor="text1"/>
          <w:sz w:val="32"/>
          <w:szCs w:val="32"/>
          <w:highlight w:val="none"/>
          <w:lang w:val="zh-CN" w:eastAsia="zh-CN"/>
          <w14:textFill>
            <w14:solidFill>
              <w14:schemeClr w14:val="tx1"/>
            </w14:solidFill>
          </w14:textFill>
        </w:rPr>
        <w:t>财政拨款“三公”经费支出</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预算数2.42万元，决算数2.42万元，预决算差异率0.00%，主要原因是：严格执行年初预算，控制三公经费支出。其中：因公出国（境）费</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w:t>
      </w:r>
      <w:r>
        <w:rPr>
          <w:rFonts w:hint="eastAsia" w:ascii="仿宋_GB2312" w:eastAsia="仿宋_GB2312"/>
          <w:color w:val="000000" w:themeColor="text1"/>
          <w:sz w:val="32"/>
          <w:szCs w:val="32"/>
          <w:highlight w:val="none"/>
          <w:lang w:val="zh-CN" w:eastAsia="zh-CN"/>
          <w14:textFill>
            <w14:solidFill>
              <w14:schemeClr w14:val="tx1"/>
            </w14:solidFill>
          </w14:textFill>
        </w:rPr>
        <w:t>0.00万元，决算数0.00万元，预决算差异率0.00%，主要原因是：无因公出国费；公务用车购置费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预算数0.00万元，决算数0.00万元，预决算差异率0.00%，主要原因是：无车辆购置费；公务用车运行费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预算数2.42万元，决算数2.42万元，预决算差异率0.00%，主要原因是：严格执行年初预算，控制三公经费支出；公务接待费</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lang w:val="zh-CN" w:eastAsia="zh-CN"/>
          <w14:textFill>
            <w14:solidFill>
              <w14:schemeClr w14:val="tx1"/>
            </w14:solidFill>
          </w14:textFill>
        </w:rPr>
        <w:t>预算数0.00万元，决算数0.00万元，预决算差异率0.00%，主要原因是：无公务接待费。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18" w:name="_Toc5810"/>
      <w:bookmarkStart w:id="19" w:name="_Toc7927"/>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八</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本年度无政府性基金预算财政拨款收入、支出</w:t>
      </w:r>
      <w:r>
        <w:rPr>
          <w:rFonts w:hint="eastAsia" w:ascii="仿宋_GB2312" w:eastAsia="仿宋_GB2312"/>
          <w:color w:val="000000" w:themeColor="text1"/>
          <w:sz w:val="32"/>
          <w:szCs w:val="32"/>
          <w:highlight w:val="none"/>
          <w:lang w:val="en-US" w:eastAsia="zh-CN"/>
          <w14:textFill>
            <w14:solidFill>
              <w14:schemeClr w14:val="tx1"/>
            </w14:solidFill>
          </w14:textFill>
        </w:rPr>
        <w:t>及结转和结余</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本年度无国有资本经营预算财政拨款收入、支出</w:t>
      </w:r>
      <w:r>
        <w:rPr>
          <w:rFonts w:hint="eastAsia" w:ascii="仿宋_GB2312" w:eastAsia="仿宋_GB2312"/>
          <w:color w:val="000000" w:themeColor="text1"/>
          <w:sz w:val="32"/>
          <w:szCs w:val="32"/>
          <w:highlight w:val="none"/>
          <w:lang w:val="en-US" w:eastAsia="zh-CN"/>
          <w14:textFill>
            <w14:solidFill>
              <w14:schemeClr w14:val="tx1"/>
            </w14:solidFill>
          </w14:textFill>
        </w:rPr>
        <w:t>及结转和结余</w:t>
      </w:r>
      <w:r>
        <w:rPr>
          <w:rFonts w:hint="eastAsia" w:ascii="仿宋_GB2312" w:eastAsia="仿宋_GB2312"/>
          <w:color w:val="000000" w:themeColor="text1"/>
          <w:sz w:val="32"/>
          <w:szCs w:val="32"/>
          <w:highlight w:val="none"/>
          <w:lang w:eastAsia="zh-CN"/>
          <w14:textFill>
            <w14:solidFill>
              <w14:schemeClr w14:val="tx1"/>
            </w14:solidFill>
          </w14:textFill>
        </w:rPr>
        <w:t>，国有资本经营</w:t>
      </w:r>
      <w:r>
        <w:rPr>
          <w:rFonts w:hint="eastAsia" w:ascii="仿宋_GB2312" w:eastAsia="仿宋_GB2312"/>
          <w:color w:val="000000" w:themeColor="text1"/>
          <w:sz w:val="32"/>
          <w:szCs w:val="32"/>
          <w:highlight w:val="none"/>
          <w14:textFill>
            <w14:solidFill>
              <w14:schemeClr w14:val="tx1"/>
            </w14:solidFill>
          </w14:textFill>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0" w:name="_Toc7314"/>
      <w:bookmarkStart w:id="21" w:name="_Toc1235"/>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14:textFill>
            <w14:solidFill>
              <w14:schemeClr w14:val="tx1"/>
            </w14:solidFill>
          </w14:textFill>
        </w:rPr>
        <w:t>、其他重要事项的情况</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00000" w:themeColor="text1"/>
          <w:sz w:val="32"/>
          <w:szCs w:val="32"/>
          <w:highlight w:val="none"/>
          <w14:textFill>
            <w14:solidFill>
              <w14:schemeClr w14:val="tx1"/>
            </w14:solidFill>
          </w14:textFill>
        </w:rPr>
      </w:pPr>
      <w:bookmarkStart w:id="22" w:name="_Toc13105"/>
      <w:bookmarkStart w:id="23" w:name="_Toc14519"/>
      <w:r>
        <w:rPr>
          <w:rFonts w:hint="eastAsia" w:ascii="黑体" w:hAnsi="黑体" w:eastAsia="黑体"/>
          <w:color w:val="000000" w:themeColor="text1"/>
          <w:sz w:val="32"/>
          <w:szCs w:val="32"/>
          <w:highlight w:val="none"/>
          <w:lang w:eastAsia="zh-CN"/>
          <w14:textFill>
            <w14:solidFill>
              <w14:schemeClr w14:val="tx1"/>
            </w14:solidFill>
          </w14:textFill>
        </w:rPr>
        <w:t>（一）</w:t>
      </w:r>
      <w:r>
        <w:rPr>
          <w:rFonts w:hint="eastAsia" w:ascii="黑体" w:hAnsi="黑体" w:eastAsia="黑体"/>
          <w:color w:val="000000" w:themeColor="text1"/>
          <w:sz w:val="32"/>
          <w:szCs w:val="32"/>
          <w:highlight w:val="none"/>
          <w14:textFill>
            <w14:solidFill>
              <w14:schemeClr w14:val="tx1"/>
            </w14:solidFill>
          </w14:textFill>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bookmarkStart w:id="24" w:name="_Toc26704"/>
      <w:bookmarkStart w:id="25" w:name="_Toc227"/>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2023年度</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沙湾市畜牧兽医站（事业单位）公用经费支出11.09万元，</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比上年增加0.52万元，增长4.92%，主要原因是：本年度新增办公面积，物业管理费增加。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pPr>
      <w:r>
        <w:rPr>
          <w:rFonts w:hint="eastAsia" w:ascii="Times New Roman" w:hAnsi="Times New Roman" w:eastAsia="黑体" w:cs="Times New Roman"/>
          <w:color w:val="000000" w:themeColor="text1"/>
          <w:sz w:val="32"/>
          <w:szCs w:val="30"/>
          <w:highlight w:val="none"/>
          <w:lang w:val="zh-CN" w:eastAsia="zh-CN"/>
          <w14:textFill>
            <w14:solidFill>
              <w14:schemeClr w14:val="tx1"/>
            </w14:solidFill>
          </w14:textFill>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15.31万元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其中：政府采购货物支出14.36万元、政府采购工程支出0.00万元、政府采购服务支出0.96万元。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授予中小企业合同金额15.31万元，占政府采购支出总额的100.00%，其中：授予小微企业合同金额15.31万元，占政府采购支出总额的100.00%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pPr>
      <w:bookmarkStart w:id="26" w:name="_Toc8391"/>
      <w:bookmarkStart w:id="27" w:name="_Toc4591"/>
      <w:r>
        <w:rPr>
          <w:rFonts w:hint="eastAsia" w:ascii="仿宋_GB2312" w:hAnsi="仿宋_GB2312" w:eastAsia="仿宋_GB2312" w:cs="仿宋_GB2312"/>
          <w:color w:val="000000" w:themeColor="text1"/>
          <w:sz w:val="32"/>
          <w:szCs w:val="30"/>
          <w:highlight w:val="none"/>
          <w:lang w:val="zh-CN" w:eastAsia="zh-CN"/>
          <w14:textFill>
            <w14:solidFill>
              <w14:schemeClr w14:val="tx1"/>
            </w14:solidFill>
          </w14:textFill>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截至2023</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12月31日</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固定资产原值</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145.02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万元，房</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屋542.62平方米，价值66.26万元。车辆2辆，价值35.42万元，其中：副部（省）级及以上领导用车0辆、主要</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用车0辆、机要通信用车0辆、应急保障用车0辆、执法执勤用车0辆、特种专业技术用车0辆、离退休干部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服务</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用车0辆、其他用车2辆，其他用车主要是：</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业务</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用车；单价100万元（含）以上设备（不含车辆）0</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台（</w:t>
      </w:r>
      <w:r>
        <w:rPr>
          <w:rFonts w:hint="eastAsia" w:ascii="仿宋_GB2312" w:hAnsi="仿宋_GB2312" w:eastAsia="仿宋_GB2312" w:cs="仿宋_GB2312"/>
          <w:color w:val="000000" w:themeColor="text1"/>
          <w:sz w:val="32"/>
          <w:szCs w:val="32"/>
          <w:highlight w:val="none"/>
          <w:lang w:val="zh-CN" w:eastAsia="zh-CN"/>
          <w14:textFill>
            <w14:solidFill>
              <w14:schemeClr w14:val="tx1"/>
            </w14:solidFill>
          </w14:textFill>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bookmarkStart w:id="28" w:name="_Toc435"/>
      <w:bookmarkStart w:id="29" w:name="_Toc11283"/>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一</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根据预算绩效管理要求，我</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hint="eastAsia" w:ascii="仿宋_GB2312" w:eastAsia="仿宋_GB2312"/>
          <w:color w:val="000000" w:themeColor="text1"/>
          <w:sz w:val="32"/>
          <w:szCs w:val="32"/>
          <w:highlight w:val="none"/>
          <w:lang w:eastAsia="zh-CN"/>
          <w14:textFill>
            <w14:solidFill>
              <w14:schemeClr w14:val="tx1"/>
            </w14:solidFill>
          </w14:textFill>
        </w:rPr>
        <w:t>2023年度</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预算绩效管理整体</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个，</w:t>
      </w:r>
      <w:r>
        <w:rPr>
          <w:rFonts w:hint="eastAsia" w:ascii="仿宋_GB2312" w:hAnsi="仿宋_GB2312" w:eastAsia="仿宋_GB2312" w:cs="仿宋_GB2312"/>
          <w:color w:val="auto"/>
          <w:kern w:val="0"/>
          <w:sz w:val="32"/>
          <w:szCs w:val="32"/>
          <w:highlight w:val="none"/>
          <w:lang w:val="en-US" w:eastAsia="zh-CN"/>
        </w:rPr>
        <w:t>全年</w:t>
      </w:r>
      <w:r>
        <w:rPr>
          <w:rFonts w:hint="eastAsia" w:ascii="仿宋_GB2312" w:eastAsia="仿宋_GB2312"/>
          <w:color w:val="auto"/>
          <w:sz w:val="32"/>
          <w:szCs w:val="32"/>
          <w:highlight w:val="none"/>
          <w:lang w:val="en-US" w:eastAsia="zh-CN"/>
        </w:rPr>
        <w:t>预算总额325.72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实际执行总额319.72</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全年预算数47.5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w:t>
      </w:r>
      <w:r>
        <w:rPr>
          <w:rFonts w:hint="eastAsia" w:ascii="仿宋_GB2312" w:eastAsia="仿宋_GB2312"/>
          <w:color w:val="000000" w:themeColor="text1"/>
          <w:sz w:val="32"/>
          <w:szCs w:val="32"/>
          <w:highlight w:val="none"/>
          <w:lang w:eastAsia="zh-CN"/>
          <w14:textFill>
            <w14:solidFill>
              <w14:schemeClr w14:val="tx1"/>
            </w14:solidFill>
          </w14:textFill>
        </w:rPr>
        <w:t>算绩</w:t>
      </w:r>
      <w:bookmarkStart w:id="48" w:name="_GoBack"/>
      <w:bookmarkEnd w:id="48"/>
      <w:r>
        <w:rPr>
          <w:rFonts w:hint="eastAsia" w:ascii="仿宋_GB2312" w:eastAsia="仿宋_GB2312"/>
          <w:color w:val="000000" w:themeColor="text1"/>
          <w:sz w:val="32"/>
          <w:szCs w:val="32"/>
          <w:highlight w:val="none"/>
          <w:lang w:eastAsia="zh-CN"/>
          <w14:textFill>
            <w14:solidFill>
              <w14:schemeClr w14:val="tx1"/>
            </w14:solidFill>
          </w14:textFill>
        </w:rPr>
        <w:t>效管理取得的成效：一是保障动物防疫工作；二是加强畜牧业可持续发展。发现的问题及原因：一是预算编制前根据年度内单位可预见的工作任务，确定了单位年度预算目标，细化了预算指标，但是在实际支付过程中，个别时候未严格按照预算指标执行；二是执行过程中存在问题得不到及时反馈。下一步改进措施：一是加强学习，提高思想认识。组织单位财务人员认真学习《预算法》等相关法规、制度，提高单位领导对全面预算管理的重视程度，增强财务人员的预算意识；二是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在费用报账支付时，按照预算规定的费用项目和用途进行资金使用、审核，列报支付，财务核算杜绝超支现象的发生。</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具体</w:t>
      </w:r>
      <w:r>
        <w:rPr>
          <w:rFonts w:hint="eastAsia" w:ascii="仿宋_GB2312" w:eastAsia="仿宋_GB2312"/>
          <w:color w:val="000000" w:themeColor="text1"/>
          <w:sz w:val="32"/>
          <w:szCs w:val="32"/>
          <w:highlight w:val="none"/>
          <w14:textFill>
            <w14:solidFill>
              <w14:schemeClr w14:val="tx1"/>
            </w14:solidFill>
          </w14:textFill>
        </w:rPr>
        <w:t>项目自评情况附绩效自评表</w:t>
      </w:r>
      <w:r>
        <w:rPr>
          <w:rFonts w:hint="eastAsia" w:ascii="仿宋_GB2312" w:eastAsia="仿宋_GB2312"/>
          <w:color w:val="000000" w:themeColor="text1"/>
          <w:sz w:val="32"/>
          <w:szCs w:val="32"/>
          <w:highlight w:val="none"/>
          <w:lang w:val="en-US" w:eastAsia="zh-CN"/>
          <w14:textFill>
            <w14:solidFill>
              <w14:schemeClr w14:val="tx1"/>
            </w14:solidFill>
          </w14:textFill>
        </w:rPr>
        <w:t>及自评报告</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十</w:t>
      </w:r>
      <w:r>
        <w:rPr>
          <w:rFonts w:hint="eastAsia" w:ascii="黑体" w:hAnsi="黑体" w:eastAsia="黑体" w:cs="宋体"/>
          <w:bCs/>
          <w:color w:val="000000" w:themeColor="text1"/>
          <w:kern w:val="0"/>
          <w:sz w:val="32"/>
          <w:szCs w:val="32"/>
          <w:highlight w:val="none"/>
          <w:lang w:val="en-US" w:eastAsia="zh-CN"/>
          <w14:textFill>
            <w14:solidFill>
              <w14:schemeClr w14:val="tx1"/>
            </w14:solidFill>
          </w14:textFill>
        </w:rPr>
        <w:t>二</w:t>
      </w:r>
      <w:r>
        <w:rPr>
          <w:rFonts w:hint="eastAsia" w:ascii="黑体" w:hAnsi="黑体" w:eastAsia="黑体" w:cs="宋体"/>
          <w:bCs/>
          <w:color w:val="000000" w:themeColor="text1"/>
          <w:kern w:val="0"/>
          <w:sz w:val="32"/>
          <w:szCs w:val="32"/>
          <w:highlight w:val="none"/>
          <w:lang w:eastAsia="zh-CN"/>
          <w14:textFill>
            <w14:solidFill>
              <w14:schemeClr w14:val="tx1"/>
            </w14:solidFill>
          </w14:textFill>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bookmarkStart w:id="30" w:name="_Toc3250"/>
      <w:bookmarkStart w:id="31" w:name="_Toc24143"/>
      <w:r>
        <w:rPr>
          <w:rFonts w:hint="eastAsia" w:ascii="黑体" w:hAnsi="黑体" w:eastAsia="黑体"/>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w:t>
      </w:r>
      <w:r>
        <w:rPr>
          <w:rFonts w:hint="eastAsia" w:ascii="黑体" w:hAnsi="黑体" w:eastAsia="黑体"/>
          <w:color w:val="000000" w:themeColor="text1"/>
          <w:sz w:val="32"/>
          <w:szCs w:val="32"/>
          <w:highlight w:val="none"/>
          <w:lang w:val="en-US" w:eastAsia="zh-CN"/>
          <w14:textFill>
            <w14:solidFill>
              <w14:schemeClr w14:val="tx1"/>
            </w14:solidFill>
          </w14:textFill>
        </w:rPr>
        <w:t>三</w:t>
      </w:r>
      <w:r>
        <w:rPr>
          <w:rFonts w:hint="eastAsia" w:ascii="黑体" w:hAnsi="黑体" w:eastAsia="黑体"/>
          <w:color w:val="000000" w:themeColor="text1"/>
          <w:sz w:val="32"/>
          <w:szCs w:val="32"/>
          <w:highlight w:val="none"/>
          <w14:textFill>
            <w14:solidFill>
              <w14:schemeClr w14:val="tx1"/>
            </w14:solidFill>
          </w14:textFill>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一、</w:t>
      </w:r>
      <w:r>
        <w:rPr>
          <w:rFonts w:hint="eastAsia" w:ascii="仿宋_GB2312" w:eastAsia="仿宋_GB2312"/>
          <w:b/>
          <w:bCs/>
          <w:color w:val="000000" w:themeColor="text1"/>
          <w:sz w:val="32"/>
          <w:szCs w:val="32"/>
          <w:highlight w:val="none"/>
          <w14:textFill>
            <w14:solidFill>
              <w14:schemeClr w14:val="tx1"/>
            </w14:solidFill>
          </w14:textFill>
        </w:rPr>
        <w:t>财政拨款收入：</w:t>
      </w:r>
      <w:r>
        <w:rPr>
          <w:rFonts w:hint="eastAsia" w:ascii="仿宋_GB2312" w:eastAsia="仿宋_GB2312"/>
          <w:color w:val="000000" w:themeColor="text1"/>
          <w:sz w:val="32"/>
          <w:szCs w:val="32"/>
          <w:highlight w:val="none"/>
          <w14:textFill>
            <w14:solidFill>
              <w14:schemeClr w14:val="tx1"/>
            </w14:solidFill>
          </w14:textFill>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二、</w:t>
      </w:r>
      <w:r>
        <w:rPr>
          <w:rFonts w:hint="eastAsia" w:ascii="仿宋_GB2312" w:eastAsia="仿宋_GB2312"/>
          <w:b/>
          <w:bCs/>
          <w:color w:val="000000" w:themeColor="text1"/>
          <w:sz w:val="32"/>
          <w:szCs w:val="32"/>
          <w:highlight w:val="none"/>
          <w14:textFill>
            <w14:solidFill>
              <w14:schemeClr w14:val="tx1"/>
            </w14:solidFill>
          </w14:textFill>
        </w:rPr>
        <w:t>上级补助收入：</w:t>
      </w:r>
      <w:r>
        <w:rPr>
          <w:rFonts w:hint="eastAsia" w:ascii="仿宋_GB2312" w:eastAsia="仿宋_GB2312"/>
          <w:color w:val="000000" w:themeColor="text1"/>
          <w:sz w:val="32"/>
          <w:szCs w:val="32"/>
          <w:highlight w:val="none"/>
          <w14:textFill>
            <w14:solidFill>
              <w14:schemeClr w14:val="tx1"/>
            </w14:solidFill>
          </w14:textFill>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三、</w:t>
      </w:r>
      <w:r>
        <w:rPr>
          <w:rFonts w:hint="eastAsia" w:ascii="仿宋_GB2312" w:eastAsia="仿宋_GB2312"/>
          <w:b/>
          <w:bCs/>
          <w:color w:val="000000" w:themeColor="text1"/>
          <w:sz w:val="32"/>
          <w:szCs w:val="32"/>
          <w:highlight w:val="none"/>
          <w14:textFill>
            <w14:solidFill>
              <w14:schemeClr w14:val="tx1"/>
            </w14:solidFill>
          </w14:textFill>
        </w:rPr>
        <w:t>事业收入：</w:t>
      </w:r>
      <w:r>
        <w:rPr>
          <w:rFonts w:hint="eastAsia" w:ascii="仿宋_GB2312" w:eastAsia="仿宋_GB2312"/>
          <w:color w:val="000000" w:themeColor="text1"/>
          <w:sz w:val="32"/>
          <w:szCs w:val="32"/>
          <w:highlight w:val="none"/>
          <w14:textFill>
            <w14:solidFill>
              <w14:schemeClr w14:val="tx1"/>
            </w14:solidFill>
          </w14:textFill>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四、</w:t>
      </w:r>
      <w:r>
        <w:rPr>
          <w:rFonts w:hint="eastAsia" w:ascii="仿宋_GB2312" w:eastAsia="仿宋_GB2312"/>
          <w:b/>
          <w:bCs/>
          <w:color w:val="000000" w:themeColor="text1"/>
          <w:sz w:val="32"/>
          <w:szCs w:val="32"/>
          <w:highlight w:val="none"/>
          <w14:textFill>
            <w14:solidFill>
              <w14:schemeClr w14:val="tx1"/>
            </w14:solidFill>
          </w14:textFill>
        </w:rPr>
        <w:t>经营收入：</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五、</w:t>
      </w:r>
      <w:r>
        <w:rPr>
          <w:rFonts w:hint="eastAsia" w:ascii="仿宋_GB2312" w:eastAsia="仿宋_GB2312"/>
          <w:b/>
          <w:bCs/>
          <w:color w:val="000000" w:themeColor="text1"/>
          <w:sz w:val="32"/>
          <w:szCs w:val="32"/>
          <w:highlight w:val="none"/>
          <w14:textFill>
            <w14:solidFill>
              <w14:schemeClr w14:val="tx1"/>
            </w14:solidFill>
          </w14:textFill>
        </w:rPr>
        <w:t>附属单位上缴收入：</w:t>
      </w:r>
      <w:r>
        <w:rPr>
          <w:rFonts w:hint="eastAsia" w:ascii="仿宋_GB2312" w:eastAsia="仿宋_GB2312"/>
          <w:color w:val="000000" w:themeColor="text1"/>
          <w:sz w:val="32"/>
          <w:szCs w:val="32"/>
          <w:highlight w:val="none"/>
          <w14:textFill>
            <w14:solidFill>
              <w14:schemeClr w14:val="tx1"/>
            </w14:solidFill>
          </w14:textFill>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六、</w:t>
      </w:r>
      <w:r>
        <w:rPr>
          <w:rFonts w:hint="eastAsia" w:ascii="仿宋_GB2312" w:eastAsia="仿宋_GB2312"/>
          <w:b/>
          <w:bCs/>
          <w:color w:val="000000" w:themeColor="text1"/>
          <w:sz w:val="32"/>
          <w:szCs w:val="32"/>
          <w:highlight w:val="none"/>
          <w14:textFill>
            <w14:solidFill>
              <w14:schemeClr w14:val="tx1"/>
            </w14:solidFill>
          </w14:textFill>
        </w:rPr>
        <w:t>其他收入：</w:t>
      </w:r>
      <w:r>
        <w:rPr>
          <w:rFonts w:hint="eastAsia" w:ascii="仿宋_GB2312" w:eastAsia="仿宋_GB2312"/>
          <w:color w:val="000000" w:themeColor="text1"/>
          <w:sz w:val="32"/>
          <w:szCs w:val="32"/>
          <w:highlight w:val="none"/>
          <w14:textFill>
            <w14:solidFill>
              <w14:schemeClr w14:val="tx1"/>
            </w14:solidFill>
          </w14:textFill>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七、</w:t>
      </w:r>
      <w:r>
        <w:rPr>
          <w:rFonts w:hint="eastAsia" w:ascii="仿宋_GB2312" w:eastAsia="仿宋_GB2312"/>
          <w:b/>
          <w:bCs/>
          <w:color w:val="000000" w:themeColor="text1"/>
          <w:sz w:val="32"/>
          <w:szCs w:val="32"/>
          <w:highlight w:val="none"/>
          <w:lang w:eastAsia="zh-CN"/>
          <w14:textFill>
            <w14:solidFill>
              <w14:schemeClr w14:val="tx1"/>
            </w14:solidFill>
          </w14:textFill>
        </w:rPr>
        <w:t>年初</w:t>
      </w:r>
      <w:r>
        <w:rPr>
          <w:rFonts w:hint="eastAsia" w:ascii="仿宋_GB2312" w:eastAsia="仿宋_GB2312"/>
          <w:b/>
          <w:bCs/>
          <w:color w:val="000000" w:themeColor="text1"/>
          <w:sz w:val="32"/>
          <w:szCs w:val="32"/>
          <w:highlight w:val="none"/>
          <w14:textFill>
            <w14:solidFill>
              <w14:schemeClr w14:val="tx1"/>
            </w14:solidFill>
          </w14:textFill>
        </w:rPr>
        <w:t>结转和结余：</w:t>
      </w:r>
      <w:r>
        <w:rPr>
          <w:rFonts w:hint="eastAsia" w:ascii="仿宋_GB2312" w:eastAsia="仿宋_GB2312"/>
          <w:color w:val="000000" w:themeColor="text1"/>
          <w:sz w:val="32"/>
          <w:szCs w:val="32"/>
          <w:highlight w:val="none"/>
          <w14:textFill>
            <w14:solidFill>
              <w14:schemeClr w14:val="tx1"/>
            </w14:solidFill>
          </w14:textFill>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八、</w:t>
      </w:r>
      <w:r>
        <w:rPr>
          <w:rFonts w:hint="eastAsia" w:ascii="仿宋_GB2312" w:eastAsia="仿宋_GB2312"/>
          <w:b/>
          <w:bCs/>
          <w:color w:val="000000" w:themeColor="text1"/>
          <w:sz w:val="32"/>
          <w:szCs w:val="32"/>
          <w:highlight w:val="none"/>
          <w14:textFill>
            <w14:solidFill>
              <w14:schemeClr w14:val="tx1"/>
            </w14:solidFill>
          </w14:textFill>
        </w:rPr>
        <w:t>年末结转和结余：</w:t>
      </w:r>
      <w:r>
        <w:rPr>
          <w:rFonts w:hint="eastAsia" w:ascii="仿宋_GB2312" w:eastAsia="仿宋_GB2312"/>
          <w:color w:val="000000" w:themeColor="text1"/>
          <w:sz w:val="32"/>
          <w:szCs w:val="32"/>
          <w:highlight w:val="none"/>
          <w14:textFill>
            <w14:solidFill>
              <w14:schemeClr w14:val="tx1"/>
            </w14:solidFill>
          </w14:textFill>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九、</w:t>
      </w:r>
      <w:r>
        <w:rPr>
          <w:rFonts w:hint="eastAsia" w:ascii="仿宋_GB2312" w:eastAsia="仿宋_GB2312"/>
          <w:b/>
          <w:bCs/>
          <w:color w:val="000000" w:themeColor="text1"/>
          <w:sz w:val="32"/>
          <w:szCs w:val="32"/>
          <w:highlight w:val="none"/>
          <w14:textFill>
            <w14:solidFill>
              <w14:schemeClr w14:val="tx1"/>
            </w14:solidFill>
          </w14:textFill>
        </w:rPr>
        <w:t>基本支出：</w:t>
      </w:r>
      <w:r>
        <w:rPr>
          <w:rFonts w:hint="eastAsia" w:ascii="仿宋_GB2312" w:eastAsia="仿宋_GB2312"/>
          <w:color w:val="000000" w:themeColor="text1"/>
          <w:sz w:val="32"/>
          <w:szCs w:val="32"/>
          <w:highlight w:val="none"/>
          <w14:textFill>
            <w14:solidFill>
              <w14:schemeClr w14:val="tx1"/>
            </w14:solidFill>
          </w14:textFill>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w:t>
      </w:r>
      <w:r>
        <w:rPr>
          <w:rFonts w:hint="eastAsia" w:ascii="仿宋_GB2312" w:eastAsia="仿宋_GB2312"/>
          <w:b/>
          <w:bCs/>
          <w:color w:val="000000" w:themeColor="text1"/>
          <w:sz w:val="32"/>
          <w:szCs w:val="32"/>
          <w:highlight w:val="none"/>
          <w14:textFill>
            <w14:solidFill>
              <w14:schemeClr w14:val="tx1"/>
            </w14:solidFill>
          </w14:textFill>
        </w:rPr>
        <w:t>项目支出：</w:t>
      </w:r>
      <w:r>
        <w:rPr>
          <w:rFonts w:hint="eastAsia" w:ascii="仿宋_GB2312" w:eastAsia="仿宋_GB2312"/>
          <w:color w:val="000000" w:themeColor="text1"/>
          <w:sz w:val="32"/>
          <w:szCs w:val="32"/>
          <w:highlight w:val="none"/>
          <w14:textFill>
            <w14:solidFill>
              <w14:schemeClr w14:val="tx1"/>
            </w14:solidFill>
          </w14:textFill>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十一、</w:t>
      </w:r>
      <w:r>
        <w:rPr>
          <w:rFonts w:hint="eastAsia" w:ascii="仿宋_GB2312" w:eastAsia="仿宋_GB2312"/>
          <w:b/>
          <w:bCs/>
          <w:color w:val="000000" w:themeColor="text1"/>
          <w:sz w:val="32"/>
          <w:szCs w:val="32"/>
          <w:highlight w:val="none"/>
          <w14:textFill>
            <w14:solidFill>
              <w14:schemeClr w14:val="tx1"/>
            </w14:solidFill>
          </w14:textFill>
        </w:rPr>
        <w:t>经营支出：</w:t>
      </w:r>
      <w:r>
        <w:rPr>
          <w:rFonts w:hint="eastAsia" w:ascii="仿宋_GB2312" w:eastAsia="仿宋_GB2312"/>
          <w:color w:val="000000" w:themeColor="text1"/>
          <w:sz w:val="32"/>
          <w:szCs w:val="32"/>
          <w:highlight w:val="none"/>
          <w14:textFill>
            <w14:solidFill>
              <w14:schemeClr w14:val="tx1"/>
            </w14:solidFill>
          </w14:textFill>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十二、</w:t>
      </w:r>
      <w:r>
        <w:rPr>
          <w:rFonts w:hint="eastAsia" w:ascii="仿宋_GB2312" w:eastAsia="仿宋_GB2312"/>
          <w:b/>
          <w:bCs/>
          <w:color w:val="000000" w:themeColor="text1"/>
          <w:sz w:val="32"/>
          <w:szCs w:val="32"/>
          <w:highlight w:val="none"/>
          <w14:textFill>
            <w14:solidFill>
              <w14:schemeClr w14:val="tx1"/>
            </w14:solidFill>
          </w14:textFill>
        </w:rPr>
        <w:t>对附属单位补助支出：</w:t>
      </w:r>
      <w:r>
        <w:rPr>
          <w:rFonts w:hint="eastAsia" w:ascii="仿宋_GB2312" w:eastAsia="仿宋_GB2312"/>
          <w:color w:val="000000" w:themeColor="text1"/>
          <w:sz w:val="32"/>
          <w:szCs w:val="32"/>
          <w:highlight w:val="none"/>
          <w14:textFill>
            <w14:solidFill>
              <w14:schemeClr w14:val="tx1"/>
            </w14:solidFill>
          </w14:textFill>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十三、</w:t>
      </w:r>
      <w:r>
        <w:rPr>
          <w:rFonts w:hint="eastAsia" w:ascii="仿宋_GB2312" w:eastAsia="仿宋_GB2312"/>
          <w:b/>
          <w:bCs/>
          <w:color w:val="000000" w:themeColor="text1"/>
          <w:sz w:val="32"/>
          <w:szCs w:val="32"/>
          <w:highlight w:val="none"/>
          <w14:textFill>
            <w14:solidFill>
              <w14:schemeClr w14:val="tx1"/>
            </w14:solidFill>
          </w14:textFill>
        </w:rPr>
        <w:t>“三公”经费：</w:t>
      </w:r>
      <w:r>
        <w:rPr>
          <w:rFonts w:hint="eastAsia" w:ascii="仿宋_GB2312" w:eastAsia="仿宋_GB2312"/>
          <w:color w:val="000000" w:themeColor="text1"/>
          <w:sz w:val="32"/>
          <w:szCs w:val="32"/>
          <w:highlight w:val="none"/>
          <w14:textFill>
            <w14:solidFill>
              <w14:schemeClr w14:val="tx1"/>
            </w14:solidFill>
          </w14:textFill>
        </w:rPr>
        <w:t>指用财政拨款安排的因公出国（境）费、公务用车购置及运行费和公务接待费。其中，因公出国（境）费反映单位公务出国（境）的</w:t>
      </w:r>
      <w:r>
        <w:rPr>
          <w:rFonts w:hint="eastAsia" w:ascii="仿宋_GB2312" w:eastAsia="仿宋_GB2312"/>
          <w:color w:val="000000" w:themeColor="text1"/>
          <w:sz w:val="32"/>
          <w:szCs w:val="32"/>
          <w:highlight w:val="none"/>
          <w:lang w:eastAsia="zh-CN"/>
          <w14:textFill>
            <w14:solidFill>
              <w14:schemeClr w14:val="tx1"/>
            </w14:solidFill>
          </w14:textFill>
        </w:rPr>
        <w:t>国际旅费、国外城市间交通费、</w:t>
      </w:r>
      <w:r>
        <w:rPr>
          <w:rFonts w:hint="eastAsia" w:ascii="仿宋_GB2312" w:eastAsia="仿宋_GB2312"/>
          <w:color w:val="000000" w:themeColor="text1"/>
          <w:sz w:val="32"/>
          <w:szCs w:val="32"/>
          <w:highlight w:val="none"/>
          <w14:textFill>
            <w14:solidFill>
              <w14:schemeClr w14:val="tx1"/>
            </w14:solidFill>
          </w14:textFill>
        </w:rPr>
        <w:t>住宿费、伙食费、培训费、</w:t>
      </w:r>
      <w:r>
        <w:rPr>
          <w:rFonts w:hint="eastAsia" w:ascii="仿宋_GB2312" w:eastAsia="仿宋_GB2312"/>
          <w:color w:val="000000" w:themeColor="text1"/>
          <w:sz w:val="32"/>
          <w:szCs w:val="32"/>
          <w:highlight w:val="none"/>
          <w:lang w:eastAsia="zh-CN"/>
          <w14:textFill>
            <w14:solidFill>
              <w14:schemeClr w14:val="tx1"/>
            </w14:solidFill>
          </w14:textFill>
        </w:rPr>
        <w:t>公</w:t>
      </w:r>
      <w:r>
        <w:rPr>
          <w:rFonts w:hint="eastAsia" w:ascii="仿宋_GB2312" w:eastAsia="仿宋_GB2312"/>
          <w:color w:val="000000" w:themeColor="text1"/>
          <w:sz w:val="32"/>
          <w:szCs w:val="32"/>
          <w:highlight w:val="none"/>
          <w14:textFill>
            <w14:solidFill>
              <w14:schemeClr w14:val="tx1"/>
            </w14:solidFill>
          </w14:textFill>
        </w:rPr>
        <w:t>杂费等支出；公务用车购置费</w:t>
      </w:r>
      <w:r>
        <w:rPr>
          <w:rFonts w:hint="eastAsia" w:ascii="仿宋_GB2312" w:eastAsia="仿宋_GB2312"/>
          <w:color w:val="000000" w:themeColor="text1"/>
          <w:sz w:val="32"/>
          <w:szCs w:val="32"/>
          <w:highlight w:val="none"/>
          <w:lang w:eastAsia="zh-CN"/>
          <w14:textFill>
            <w14:solidFill>
              <w14:schemeClr w14:val="tx1"/>
            </w14:solidFill>
          </w14:textFill>
        </w:rPr>
        <w:t>反映公务用车购置支出（含车辆购置税、牌照费）；</w:t>
      </w:r>
      <w:r>
        <w:rPr>
          <w:rFonts w:hint="eastAsia" w:ascii="仿宋_GB2312" w:eastAsia="仿宋_GB2312"/>
          <w:color w:val="000000" w:themeColor="text1"/>
          <w:sz w:val="32"/>
          <w:szCs w:val="32"/>
          <w:highlight w:val="none"/>
          <w14:textFill>
            <w14:solidFill>
              <w14:schemeClr w14:val="tx1"/>
            </w14:solidFill>
          </w14:textFill>
        </w:rPr>
        <w:t>公务用车运行</w:t>
      </w:r>
      <w:r>
        <w:rPr>
          <w:rFonts w:hint="eastAsia" w:ascii="仿宋_GB2312" w:eastAsia="仿宋_GB2312"/>
          <w:color w:val="000000" w:themeColor="text1"/>
          <w:sz w:val="32"/>
          <w:szCs w:val="32"/>
          <w:highlight w:val="none"/>
          <w:lang w:eastAsia="zh-CN"/>
          <w14:textFill>
            <w14:solidFill>
              <w14:schemeClr w14:val="tx1"/>
            </w14:solidFill>
          </w14:textFill>
        </w:rPr>
        <w:t>维护</w:t>
      </w:r>
      <w:r>
        <w:rPr>
          <w:rFonts w:hint="eastAsia" w:ascii="仿宋_GB2312" w:eastAsia="仿宋_GB2312"/>
          <w:color w:val="000000" w:themeColor="text1"/>
          <w:sz w:val="32"/>
          <w:szCs w:val="32"/>
          <w:highlight w:val="none"/>
          <w14:textFill>
            <w14:solidFill>
              <w14:schemeClr w14:val="tx1"/>
            </w14:solidFill>
          </w14:textFill>
        </w:rPr>
        <w:t>费反映</w:t>
      </w:r>
      <w:r>
        <w:rPr>
          <w:rFonts w:hint="eastAsia" w:ascii="仿宋_GB2312" w:eastAsia="仿宋_GB2312"/>
          <w:color w:val="000000" w:themeColor="text1"/>
          <w:sz w:val="32"/>
          <w:szCs w:val="32"/>
          <w:highlight w:val="none"/>
          <w:lang w:eastAsia="zh-CN"/>
          <w14:textFill>
            <w14:solidFill>
              <w14:schemeClr w14:val="tx1"/>
            </w14:solidFill>
          </w14:textFill>
        </w:rPr>
        <w:t>单位按规定保留的公务用车燃料费、维修费、</w:t>
      </w:r>
      <w:r>
        <w:rPr>
          <w:rFonts w:hint="eastAsia" w:ascii="仿宋_GB2312" w:eastAsia="仿宋_GB2312"/>
          <w:color w:val="000000" w:themeColor="text1"/>
          <w:sz w:val="32"/>
          <w:szCs w:val="32"/>
          <w:highlight w:val="none"/>
          <w14:textFill>
            <w14:solidFill>
              <w14:schemeClr w14:val="tx1"/>
            </w14:solidFill>
          </w14:textFill>
        </w:rPr>
        <w:t>过路过桥费、保险费、安全奖励费用等支出</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公务接待费反映单位按规定开支的各类公务接待（含外宾接待）</w:t>
      </w:r>
      <w:r>
        <w:rPr>
          <w:rFonts w:hint="eastAsia" w:ascii="仿宋_GB2312" w:eastAsia="仿宋_GB2312"/>
          <w:color w:val="000000" w:themeColor="text1"/>
          <w:sz w:val="32"/>
          <w:szCs w:val="32"/>
          <w:highlight w:val="none"/>
          <w:lang w:eastAsia="zh-CN"/>
          <w14:textFill>
            <w14:solidFill>
              <w14:schemeClr w14:val="tx1"/>
            </w14:solidFill>
          </w14:textFill>
        </w:rPr>
        <w:t>费用</w:t>
      </w:r>
      <w:r>
        <w:rPr>
          <w:rFonts w:hint="eastAsia" w:ascii="仿宋_GB2312" w:eastAsia="仿宋_GB2312"/>
          <w:color w:val="000000" w:themeColor="text1"/>
          <w:sz w:val="32"/>
          <w:szCs w:val="32"/>
          <w:highlight w:val="none"/>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十四、</w:t>
      </w:r>
      <w:r>
        <w:rPr>
          <w:rFonts w:hint="eastAsia" w:ascii="仿宋_GB2312" w:eastAsia="仿宋_GB2312"/>
          <w:b/>
          <w:bCs/>
          <w:color w:val="000000" w:themeColor="text1"/>
          <w:sz w:val="32"/>
          <w:szCs w:val="32"/>
          <w:highlight w:val="none"/>
          <w14:textFill>
            <w14:solidFill>
              <w14:schemeClr w14:val="tx1"/>
            </w14:solidFill>
          </w14:textFill>
        </w:rPr>
        <w:t>机关运行经费：</w:t>
      </w:r>
      <w:r>
        <w:rPr>
          <w:rFonts w:hint="eastAsia" w:ascii="仿宋_GB2312" w:eastAsia="仿宋_GB2312"/>
          <w:color w:val="000000" w:themeColor="text1"/>
          <w:sz w:val="32"/>
          <w:szCs w:val="32"/>
          <w:highlight w:val="none"/>
          <w14:textFill>
            <w14:solidFill>
              <w14:schemeClr w14:val="tx1"/>
            </w14:solidFill>
          </w14:textFill>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br w:type="page"/>
      </w:r>
      <w:r>
        <w:rPr>
          <w:rFonts w:hint="eastAsia" w:ascii="黑体" w:hAnsi="黑体" w:eastAsia="黑体"/>
          <w:color w:val="000000" w:themeColor="text1"/>
          <w:sz w:val="32"/>
          <w:szCs w:val="32"/>
          <w:highlight w:val="none"/>
          <w14:textFill>
            <w14:solidFill>
              <w14:schemeClr w14:val="tx1"/>
            </w14:solidFill>
          </w14:textFill>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2" w:name="_Toc6062"/>
      <w:bookmarkStart w:id="33" w:name="_Toc2183"/>
      <w:r>
        <w:rPr>
          <w:rFonts w:hint="eastAsia" w:ascii="黑体" w:hAnsi="黑体" w:eastAsia="仿宋_GB2312" w:cs="宋体"/>
          <w:bCs/>
          <w:color w:val="000000" w:themeColor="text1"/>
          <w:kern w:val="0"/>
          <w:sz w:val="32"/>
          <w:szCs w:val="32"/>
          <w:highlight w:val="none"/>
          <w14:textFill>
            <w14:solidFill>
              <w14:schemeClr w14:val="tx1"/>
            </w14:solidFill>
          </w14:textFill>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4" w:name="_Toc30364"/>
      <w:bookmarkStart w:id="35" w:name="_Toc24532"/>
      <w:r>
        <w:rPr>
          <w:rFonts w:hint="eastAsia" w:ascii="黑体" w:hAnsi="黑体" w:eastAsia="仿宋_GB2312" w:cs="宋体"/>
          <w:bCs/>
          <w:color w:val="000000" w:themeColor="text1"/>
          <w:kern w:val="0"/>
          <w:sz w:val="32"/>
          <w:szCs w:val="32"/>
          <w:highlight w:val="none"/>
          <w14:textFill>
            <w14:solidFill>
              <w14:schemeClr w14:val="tx1"/>
            </w14:solidFill>
          </w14:textFill>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6" w:name="_Toc32434"/>
      <w:bookmarkStart w:id="37" w:name="_Toc21304"/>
      <w:r>
        <w:rPr>
          <w:rFonts w:hint="eastAsia" w:ascii="黑体" w:hAnsi="黑体" w:eastAsia="仿宋_GB2312" w:cs="宋体"/>
          <w:bCs/>
          <w:color w:val="000000" w:themeColor="text1"/>
          <w:kern w:val="0"/>
          <w:sz w:val="32"/>
          <w:szCs w:val="32"/>
          <w:highlight w:val="none"/>
          <w14:textFill>
            <w14:solidFill>
              <w14:schemeClr w14:val="tx1"/>
            </w14:solidFill>
          </w14:textFill>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38" w:name="_Toc14238"/>
      <w:bookmarkStart w:id="39" w:name="_Toc28786"/>
      <w:r>
        <w:rPr>
          <w:rFonts w:hint="eastAsia" w:ascii="黑体" w:hAnsi="黑体" w:eastAsia="仿宋_GB2312" w:cs="宋体"/>
          <w:bCs/>
          <w:color w:val="000000" w:themeColor="text1"/>
          <w:kern w:val="0"/>
          <w:sz w:val="32"/>
          <w:szCs w:val="32"/>
          <w:highlight w:val="none"/>
          <w14:textFill>
            <w14:solidFill>
              <w14:schemeClr w14:val="tx1"/>
            </w14:solidFill>
          </w14:textFill>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0" w:name="_Toc10347"/>
      <w:bookmarkStart w:id="41" w:name="_Toc14869"/>
      <w:r>
        <w:rPr>
          <w:rFonts w:hint="eastAsia" w:ascii="黑体" w:hAnsi="黑体" w:eastAsia="仿宋_GB2312" w:cs="宋体"/>
          <w:bCs/>
          <w:color w:val="000000" w:themeColor="text1"/>
          <w:kern w:val="0"/>
          <w:sz w:val="32"/>
          <w:szCs w:val="32"/>
          <w:highlight w:val="none"/>
          <w14:textFill>
            <w14:solidFill>
              <w14:schemeClr w14:val="tx1"/>
            </w14:solidFill>
          </w14:textFill>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2" w:name="_Toc5626"/>
      <w:bookmarkStart w:id="43" w:name="_Toc8884"/>
      <w:r>
        <w:rPr>
          <w:rFonts w:hint="eastAsia" w:ascii="黑体" w:hAnsi="黑体" w:eastAsia="仿宋_GB2312" w:cs="宋体"/>
          <w:bCs/>
          <w:color w:val="000000" w:themeColor="text1"/>
          <w:kern w:val="0"/>
          <w:sz w:val="32"/>
          <w:szCs w:val="32"/>
          <w:highlight w:val="none"/>
          <w14:textFill>
            <w14:solidFill>
              <w14:schemeClr w14:val="tx1"/>
            </w14:solidFill>
          </w14:textFill>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14:textFill>
            <w14:solidFill>
              <w14:schemeClr w14:val="tx1"/>
            </w14:solidFill>
          </w14:textFill>
        </w:rPr>
        <w:t>七、</w:t>
      </w:r>
      <w:bookmarkStart w:id="44" w:name="_Toc29106"/>
      <w:bookmarkStart w:id="45" w:name="_Toc32663"/>
      <w:r>
        <w:rPr>
          <w:rFonts w:hint="eastAsia" w:ascii="黑体" w:hAnsi="黑体" w:eastAsia="仿宋_GB2312" w:cs="宋体"/>
          <w:bCs/>
          <w:color w:val="000000" w:themeColor="text1"/>
          <w:kern w:val="0"/>
          <w:sz w:val="32"/>
          <w:szCs w:val="32"/>
          <w:highlight w:val="none"/>
          <w14:textFill>
            <w14:solidFill>
              <w14:schemeClr w14:val="tx1"/>
            </w14:solidFill>
          </w14:textFill>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bookmarkStart w:id="46" w:name="_Toc7643"/>
      <w:bookmarkStart w:id="47" w:name="_Toc5453"/>
      <w:r>
        <w:rPr>
          <w:rFonts w:hint="eastAsia" w:ascii="黑体" w:hAnsi="黑体" w:eastAsia="仿宋_GB2312" w:cs="宋体"/>
          <w:bCs/>
          <w:color w:val="000000" w:themeColor="text1"/>
          <w:kern w:val="0"/>
          <w:sz w:val="32"/>
          <w:szCs w:val="32"/>
          <w:highlight w:val="none"/>
          <w14:textFill>
            <w14:solidFill>
              <w14:schemeClr w14:val="tx1"/>
            </w14:solidFill>
          </w14:textFill>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00000" w:themeColor="text1"/>
          <w:kern w:val="0"/>
          <w:sz w:val="32"/>
          <w:szCs w:val="32"/>
          <w:highlight w:val="none"/>
          <w14:textFill>
            <w14:solidFill>
              <w14:schemeClr w14:val="tx1"/>
            </w14:solidFill>
          </w14:textFill>
        </w:rPr>
      </w:pPr>
      <w:r>
        <w:rPr>
          <w:rFonts w:hint="eastAsia" w:ascii="黑体" w:hAnsi="黑体" w:eastAsia="仿宋_GB2312" w:cs="宋体"/>
          <w:bCs/>
          <w:color w:val="000000" w:themeColor="text1"/>
          <w:kern w:val="0"/>
          <w:sz w:val="32"/>
          <w:szCs w:val="32"/>
          <w:highlight w:val="none"/>
          <w:lang w:val="en-US" w:eastAsia="zh-CN"/>
          <w14:textFill>
            <w14:solidFill>
              <w14:schemeClr w14:val="tx1"/>
            </w14:solidFill>
          </w14:textFill>
        </w:rPr>
        <w:t>九</w:t>
      </w:r>
      <w:r>
        <w:rPr>
          <w:rFonts w:hint="eastAsia" w:ascii="黑体" w:hAnsi="黑体" w:eastAsia="仿宋_GB2312" w:cs="宋体"/>
          <w:bCs/>
          <w:color w:val="000000" w:themeColor="text1"/>
          <w:kern w:val="0"/>
          <w:sz w:val="32"/>
          <w:szCs w:val="32"/>
          <w:highlight w:val="none"/>
          <w14:textFill>
            <w14:solidFill>
              <w14:schemeClr w14:val="tx1"/>
            </w14:solidFill>
          </w14:textFill>
        </w:rPr>
        <w:t>、《</w:t>
      </w:r>
      <w:r>
        <w:rPr>
          <w:rFonts w:hint="eastAsia" w:ascii="黑体" w:hAnsi="黑体" w:eastAsia="仿宋_GB2312" w:cs="宋体"/>
          <w:bCs/>
          <w:color w:val="000000" w:themeColor="text1"/>
          <w:kern w:val="0"/>
          <w:sz w:val="32"/>
          <w:szCs w:val="32"/>
          <w:highlight w:val="none"/>
          <w:lang w:eastAsia="zh-CN"/>
          <w14:textFill>
            <w14:solidFill>
              <w14:schemeClr w14:val="tx1"/>
            </w14:solidFill>
          </w14:textFill>
        </w:rPr>
        <w:t>国有资本经营</w:t>
      </w:r>
      <w:r>
        <w:rPr>
          <w:rFonts w:hint="eastAsia" w:ascii="黑体" w:hAnsi="黑体" w:eastAsia="仿宋_GB2312" w:cs="宋体"/>
          <w:bCs/>
          <w:color w:val="000000" w:themeColor="text1"/>
          <w:kern w:val="0"/>
          <w:sz w:val="32"/>
          <w:szCs w:val="32"/>
          <w:highlight w:val="none"/>
          <w14:textFill>
            <w14:solidFill>
              <w14:schemeClr w14:val="tx1"/>
            </w14:solidFill>
          </w14:textFill>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000000" w:themeColor="text1"/>
          <w:sz w:val="32"/>
          <w:szCs w:val="32"/>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00000" w:themeColor="text1"/>
          <w:kern w:val="0"/>
          <w:sz w:val="32"/>
          <w:szCs w:val="32"/>
          <w:highlight w:val="none"/>
          <w:lang w:eastAsia="zh-CN"/>
          <w14:textFill>
            <w14:solidFill>
              <w14:schemeClr w14:val="tx1"/>
            </w14:solidFill>
          </w14:textFill>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D84848"/>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C4202F"/>
    <w:rsid w:val="0CD208AC"/>
    <w:rsid w:val="0D172DAA"/>
    <w:rsid w:val="0D4903E8"/>
    <w:rsid w:val="0D7A4A46"/>
    <w:rsid w:val="0E640559"/>
    <w:rsid w:val="0EC9353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690030"/>
    <w:rsid w:val="158C5B77"/>
    <w:rsid w:val="159C5FAF"/>
    <w:rsid w:val="160D1149"/>
    <w:rsid w:val="163563C0"/>
    <w:rsid w:val="164315EF"/>
    <w:rsid w:val="16557DFE"/>
    <w:rsid w:val="167268FB"/>
    <w:rsid w:val="16770D0A"/>
    <w:rsid w:val="169A0039"/>
    <w:rsid w:val="16D50C50"/>
    <w:rsid w:val="16E120E1"/>
    <w:rsid w:val="17385A05"/>
    <w:rsid w:val="173B3901"/>
    <w:rsid w:val="176747F9"/>
    <w:rsid w:val="178164CC"/>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171A3"/>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444AB3"/>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5546AF"/>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4FF0A3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82885"/>
    <w:rsid w:val="3B6C6B2D"/>
    <w:rsid w:val="3C242659"/>
    <w:rsid w:val="3C96719C"/>
    <w:rsid w:val="3CA72BE8"/>
    <w:rsid w:val="3CDC1E1E"/>
    <w:rsid w:val="3CF37F8C"/>
    <w:rsid w:val="3D137554"/>
    <w:rsid w:val="3D5275AC"/>
    <w:rsid w:val="3DCC2473"/>
    <w:rsid w:val="3DEB0883"/>
    <w:rsid w:val="3E2527BF"/>
    <w:rsid w:val="3E701813"/>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56487E"/>
    <w:rsid w:val="4DF94F37"/>
    <w:rsid w:val="4E0A1DD5"/>
    <w:rsid w:val="4E3160E5"/>
    <w:rsid w:val="4E4D37AF"/>
    <w:rsid w:val="4E8C6496"/>
    <w:rsid w:val="4ED50C51"/>
    <w:rsid w:val="4EFD18DE"/>
    <w:rsid w:val="4F144236"/>
    <w:rsid w:val="4F663C87"/>
    <w:rsid w:val="4F7E29A8"/>
    <w:rsid w:val="4F9E1FFC"/>
    <w:rsid w:val="50447CC2"/>
    <w:rsid w:val="50874A7C"/>
    <w:rsid w:val="50895EE7"/>
    <w:rsid w:val="50921B9D"/>
    <w:rsid w:val="50D16158"/>
    <w:rsid w:val="50DB5F45"/>
    <w:rsid w:val="51025EB1"/>
    <w:rsid w:val="51141503"/>
    <w:rsid w:val="51333E16"/>
    <w:rsid w:val="513C450E"/>
    <w:rsid w:val="518D0ED5"/>
    <w:rsid w:val="51AA215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9BC62D9"/>
    <w:rsid w:val="5A43762D"/>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654742"/>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12D8B"/>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02621D"/>
    <w:rsid w:val="7111480F"/>
    <w:rsid w:val="71261F49"/>
    <w:rsid w:val="712E6956"/>
    <w:rsid w:val="71473612"/>
    <w:rsid w:val="71504F32"/>
    <w:rsid w:val="7152309F"/>
    <w:rsid w:val="718F7F65"/>
    <w:rsid w:val="71DA6992"/>
    <w:rsid w:val="727B234E"/>
    <w:rsid w:val="728A58B0"/>
    <w:rsid w:val="72B35108"/>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730C81"/>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94</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2025-04-11T05:02:09Z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246B03376C5A4CF0B94B6F39AF6477EB</vt:lpwstr>
  </property>
</Properties>
</file>