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lang w:val="en-US" w:eastAsia="zh-CN"/>
        </w:rPr>
        <w:tab/>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沙湾市水政监察大队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（1）宣传贯彻《中华人民共和国水法》、《中华人民共和国防洪法》等有关水法律法规和规章。</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（2）保护水资源、水域、河道、水工程、水土保持生态环境、防汛抗旱和水文监测等有关设施。</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（3）对水事活动进行监督检查；维护正常的水事秩序，对公民、法人或其他组织违反法律法规的行为实施行政处罚或者采取其他行政措施。</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（4）负责水行政许可审批工作及负责取水许可登记、审批、发证、年审、征收水资源费和水量核实工作。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（5）负责组织编报本行政区域内水资源规划管理、保护和节约用水工作，发布水资源公报。</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（6）对下级水政监察队伍进行指导、培训、监督、选拔和考核。</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（7）依照有关法律、法规和规章的规定应当履行的其他职权。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（8）负责全市的地下水水位动态变化观测工作。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（9）承办上级交办的其他事宜。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沙湾市水政监察大队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hAnsi="黑体" w:eastAsia="仿宋_GB2312" w:cs="宋体"/>
          <w:bCs/>
          <w:color w:val="auto"/>
          <w:kern w:val="0"/>
          <w:sz w:val="32"/>
          <w:szCs w:val="32"/>
          <w:highlight w:val="none"/>
        </w:rPr>
        <w:t>单位无下属预算单位，</w:t>
      </w:r>
      <w:r>
        <w:rPr>
          <w:rFonts w:hint="eastAsia" w:ascii="仿宋_GB2312" w:eastAsia="仿宋_GB2312"/>
          <w:sz w:val="32"/>
          <w:szCs w:val="32"/>
          <w:highlight w:val="none"/>
          <w:lang w:eastAsia="zh-CN"/>
        </w:rPr>
        <w:t>下设7个处室，分别是：大队长室、书记室、办公室、财务室、主任室、业务室、档案室。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2023年度收入总计171.50万元，其中：本年收入合计171.50万元，使用非财政拨款结余0.00万元，年初结转和结余0.00万元。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2023年度支出总计171.50万元，其中：本年支出合计171.50万元，结余分配0.00万元，年末结转和结余0.00万元。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收入支出总体与上年相比，</w:t>
      </w:r>
      <w:r>
        <w:rPr>
          <w:rFonts w:hint="eastAsia" w:ascii="仿宋_GB2312" w:eastAsia="仿宋_GB2312"/>
          <w:color w:val="auto"/>
          <w:sz w:val="32"/>
          <w:szCs w:val="32"/>
          <w:highlight w:val="none"/>
          <w:lang w:val="zh-CN" w:eastAsia="zh-CN"/>
        </w:rPr>
        <w:t>增加11.69万元</w:t>
      </w:r>
      <w:r>
        <w:rPr>
          <w:rFonts w:hint="eastAsia" w:ascii="仿宋_GB2312" w:eastAsia="仿宋_GB2312"/>
          <w:color w:val="auto"/>
          <w:sz w:val="32"/>
          <w:szCs w:val="32"/>
          <w:highlight w:val="none"/>
          <w:lang w:val="en-US" w:eastAsia="zh-CN"/>
        </w:rPr>
        <w:t>，增长7.31%，主要原因是：1、本年度补发了2018年下半年及2020年1-3月大绩效；2、基础绩效增资；3、调整了2022-2023年艰苦边远津贴并发放了年度考核奖。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本年收入171.50万元，其中：财政拨款收入</w:t>
      </w:r>
      <w:r>
        <w:rPr>
          <w:rFonts w:hint="eastAsia" w:ascii="仿宋_GB2312" w:eastAsia="仿宋_GB2312"/>
          <w:color w:val="auto"/>
          <w:sz w:val="32"/>
          <w:szCs w:val="32"/>
          <w:highlight w:val="none"/>
          <w:lang w:val="zh-CN" w:eastAsia="zh-CN"/>
        </w:rPr>
        <w:t>171.50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100.00%</w:t>
      </w:r>
      <w:r>
        <w:rPr>
          <w:rFonts w:hint="eastAsia" w:ascii="仿宋_GB2312" w:eastAsia="仿宋_GB2312"/>
          <w:color w:val="auto"/>
          <w:sz w:val="32"/>
          <w:szCs w:val="32"/>
          <w:highlight w:val="none"/>
          <w:lang w:val="en-US" w:eastAsia="zh-CN"/>
        </w:rPr>
        <w:t>；上级补助收入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；事业收入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；经营收入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；附属单位上缴收入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；其他收入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本年支出171.50万元，其中：基本支出166.50万元，占97.08%；项目支出5.00万元，占2.92%；上缴上级支出0.00万元，占0.00%；经营支出0.00万元，占0.00%；对附属单位补助支出0.00万元，占0.00%。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2023年度财政拨款收入</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val="zh-CN" w:eastAsia="zh-CN"/>
        </w:rPr>
        <w:t>171.50万元，</w:t>
      </w:r>
      <w:r>
        <w:rPr>
          <w:rFonts w:hint="eastAsia" w:ascii="仿宋_GB2312" w:eastAsia="仿宋_GB2312"/>
          <w:color w:val="auto"/>
          <w:sz w:val="32"/>
          <w:szCs w:val="32"/>
          <w:highlight w:val="none"/>
          <w:lang w:val="en-US" w:eastAsia="zh-CN"/>
        </w:rPr>
        <w:t>其中：年初财政拨款结转和结余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本年财政拨款收入</w:t>
      </w:r>
      <w:r>
        <w:rPr>
          <w:rFonts w:hint="eastAsia" w:ascii="仿宋_GB2312" w:eastAsia="仿宋_GB2312"/>
          <w:color w:val="auto"/>
          <w:sz w:val="32"/>
          <w:szCs w:val="32"/>
          <w:highlight w:val="none"/>
          <w:lang w:val="zh-CN" w:eastAsia="zh-CN"/>
        </w:rPr>
        <w:t>171.50万元。财政拨款支出</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val="zh-CN" w:eastAsia="zh-CN"/>
        </w:rPr>
        <w:t>171.50万元，</w:t>
      </w:r>
      <w:r>
        <w:rPr>
          <w:rFonts w:hint="eastAsia" w:ascii="仿宋_GB2312" w:eastAsia="仿宋_GB2312"/>
          <w:color w:val="auto"/>
          <w:sz w:val="32"/>
          <w:szCs w:val="32"/>
          <w:highlight w:val="none"/>
          <w:lang w:val="en-US" w:eastAsia="zh-CN"/>
        </w:rPr>
        <w:t>其中：年末财政拨款结转和结余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本年财政拨款支出</w:t>
      </w:r>
      <w:r>
        <w:rPr>
          <w:rFonts w:hint="eastAsia" w:ascii="仿宋_GB2312" w:eastAsia="仿宋_GB2312"/>
          <w:color w:val="auto"/>
          <w:sz w:val="32"/>
          <w:szCs w:val="32"/>
          <w:highlight w:val="none"/>
          <w:lang w:val="zh-CN" w:eastAsia="zh-CN"/>
        </w:rPr>
        <w:t>171.50万元。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财政拨款收入支出总体与上年相比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增加11.69万元，</w:t>
      </w:r>
      <w:r>
        <w:rPr>
          <w:rFonts w:hint="eastAsia" w:ascii="仿宋_GB2312" w:eastAsia="仿宋_GB2312"/>
          <w:color w:val="auto"/>
          <w:sz w:val="32"/>
          <w:szCs w:val="32"/>
          <w:highlight w:val="none"/>
          <w:lang w:val="en-US" w:eastAsia="zh-CN"/>
        </w:rPr>
        <w:t>增长7.31%,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本年度补发了2018年下半年及2020年1-3月大绩效；</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zh-CN" w:eastAsia="zh-CN"/>
        </w:rPr>
        <w:t>基础绩效增资；</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调整了2022-2023年艰苦边远津贴并发放了年度考核奖。与年初预算相比，年初预算数162.77万元，决算数171.50万元，预决算差异率5.36%，主要原因是：</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本年度补发了2018年下半年及2020年1-3月大绩效；</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zh-CN" w:eastAsia="zh-CN"/>
        </w:rPr>
        <w:t>基础绩效增资；</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调整了2022-2023年艰苦边远津贴并发放了年度考核奖，财政拨款支出相比年初预算数增加。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2023年度一般公共预算财政拨款支出171.50万元，占本年支出合计的100.00%。与上年相比，增加11.69万元，</w:t>
      </w:r>
      <w:r>
        <w:rPr>
          <w:rFonts w:hint="eastAsia" w:ascii="仿宋_GB2312" w:eastAsia="仿宋_GB2312"/>
          <w:color w:val="auto"/>
          <w:sz w:val="32"/>
          <w:szCs w:val="32"/>
          <w:highlight w:val="none"/>
          <w:lang w:val="en-US" w:eastAsia="zh-CN"/>
        </w:rPr>
        <w:t>增长7.31%,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本年度补发了2018年下半年及2020年1-3月大绩效；</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zh-CN" w:eastAsia="zh-CN"/>
        </w:rPr>
        <w:t>基础绩效增资；</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调整了2022-2023年艰苦边远津贴并发放了年度考核奖。与年初预算相比，年初预算数162.77万元，决算数171.50万元，预决算差异率5.36%，主要原因是：</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本年度补发了2018年下半年及2020年1-3月大绩效；</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zh-CN" w:eastAsia="zh-CN"/>
        </w:rPr>
        <w:t>基础绩效增资；</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调整了2022-2023年艰苦边远津贴并发放了年度考核奖，一般公共预算财政拨款支出增加。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1</w:t>
      </w:r>
      <w:r>
        <w:rPr>
          <w:rFonts w:hint="default" w:ascii="仿宋_GB2312" w:eastAsia="仿宋_GB2312"/>
          <w:color w:val="auto"/>
          <w:sz w:val="32"/>
          <w:szCs w:val="32"/>
          <w:highlight w:val="none"/>
          <w:lang w:val="zh-CN" w:eastAsia="zh-CN"/>
        </w:rPr>
        <w:t>.社会保障和就业支出（类）</w:t>
      </w:r>
      <w:r>
        <w:rPr>
          <w:rFonts w:hint="eastAsia" w:ascii="仿宋_GB2312" w:eastAsia="仿宋_GB2312"/>
          <w:color w:val="auto"/>
          <w:sz w:val="32"/>
          <w:szCs w:val="32"/>
          <w:highlight w:val="none"/>
          <w:lang w:val="zh-CN" w:eastAsia="zh-CN"/>
        </w:rPr>
        <w:t>21.56</w:t>
      </w:r>
      <w:r>
        <w:rPr>
          <w:rFonts w:hint="default"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zh-CN" w:eastAsia="zh-CN"/>
        </w:rPr>
        <w:t>12.57%</w:t>
      </w:r>
      <w:r>
        <w:rPr>
          <w:rFonts w:hint="default"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val="zh-CN" w:eastAsia="zh-CN"/>
        </w:rPr>
        <w:t>.卫生健康支出（类）</w:t>
      </w:r>
      <w:r>
        <w:rPr>
          <w:rFonts w:hint="eastAsia" w:ascii="仿宋_GB2312" w:eastAsia="仿宋_GB2312"/>
          <w:color w:val="auto"/>
          <w:sz w:val="32"/>
          <w:szCs w:val="32"/>
          <w:highlight w:val="none"/>
          <w:lang w:val="zh-CN" w:eastAsia="zh-CN"/>
        </w:rPr>
        <w:t>11.17</w:t>
      </w:r>
      <w:r>
        <w:rPr>
          <w:rFonts w:hint="default"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zh-CN" w:eastAsia="zh-CN"/>
        </w:rPr>
        <w:t>6.51%</w:t>
      </w:r>
      <w:r>
        <w:rPr>
          <w:rFonts w:hint="default"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.农林水支出（类）128.12万元，占74.71%</w:t>
      </w:r>
      <w:r>
        <w:rPr>
          <w:rFonts w:hint="default"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4</w:t>
      </w:r>
      <w:r>
        <w:rPr>
          <w:rFonts w:hint="default" w:ascii="仿宋_GB2312" w:eastAsia="仿宋_GB2312"/>
          <w:color w:val="auto"/>
          <w:sz w:val="32"/>
          <w:szCs w:val="32"/>
          <w:highlight w:val="none"/>
          <w:lang w:val="zh-CN" w:eastAsia="zh-CN"/>
        </w:rPr>
        <w:t>.住房保障支出（类）</w:t>
      </w:r>
      <w:r>
        <w:rPr>
          <w:rFonts w:hint="eastAsia" w:ascii="仿宋_GB2312" w:eastAsia="仿宋_GB2312"/>
          <w:color w:val="auto"/>
          <w:sz w:val="32"/>
          <w:szCs w:val="32"/>
          <w:highlight w:val="none"/>
          <w:lang w:val="zh-CN" w:eastAsia="zh-CN"/>
        </w:rPr>
        <w:t>10.65</w:t>
      </w:r>
      <w:r>
        <w:rPr>
          <w:rFonts w:hint="default"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zh-CN" w:eastAsia="zh-CN"/>
        </w:rPr>
        <w:t>6.21%</w:t>
      </w:r>
      <w:r>
        <w:rPr>
          <w:rFonts w:hint="default"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1.卫生健康支出（类）行政事业单位医疗（款）行政单位医疗（项）:支出决算数为7.96万元，比上年决算增加0.46万元，增长6.13%，主要原因是：增资后的新基数核算基本医疗保险缴费，基数增加，基本医疗保险缴费相应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2.农林水支出（类）水利（款）行政运行（项）:支出决算数为123.12万元，比上年决算增加2.12万元，增长1.75%，主要原因是：人员正常增资，人员经费相应增加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3.卫生健康支出（类）行政事业单位医疗（款）公务员医疗补助（项）:支出决算数为3.21万元，比上年决算增加0.06万元，增长1.90%，主要原因是：增资后的新基数核算公务员医疗补助缴费，基数增加，公务员医疗补助缴费相应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4.住房保障支出（类）住房改革支出（款）住房公积金（项）:支出决算数为10.65万元，比上年决算增加0.14万元，增长1.33%，主要原因是：按增资后的新基数核算在职人员住房公积金，人员增加，核算基数增加，故住房公积金支出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5.社会保障和就业支出（类）行政事业单位养老支出（款）行政单位离退休（项）:支出决算数为2.92万元，比上年决算增加1.33万元，增长83.65%，主要原因是：</w:t>
      </w:r>
      <w:r>
        <w:rPr>
          <w:rFonts w:hint="eastAsia" w:ascii="仿宋_GB2312" w:eastAsia="仿宋_GB2312"/>
          <w:color w:val="auto"/>
          <w:sz w:val="32"/>
          <w:szCs w:val="32"/>
          <w:highlight w:val="none"/>
          <w:lang w:val="zh-CN" w:eastAsia="zh-CN"/>
        </w:rPr>
        <w:t>退休人员的独生子女奖励金增资，退休费支出增加。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6.农林水支出（类）水利（款）水资源节约管理与保护（项）:支出决算数为5.00万元，比上年决算增加1.50万元，增长42.86%，主要原因是：为了改善水资源利用、保护水环境和满足人民生产生活需要，2023年自治区水利发展项目资金5万元，与上年相比增加了1.5万元</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7.社会保障和就业支出（类）行政事业单位养老支出（款）机关事业单位职业年金缴费支出（项）:支出决算数为5.22万元，比上年决算增加5.22万元，增长100%，主要原因是：2023年度我单位新增退休人员1名，上年度未使用此功能科目，故职业年金缴费支出项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8.社会保障和就业支出（类）行政事业单位养老支出（款）机关事业单位基本养老保险缴费支出（项）:支出决算数为13.42万元，比上年决算增加1.51万元，增长12.68%，主要原因是：按增资后的新基数核算机关事业单位基本养老保险缴费，基数增加，基本养老保险缴费相应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9.社会保障和就业支出（类）行政事业单位养老支出（款）事业单位离退休（项）:支出决算数为0.00万元，比上年决算减少0.12万元，下降100%，主要原因是：本年度我单位1名事业工人退休后剩余人员身份全部是公务员，</w:t>
      </w:r>
      <w:r>
        <w:rPr>
          <w:rFonts w:hint="eastAsia" w:ascii="仿宋_GB2312" w:eastAsia="仿宋_GB2312"/>
          <w:color w:val="auto"/>
          <w:sz w:val="32"/>
          <w:szCs w:val="32"/>
          <w:highlight w:val="none"/>
          <w:lang w:val="zh-CN" w:eastAsia="zh-CN"/>
        </w:rPr>
        <w:t>导致本年度金额减少。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10.卫生健康支出（类）行政事业单位医疗（款）事业单位医疗（项）:支出决算数为0.00万元，比上年决算减少0.53万元，下降100%，主要原因是：本年度我单位1名事业工人退休后剩余人员身份全部是公务员，</w:t>
      </w:r>
      <w:r>
        <w:rPr>
          <w:rFonts w:hint="eastAsia" w:ascii="仿宋_GB2312" w:eastAsia="仿宋_GB2312"/>
          <w:color w:val="auto"/>
          <w:sz w:val="32"/>
          <w:szCs w:val="32"/>
          <w:highlight w:val="none"/>
          <w:lang w:val="zh-CN" w:eastAsia="zh-CN"/>
        </w:rPr>
        <w:t>导致本年度金额减少。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2023年度一般公共预算财政拨款基本支出166.50万元，其中：人员经费155.18万元，包括：基本工资、津贴补贴、奖金、机关事业单位基本养老保险缴费、职业年金缴费、职工基本医疗保险缴费、公务员医疗补助缴费、其他社会保障缴费、住房公积金、退休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公用经费11.32万元，包括：办公费、水费、电费、差旅费、培训费、工会经费、公务用车运行维护费。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“三公”经费支出5.61万元，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减少0.33万元，</w:t>
      </w:r>
      <w:r>
        <w:rPr>
          <w:rFonts w:hint="eastAsia" w:ascii="仿宋_GB2312" w:eastAsia="仿宋_GB2312"/>
          <w:color w:val="auto"/>
          <w:sz w:val="32"/>
          <w:szCs w:val="32"/>
          <w:highlight w:val="none"/>
          <w:lang w:val="en-US" w:eastAsia="zh-CN"/>
        </w:rPr>
        <w:t>下降5.56%,</w:t>
      </w:r>
      <w:r>
        <w:rPr>
          <w:rFonts w:hint="eastAsia" w:ascii="仿宋_GB2312" w:eastAsia="仿宋_GB2312"/>
          <w:color w:val="auto"/>
          <w:sz w:val="32"/>
          <w:szCs w:val="32"/>
          <w:highlight w:val="none"/>
          <w:lang w:val="zh-CN" w:eastAsia="zh-CN"/>
        </w:rPr>
        <w:t>主要原因是：2023年度单位加强财政预算资金的管理、加强单位车辆的管理，压缩了三公经费的支出。其中：因公出国（境）费支出0.00万元，占0.00%，比上年增加0.00万元，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我单位无因公出国（境）费支出</w:t>
      </w:r>
      <w:r>
        <w:rPr>
          <w:rFonts w:hint="eastAsia" w:ascii="仿宋_GB2312" w:eastAsia="仿宋_GB2312"/>
          <w:color w:val="auto"/>
          <w:sz w:val="32"/>
          <w:szCs w:val="32"/>
          <w:highlight w:val="none"/>
          <w:lang w:val="zh-CN" w:eastAsia="zh-CN"/>
        </w:rPr>
        <w:t>；公务用车购置及运行维护费支出5.61万元，占100.00%，比上年减少0.33万元，</w:t>
      </w:r>
      <w:r>
        <w:rPr>
          <w:rFonts w:hint="eastAsia" w:ascii="仿宋_GB2312" w:eastAsia="仿宋_GB2312"/>
          <w:color w:val="auto"/>
          <w:sz w:val="32"/>
          <w:szCs w:val="32"/>
          <w:highlight w:val="none"/>
          <w:lang w:val="en-US" w:eastAsia="zh-CN"/>
        </w:rPr>
        <w:t>下降5.56%,</w:t>
      </w:r>
      <w:r>
        <w:rPr>
          <w:rFonts w:hint="eastAsia" w:ascii="仿宋_GB2312" w:eastAsia="仿宋_GB2312"/>
          <w:color w:val="auto"/>
          <w:sz w:val="32"/>
          <w:szCs w:val="32"/>
          <w:highlight w:val="none"/>
          <w:lang w:val="zh-CN" w:eastAsia="zh-CN"/>
        </w:rPr>
        <w:t>主要原因是：2023年度单位加强财政预算资金的管理、加强单位车辆的管理，压缩了公务用车运行费的支出；公务接待费支出0.00万元，占0.00%，比上年增加0.00万元，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公务用车购置及运行维护费5.61万元，其中：公务用车购置费0.00万元，公务用车运行维护费5.61万元。公务用车运行维护费开支内容包括</w:t>
      </w:r>
      <w:r>
        <w:rPr>
          <w:rFonts w:hint="eastAsia" w:ascii="仿宋_GB2312" w:eastAsia="仿宋_GB2312"/>
          <w:color w:val="auto"/>
          <w:sz w:val="32"/>
          <w:szCs w:val="32"/>
          <w:highlight w:val="none"/>
          <w:lang w:val="en-US" w:eastAsia="zh-CN"/>
        </w:rPr>
        <w:t>车辆维修和保养费、过路费、车辆燃油费</w:t>
      </w:r>
      <w:r>
        <w:rPr>
          <w:rFonts w:hint="eastAsia" w:ascii="仿宋_GB2312" w:eastAsia="仿宋_GB2312"/>
          <w:color w:val="auto"/>
          <w:sz w:val="32"/>
          <w:szCs w:val="32"/>
          <w:highlight w:val="none"/>
          <w:lang w:val="zh-CN" w:eastAsia="zh-CN"/>
        </w:rPr>
        <w:t>。公务用车购置数0辆，公务用车保有量5辆。国有资产占用情况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预算数6.00万元，决算数5.61万元，预决算差异率-6.50%，主要原因是：2023年度单位加强财政预算资金的管理、加强单位车辆的管理，压缩了三公经费的支出，故</w:t>
      </w:r>
      <w:r>
        <w:rPr>
          <w:rFonts w:hint="eastAsia" w:ascii="仿宋_GB2312" w:eastAsia="仿宋_GB2312"/>
          <w:color w:val="auto"/>
          <w:sz w:val="32"/>
          <w:szCs w:val="32"/>
          <w:highlight w:val="none"/>
          <w:lang w:val="en-US" w:eastAsia="zh-CN"/>
        </w:rPr>
        <w:t>预决算有差异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预算数6.00万元，决算数5.61万元，预决算差异率-6.50%，主要原因是：2023年度单位加强财政预算资金的管理、加强单位车辆的管理，压缩了公务用车运行费的支出，故预决算有差异；公务接待费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我单位未安排公务接待费，预决算无差异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val="zh-CN" w:eastAsia="zh-CN"/>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val="zh-CN"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bookmarkStart w:id="22" w:name="_Toc14519"/>
      <w:bookmarkStart w:id="23" w:name="_Toc13105"/>
      <w:r>
        <w:rPr>
          <w:rFonts w:hint="eastAsia" w:ascii="仿宋_GB2312" w:eastAsia="仿宋_GB2312"/>
          <w:color w:val="auto"/>
          <w:sz w:val="32"/>
          <w:szCs w:val="32"/>
          <w:highlight w:val="none"/>
          <w:lang w:val="zh-CN" w:eastAsia="zh-CN"/>
        </w:rPr>
        <w:t>（一）机关运行经费支出情况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24" w:name="_Toc227"/>
      <w:bookmarkStart w:id="25" w:name="_Toc26704"/>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沙湾市水政监察大队（行政单位和参照公务员法管理事业单位）机关运行经费支出11.32万元，</w:t>
      </w:r>
      <w:r>
        <w:rPr>
          <w:rFonts w:hint="eastAsia" w:ascii="仿宋_GB2312" w:eastAsia="仿宋_GB2312"/>
          <w:color w:val="auto"/>
          <w:sz w:val="32"/>
          <w:szCs w:val="32"/>
          <w:highlight w:val="none"/>
          <w:lang w:val="zh-CN" w:eastAsia="zh-CN"/>
        </w:rPr>
        <w:t>比上年减少3.06万元，下降21.28%，主要原因是：本年度进一步加强财政拨款机关运行经费的管理，压缩财政拨款预算经费支出。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2023年度政府采购支出总额3.89万元，其中：政府采购货物支出0.99万元、政府采购工程支出0.00万元、政府采购服务支出2.90万元。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授予中小企业合同金额3.89万元，占政府采购支出总额的100.00%，其中：授予小微企业合同金额3.89万元，占政府采购支出总额的100.00%</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bookmarkStart w:id="26" w:name="_Toc8391"/>
      <w:bookmarkStart w:id="27" w:name="_Toc4591"/>
      <w:r>
        <w:rPr>
          <w:rFonts w:hint="eastAsia" w:ascii="仿宋_GB2312" w:eastAsia="仿宋_GB2312"/>
          <w:color w:val="auto"/>
          <w:sz w:val="32"/>
          <w:szCs w:val="32"/>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259.87</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屋0.00平方米，价值0.00万元。车辆5辆，价值70.97万元，其中：副部（省）级及以上领导用车0辆、主要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用车0辆、机要通信用车0辆、应急保障用车0辆、执法执勤用车2辆、特种专业技术用车0辆、离退休干部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用车0辆、其他用车3辆，其他用车主要是：水政业务、水资源管理、水利规费征缴等水行政日常业务工作用车；单价100万元（含）以上设备（不含车辆）0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绩效自评表</w:t>
      </w:r>
      <w:r>
        <w:rPr>
          <w:rFonts w:hint="eastAsia" w:ascii="仿宋_GB2312" w:eastAsia="仿宋_GB2312"/>
          <w:color w:val="auto"/>
          <w:sz w:val="32"/>
          <w:szCs w:val="32"/>
          <w:highlight w:val="none"/>
          <w:lang w:val="en-US" w:eastAsia="zh-CN"/>
        </w:rPr>
        <w:t>1个，全年预算总额</w:t>
      </w:r>
      <w:r>
        <w:rPr>
          <w:rFonts w:hint="eastAsia" w:ascii="仿宋_GB2312" w:eastAsia="仿宋_GB2312"/>
          <w:color w:val="auto"/>
          <w:sz w:val="32"/>
          <w:szCs w:val="32"/>
          <w:highlight w:val="none"/>
          <w:lang w:val="zh-CN" w:eastAsia="zh-CN"/>
        </w:rPr>
        <w:t>166.5万元，</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val="zh-CN" w:eastAsia="zh-CN"/>
        </w:rPr>
        <w:t>166.5万元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个，</w:t>
      </w:r>
      <w:r>
        <w:rPr>
          <w:rFonts w:hint="eastAsia" w:ascii="仿宋_GB2312" w:eastAsia="仿宋_GB2312"/>
          <w:color w:val="auto"/>
          <w:sz w:val="32"/>
          <w:szCs w:val="32"/>
          <w:highlight w:val="none"/>
          <w:lang w:val="en-US" w:eastAsia="zh-CN"/>
        </w:rPr>
        <w:t>全年预算数5</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全年执行数</w:t>
      </w:r>
      <w:r>
        <w:rPr>
          <w:rFonts w:hint="eastAsia" w:ascii="仿宋_GB2312" w:eastAsia="仿宋_GB2312"/>
          <w:color w:val="auto"/>
          <w:sz w:val="32"/>
          <w:szCs w:val="32"/>
          <w:highlight w:val="none"/>
          <w:lang w:val="zh-CN" w:eastAsia="zh-CN"/>
        </w:rPr>
        <w:t>5万元。预算绩效管理取得的成效：一是本单位为加强预算管理，规范财务行为，已制定了《</w:t>
      </w:r>
      <w:r>
        <w:rPr>
          <w:rFonts w:hint="eastAsia" w:ascii="仿宋_GB2312" w:eastAsia="仿宋_GB2312"/>
          <w:color w:val="auto"/>
          <w:sz w:val="32"/>
          <w:szCs w:val="32"/>
          <w:highlight w:val="none"/>
          <w:lang w:val="en-US" w:eastAsia="zh-CN"/>
        </w:rPr>
        <w:t>沙湾市水政监察大队</w:t>
      </w:r>
      <w:r>
        <w:rPr>
          <w:rFonts w:hint="eastAsia" w:ascii="仿宋_GB2312" w:eastAsia="仿宋_GB2312"/>
          <w:color w:val="auto"/>
          <w:sz w:val="32"/>
          <w:szCs w:val="32"/>
          <w:highlight w:val="none"/>
          <w:lang w:val="zh-CN" w:eastAsia="zh-CN"/>
        </w:rPr>
        <w:t>预算绩效管理工作实施办法》《</w:t>
      </w:r>
      <w:r>
        <w:rPr>
          <w:rFonts w:hint="eastAsia" w:ascii="仿宋_GB2312" w:eastAsia="仿宋_GB2312"/>
          <w:color w:val="auto"/>
          <w:sz w:val="32"/>
          <w:szCs w:val="32"/>
          <w:highlight w:val="none"/>
          <w:lang w:val="en-US" w:eastAsia="zh-CN"/>
        </w:rPr>
        <w:t>沙湾市水政监察大队</w:t>
      </w:r>
      <w:r>
        <w:rPr>
          <w:rFonts w:hint="eastAsia" w:ascii="仿宋_GB2312" w:eastAsia="仿宋_GB2312"/>
          <w:color w:val="auto"/>
          <w:sz w:val="32"/>
          <w:szCs w:val="32"/>
          <w:highlight w:val="none"/>
          <w:lang w:val="zh-CN" w:eastAsia="zh-CN"/>
        </w:rPr>
        <w:t>财务管理制度》等较为健全的各项管理制度，并严格按照相关管理制度文件要求范围使用预算资金，严格按照政府信息公开有关规定及财政部门要求公开相关预决算信息，有效提高了本单位高效</w:t>
      </w:r>
      <w:r>
        <w:rPr>
          <w:rFonts w:hint="eastAsia" w:ascii="仿宋_GB2312" w:eastAsia="仿宋_GB2312"/>
          <w:color w:val="auto"/>
          <w:sz w:val="32"/>
          <w:szCs w:val="32"/>
          <w:highlight w:val="none"/>
          <w:lang w:val="en-US" w:eastAsia="zh-CN"/>
        </w:rPr>
        <w:t>地</w:t>
      </w:r>
      <w:r>
        <w:rPr>
          <w:rFonts w:hint="eastAsia" w:ascii="仿宋_GB2312" w:eastAsia="仿宋_GB2312"/>
          <w:color w:val="auto"/>
          <w:sz w:val="32"/>
          <w:szCs w:val="32"/>
          <w:highlight w:val="none"/>
          <w:lang w:val="zh-CN" w:eastAsia="zh-CN"/>
        </w:rPr>
        <w:t>履行工作职能，较好</w:t>
      </w:r>
      <w:r>
        <w:rPr>
          <w:rFonts w:hint="eastAsia" w:ascii="仿宋_GB2312" w:eastAsia="仿宋_GB2312"/>
          <w:color w:val="auto"/>
          <w:sz w:val="32"/>
          <w:szCs w:val="32"/>
          <w:highlight w:val="none"/>
          <w:lang w:val="en-US" w:eastAsia="zh-CN"/>
        </w:rPr>
        <w:t>地</w:t>
      </w:r>
      <w:r>
        <w:rPr>
          <w:rFonts w:hint="eastAsia" w:ascii="仿宋_GB2312" w:eastAsia="仿宋_GB2312"/>
          <w:color w:val="auto"/>
          <w:sz w:val="32"/>
          <w:szCs w:val="32"/>
          <w:highlight w:val="none"/>
          <w:lang w:val="zh-CN" w:eastAsia="zh-CN"/>
        </w:rPr>
        <w:t>促进了相关事业的发展；二是部门预算资金使用符合国家法规和财务管理制度；预算资金拨付有完整的审批程序和手续，符合项目预算批复或合同规定的用途；不存在截留、挤占、挪用、虚列支出等情况，确保我单位预算资金规范运行。发现的问题及原因：一是</w:t>
      </w:r>
      <w:r>
        <w:rPr>
          <w:rFonts w:hint="eastAsia" w:ascii="仿宋_GB2312" w:eastAsia="仿宋_GB2312"/>
          <w:color w:val="auto"/>
          <w:sz w:val="32"/>
          <w:szCs w:val="32"/>
          <w:highlight w:val="none"/>
          <w:lang w:val="en-US" w:eastAsia="zh-CN"/>
        </w:rPr>
        <w:t>预算绩效管理缺乏系统的培训，造成预算绩效管理指导不到位、认识不到位，理解不充分，对预算绩效管理工作重点把握不到位</w:t>
      </w:r>
      <w:r>
        <w:rPr>
          <w:rFonts w:hint="eastAsia" w:ascii="仿宋_GB2312" w:eastAsia="仿宋_GB2312"/>
          <w:color w:val="auto"/>
          <w:sz w:val="32"/>
          <w:szCs w:val="32"/>
          <w:highlight w:val="none"/>
          <w:lang w:val="zh-CN" w:eastAsia="zh-CN"/>
        </w:rPr>
        <w:t>；二是</w:t>
      </w:r>
      <w:r>
        <w:rPr>
          <w:rFonts w:hint="eastAsia" w:ascii="仿宋_GB2312" w:eastAsia="仿宋_GB2312"/>
          <w:color w:val="auto"/>
          <w:sz w:val="32"/>
          <w:szCs w:val="32"/>
          <w:highlight w:val="none"/>
          <w:lang w:val="en-US" w:eastAsia="zh-CN"/>
        </w:rPr>
        <w:t>全面预算管理认识不足，缺乏前瞻性。缺乏长远计划和战略目标，对全面预算管理认识不足，认为只要做好预算就可以获得更多的经费来源，导致各部门预算编制不合理，出现超出预算等现象，难以全面推行预算管理，全面预算管理只是浮于表面，而没有真正落实</w:t>
      </w:r>
      <w:r>
        <w:rPr>
          <w:rFonts w:hint="eastAsia" w:ascii="仿宋_GB2312" w:eastAsia="仿宋_GB2312"/>
          <w:color w:val="auto"/>
          <w:sz w:val="32"/>
          <w:szCs w:val="32"/>
          <w:highlight w:val="none"/>
          <w:lang w:val="zh-CN" w:eastAsia="zh-CN"/>
        </w:rPr>
        <w:t>。下一步改进措施：一是</w:t>
      </w:r>
      <w:r>
        <w:rPr>
          <w:rFonts w:hint="eastAsia" w:ascii="仿宋_GB2312" w:eastAsia="仿宋_GB2312"/>
          <w:color w:val="auto"/>
          <w:sz w:val="32"/>
          <w:szCs w:val="32"/>
          <w:highlight w:val="none"/>
          <w:lang w:val="en-US" w:eastAsia="zh-CN"/>
        </w:rPr>
        <w:t>提高单位领导对预算管理、绩效管理、内部控制等工作的重视程度，更新绩效管理观念，提升绩效管理能力，充分理解绩效管理方案，组织员工实施绩效管理</w:t>
      </w:r>
      <w:r>
        <w:rPr>
          <w:rFonts w:hint="eastAsia" w:ascii="仿宋_GB2312" w:eastAsia="仿宋_GB2312"/>
          <w:color w:val="auto"/>
          <w:sz w:val="32"/>
          <w:szCs w:val="32"/>
          <w:highlight w:val="none"/>
          <w:lang w:val="zh-CN" w:eastAsia="zh-CN"/>
        </w:rPr>
        <w:t>；二是</w:t>
      </w:r>
      <w:r>
        <w:rPr>
          <w:rFonts w:hint="eastAsia" w:ascii="仿宋_GB2312" w:eastAsia="仿宋_GB2312"/>
          <w:color w:val="auto"/>
          <w:sz w:val="32"/>
          <w:szCs w:val="32"/>
          <w:highlight w:val="none"/>
          <w:lang w:val="en-US" w:eastAsia="zh-CN"/>
        </w:rPr>
        <w:t>不断完善预算绩效管理相关工作制度，建立全过程预算绩效管理链条，有效贯彻落实全面实施绩效管理的精神</w:t>
      </w:r>
      <w:r>
        <w:rPr>
          <w:rFonts w:hint="eastAsia" w:ascii="仿宋_GB2312" w:eastAsia="仿宋_GB2312"/>
          <w:color w:val="auto"/>
          <w:sz w:val="32"/>
          <w:szCs w:val="32"/>
          <w:highlight w:val="none"/>
          <w:lang w:val="zh-CN" w:eastAsia="zh-CN"/>
        </w:rPr>
        <w:t>。具体项目自评情况附绩效自评表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ab/>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val="en-US" w:eastAsia="zh-CN"/>
        </w:rPr>
        <w:t>本单位无其他需说明事项。</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79B7E09"/>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0FCA3CDD"/>
    <w:rsid w:val="105B0B5E"/>
    <w:rsid w:val="10AE4F3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1B6861"/>
    <w:rsid w:val="19D26CD4"/>
    <w:rsid w:val="19E60D19"/>
    <w:rsid w:val="1A3E3450"/>
    <w:rsid w:val="1AD807E5"/>
    <w:rsid w:val="1B39345B"/>
    <w:rsid w:val="1BFB2A1F"/>
    <w:rsid w:val="1C015D4A"/>
    <w:rsid w:val="1C290ED5"/>
    <w:rsid w:val="1C317E4F"/>
    <w:rsid w:val="1C472464"/>
    <w:rsid w:val="1C7A4488"/>
    <w:rsid w:val="1D22799A"/>
    <w:rsid w:val="1D5C1A72"/>
    <w:rsid w:val="1DAF458D"/>
    <w:rsid w:val="1E086ACE"/>
    <w:rsid w:val="1E62130A"/>
    <w:rsid w:val="1E97358B"/>
    <w:rsid w:val="1E9C540F"/>
    <w:rsid w:val="1EAA4A5F"/>
    <w:rsid w:val="1EE869A7"/>
    <w:rsid w:val="1F2D490A"/>
    <w:rsid w:val="1F3F37CF"/>
    <w:rsid w:val="1FA15E62"/>
    <w:rsid w:val="1FED69B6"/>
    <w:rsid w:val="2064678E"/>
    <w:rsid w:val="20B51A11"/>
    <w:rsid w:val="20DC1AB9"/>
    <w:rsid w:val="20DD6197"/>
    <w:rsid w:val="20F1424E"/>
    <w:rsid w:val="212631E0"/>
    <w:rsid w:val="2138666F"/>
    <w:rsid w:val="21742080"/>
    <w:rsid w:val="21A53757"/>
    <w:rsid w:val="21B4406F"/>
    <w:rsid w:val="21F879E1"/>
    <w:rsid w:val="221236C6"/>
    <w:rsid w:val="22D7662C"/>
    <w:rsid w:val="23326B7F"/>
    <w:rsid w:val="2380045B"/>
    <w:rsid w:val="239D0610"/>
    <w:rsid w:val="23BC04D2"/>
    <w:rsid w:val="23EF1892"/>
    <w:rsid w:val="246650C5"/>
    <w:rsid w:val="2483647E"/>
    <w:rsid w:val="24A32D55"/>
    <w:rsid w:val="24CE6D9A"/>
    <w:rsid w:val="25292727"/>
    <w:rsid w:val="252E5CA9"/>
    <w:rsid w:val="256F7692"/>
    <w:rsid w:val="25BA2154"/>
    <w:rsid w:val="25C8773F"/>
    <w:rsid w:val="26235823"/>
    <w:rsid w:val="264A7253"/>
    <w:rsid w:val="267A4B30"/>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970A09"/>
    <w:rsid w:val="30A4775A"/>
    <w:rsid w:val="30E33F4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53485"/>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2D77361"/>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22090B"/>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53F4E"/>
    <w:rsid w:val="50874A7C"/>
    <w:rsid w:val="50895EE7"/>
    <w:rsid w:val="50921B9D"/>
    <w:rsid w:val="50D16158"/>
    <w:rsid w:val="50DB5F45"/>
    <w:rsid w:val="51025EB1"/>
    <w:rsid w:val="51141503"/>
    <w:rsid w:val="513C450E"/>
    <w:rsid w:val="518D0ED5"/>
    <w:rsid w:val="51D51D50"/>
    <w:rsid w:val="525C687F"/>
    <w:rsid w:val="52A3740A"/>
    <w:rsid w:val="52F647F7"/>
    <w:rsid w:val="52F92565"/>
    <w:rsid w:val="53AE735E"/>
    <w:rsid w:val="53D03877"/>
    <w:rsid w:val="542F73CA"/>
    <w:rsid w:val="5430786D"/>
    <w:rsid w:val="545A1D2A"/>
    <w:rsid w:val="54C811C0"/>
    <w:rsid w:val="556A442D"/>
    <w:rsid w:val="55B03032"/>
    <w:rsid w:val="55DA564E"/>
    <w:rsid w:val="55E816A3"/>
    <w:rsid w:val="5604127D"/>
    <w:rsid w:val="56044E6C"/>
    <w:rsid w:val="56166703"/>
    <w:rsid w:val="56510474"/>
    <w:rsid w:val="56861525"/>
    <w:rsid w:val="56A93273"/>
    <w:rsid w:val="56BD550C"/>
    <w:rsid w:val="56E07045"/>
    <w:rsid w:val="56FF28AF"/>
    <w:rsid w:val="57540E7D"/>
    <w:rsid w:val="577B4878"/>
    <w:rsid w:val="57926973"/>
    <w:rsid w:val="57CF1F0F"/>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AB2D1E"/>
    <w:rsid w:val="5BD456CE"/>
    <w:rsid w:val="5C0D1F49"/>
    <w:rsid w:val="5CBB0CE2"/>
    <w:rsid w:val="5CC17177"/>
    <w:rsid w:val="5CF306BC"/>
    <w:rsid w:val="5D3F3D64"/>
    <w:rsid w:val="5D833043"/>
    <w:rsid w:val="5DD92690"/>
    <w:rsid w:val="5DDB1CFD"/>
    <w:rsid w:val="5E7E6D93"/>
    <w:rsid w:val="5E82459B"/>
    <w:rsid w:val="5EC4084D"/>
    <w:rsid w:val="5ED44800"/>
    <w:rsid w:val="5F350BDE"/>
    <w:rsid w:val="5F61632C"/>
    <w:rsid w:val="5FA17648"/>
    <w:rsid w:val="5FE705CB"/>
    <w:rsid w:val="6007714E"/>
    <w:rsid w:val="603D5080"/>
    <w:rsid w:val="606842D0"/>
    <w:rsid w:val="60D0261B"/>
    <w:rsid w:val="60FF41BB"/>
    <w:rsid w:val="618E3791"/>
    <w:rsid w:val="61947DCA"/>
    <w:rsid w:val="61A46A97"/>
    <w:rsid w:val="61D1382F"/>
    <w:rsid w:val="61F114A2"/>
    <w:rsid w:val="622B0ABA"/>
    <w:rsid w:val="62512BB4"/>
    <w:rsid w:val="625D7D1A"/>
    <w:rsid w:val="62660469"/>
    <w:rsid w:val="62DD7D21"/>
    <w:rsid w:val="637D586B"/>
    <w:rsid w:val="63A5560B"/>
    <w:rsid w:val="63B31E42"/>
    <w:rsid w:val="63E9091F"/>
    <w:rsid w:val="64322AF9"/>
    <w:rsid w:val="64D6010D"/>
    <w:rsid w:val="64D82665"/>
    <w:rsid w:val="64E47C96"/>
    <w:rsid w:val="651E5741"/>
    <w:rsid w:val="655D7702"/>
    <w:rsid w:val="658A4877"/>
    <w:rsid w:val="65A00902"/>
    <w:rsid w:val="65AC6EDD"/>
    <w:rsid w:val="65D97752"/>
    <w:rsid w:val="65E5279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120DDA"/>
    <w:rsid w:val="6D30556A"/>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D01277"/>
    <w:rsid w:val="73FB6630"/>
    <w:rsid w:val="748D790E"/>
    <w:rsid w:val="749820CC"/>
    <w:rsid w:val="74CE04EC"/>
    <w:rsid w:val="74E544DA"/>
    <w:rsid w:val="74E76DCD"/>
    <w:rsid w:val="74F30D12"/>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587622"/>
    <w:rsid w:val="7A6242BF"/>
    <w:rsid w:val="7A794513"/>
    <w:rsid w:val="7A9B3811"/>
    <w:rsid w:val="7AB467DA"/>
    <w:rsid w:val="7AB9318D"/>
    <w:rsid w:val="7AE952D2"/>
    <w:rsid w:val="7B9F26AF"/>
    <w:rsid w:val="7BB607FE"/>
    <w:rsid w:val="7C7248A0"/>
    <w:rsid w:val="7C876BEC"/>
    <w:rsid w:val="7C976D69"/>
    <w:rsid w:val="7CD752DA"/>
    <w:rsid w:val="7CDE40AB"/>
    <w:rsid w:val="7CF057E2"/>
    <w:rsid w:val="7D1548B5"/>
    <w:rsid w:val="7DF84014"/>
    <w:rsid w:val="7E207949"/>
    <w:rsid w:val="7E5C0A47"/>
    <w:rsid w:val="7E670C75"/>
    <w:rsid w:val="7EE24272"/>
    <w:rsid w:val="7EEA6053"/>
    <w:rsid w:val="7F1C4CEC"/>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1</TotalTime>
  <ScaleCrop>false</ScaleCrop>
  <LinksUpToDate>false</LinksUpToDate>
  <CharactersWithSpaces>22618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2024-12-02T05:16:43Z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E85E0EFC0E21444EBEFED7D3DF7DAE57</vt:lpwstr>
  </property>
</Properties>
</file>