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0" w:firstLineChars="0"/>
        <w:jc w:val="center"/>
        <w:rPr>
          <w:rFonts w:ascii="方正小标宋_GBK" w:hAnsi="华文中宋" w:eastAsia="方正小标宋_GBK" w:cs="宋体"/>
          <w:color w:val="auto"/>
          <w:kern w:val="0"/>
          <w:sz w:val="44"/>
          <w:szCs w:val="44"/>
          <w:highlight w:val="none"/>
          <w:lang w:eastAsia="zh-Hans"/>
        </w:rPr>
      </w:pPr>
      <w:bookmarkStart w:id="0" w:name="_GoBack"/>
      <w:bookmarkEnd w:id="0"/>
    </w:p>
    <w:p>
      <w:pPr>
        <w:spacing w:line="600" w:lineRule="exact"/>
        <w:ind w:firstLine="0" w:firstLineChars="0"/>
        <w:jc w:val="center"/>
        <w:rPr>
          <w:rFonts w:hint="eastAsia" w:ascii="方正小标宋_GBK" w:hAnsi="华文中宋" w:eastAsia="方正小标宋_GBK" w:cs="宋体"/>
          <w:color w:val="auto"/>
          <w:kern w:val="0"/>
          <w:sz w:val="44"/>
          <w:szCs w:val="44"/>
          <w:highlight w:val="none"/>
          <w:lang w:eastAsia="zh-Hans"/>
        </w:rPr>
      </w:pPr>
    </w:p>
    <w:p>
      <w:pPr>
        <w:spacing w:line="600" w:lineRule="exact"/>
        <w:ind w:firstLine="0" w:firstLineChars="0"/>
        <w:jc w:val="center"/>
        <w:rPr>
          <w:rFonts w:ascii="方正小标宋_GBK" w:hAnsi="华文中宋" w:eastAsia="方正小标宋_GBK" w:cs="宋体"/>
          <w:color w:val="auto"/>
          <w:kern w:val="0"/>
          <w:sz w:val="44"/>
          <w:szCs w:val="44"/>
          <w:highlight w:val="none"/>
          <w:lang w:eastAsia="zh-Hans"/>
        </w:rPr>
      </w:pPr>
    </w:p>
    <w:p>
      <w:pPr>
        <w:spacing w:line="360" w:lineRule="auto"/>
        <w:ind w:firstLine="0" w:firstLineChars="0"/>
        <w:jc w:val="center"/>
        <w:rPr>
          <w:rFonts w:ascii="方正小标宋_GBK" w:hAnsi="华文中宋" w:eastAsia="方正小标宋_GBK" w:cs="宋体"/>
          <w:color w:val="auto"/>
          <w:kern w:val="0"/>
          <w:sz w:val="44"/>
          <w:szCs w:val="44"/>
          <w:highlight w:val="none"/>
        </w:rPr>
      </w:pPr>
      <w:r>
        <w:rPr>
          <w:rFonts w:hint="eastAsia" w:ascii="方正小标宋_GBK" w:hAnsi="华文中宋" w:eastAsia="方正小标宋_GBK" w:cs="宋体"/>
          <w:color w:val="auto"/>
          <w:kern w:val="0"/>
          <w:sz w:val="44"/>
          <w:szCs w:val="44"/>
          <w:highlight w:val="none"/>
          <w:lang w:val="en-US" w:eastAsia="zh-CN"/>
        </w:rPr>
        <w:t>沙湾市水利管理站</w:t>
      </w:r>
      <w:r>
        <w:rPr>
          <w:rFonts w:hint="eastAsia" w:ascii="方正小标宋_GBK" w:hAnsi="华文中宋" w:eastAsia="方正小标宋_GBK" w:cs="宋体"/>
          <w:color w:val="auto"/>
          <w:kern w:val="0"/>
          <w:sz w:val="44"/>
          <w:szCs w:val="44"/>
          <w:highlight w:val="none"/>
        </w:rPr>
        <w:t>整体支出绩效自评报告</w:t>
      </w: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（202</w:t>
      </w:r>
      <w:r>
        <w:rPr>
          <w:rFonts w:hint="eastAsia" w:ascii="仿宋_GB2312" w:hAnsi="宋体" w:eastAsia="仿宋_GB2312" w:cs="宋体"/>
          <w:color w:val="auto"/>
          <w:kern w:val="0"/>
          <w:sz w:val="36"/>
          <w:szCs w:val="36"/>
          <w:highlight w:val="none"/>
          <w:lang w:val="en-US" w:eastAsia="zh-CN"/>
        </w:rPr>
        <w:t>3</w:t>
      </w:r>
      <w:r>
        <w:rPr>
          <w:rFonts w:hint="eastAsia" w:ascii="仿宋_GB2312" w:hAnsi="宋体" w:eastAsia="仿宋_GB2312" w:cs="宋体"/>
          <w:color w:val="auto"/>
          <w:kern w:val="0"/>
          <w:sz w:val="36"/>
          <w:szCs w:val="36"/>
          <w:highlight w:val="none"/>
        </w:rPr>
        <w:t>年度</w:t>
      </w:r>
      <w:r>
        <w:rPr>
          <w:rFonts w:hint="eastAsia" w:ascii="仿宋_GB2312" w:hAnsi="Malgun Gothic Semilight" w:eastAsia="仿宋_GB2312" w:cs="Malgun Gothic Semilight"/>
          <w:color w:val="auto"/>
          <w:kern w:val="0"/>
          <w:sz w:val="36"/>
          <w:szCs w:val="36"/>
          <w:highlight w:val="none"/>
        </w:rPr>
        <w:t>）</w:t>
      </w: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hint="eastAsia"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spacing w:line="600" w:lineRule="exact"/>
        <w:ind w:firstLine="640"/>
        <w:rPr>
          <w:rFonts w:hint="default" w:ascii="黑体" w:hAnsi="黑体" w:eastAsia="黑体" w:cs="黑体"/>
          <w:bCs/>
          <w:color w:val="auto"/>
          <w:sz w:val="32"/>
          <w:szCs w:val="32"/>
          <w:highlight w:val="none"/>
          <w:lang w:val="en-US" w:eastAsia="zh-CN"/>
        </w:rPr>
      </w:pPr>
      <w:r>
        <w:rPr>
          <w:rFonts w:hint="eastAsia" w:ascii="黑体" w:hAnsi="黑体" w:eastAsia="黑体" w:cs="黑体"/>
          <w:bCs/>
          <w:color w:val="auto"/>
          <w:sz w:val="32"/>
          <w:szCs w:val="32"/>
          <w:highlight w:val="none"/>
        </w:rPr>
        <w:t>部门单位名称（公章）：</w:t>
      </w:r>
      <w:r>
        <w:rPr>
          <w:rFonts w:hint="eastAsia" w:ascii="黑体" w:hAnsi="黑体" w:eastAsia="黑体" w:cs="黑体"/>
          <w:bCs/>
          <w:color w:val="auto"/>
          <w:sz w:val="32"/>
          <w:szCs w:val="32"/>
          <w:highlight w:val="none"/>
          <w:lang w:val="en-US" w:eastAsia="zh-CN"/>
        </w:rPr>
        <w:t>沙湾市水利管理站</w:t>
      </w:r>
    </w:p>
    <w:p>
      <w:pPr>
        <w:spacing w:line="600" w:lineRule="exact"/>
        <w:ind w:firstLine="640"/>
        <w:rPr>
          <w:rFonts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填报时间：</w:t>
      </w:r>
      <w:r>
        <w:rPr>
          <w:rFonts w:hint="eastAsia" w:ascii="黑体" w:hAnsi="黑体" w:eastAsia="黑体" w:cs="黑体"/>
          <w:bCs/>
          <w:color w:val="auto"/>
          <w:sz w:val="32"/>
          <w:szCs w:val="32"/>
          <w:highlight w:val="none"/>
          <w:lang w:val="en-US" w:eastAsia="zh-CN"/>
        </w:rPr>
        <w:t>2024</w:t>
      </w:r>
      <w:r>
        <w:rPr>
          <w:rFonts w:hint="eastAsia" w:ascii="黑体" w:hAnsi="黑体" w:eastAsia="黑体" w:cs="黑体"/>
          <w:bCs/>
          <w:color w:val="auto"/>
          <w:sz w:val="32"/>
          <w:szCs w:val="32"/>
          <w:highlight w:val="none"/>
        </w:rPr>
        <w:t>年</w:t>
      </w:r>
      <w:r>
        <w:rPr>
          <w:rFonts w:hint="eastAsia" w:ascii="黑体" w:hAnsi="黑体" w:eastAsia="黑体" w:cs="黑体"/>
          <w:bCs/>
          <w:color w:val="auto"/>
          <w:sz w:val="32"/>
          <w:szCs w:val="32"/>
          <w:highlight w:val="none"/>
          <w:lang w:val="en-US" w:eastAsia="zh-CN"/>
        </w:rPr>
        <w:t>03</w:t>
      </w:r>
      <w:r>
        <w:rPr>
          <w:rFonts w:hint="eastAsia" w:ascii="黑体" w:hAnsi="黑体" w:eastAsia="黑体" w:cs="黑体"/>
          <w:bCs/>
          <w:color w:val="auto"/>
          <w:sz w:val="32"/>
          <w:szCs w:val="32"/>
          <w:highlight w:val="none"/>
        </w:rPr>
        <w:t>月</w:t>
      </w:r>
      <w:r>
        <w:rPr>
          <w:rFonts w:hint="eastAsia" w:ascii="黑体" w:hAnsi="黑体" w:eastAsia="黑体" w:cs="黑体"/>
          <w:bCs/>
          <w:color w:val="auto"/>
          <w:sz w:val="32"/>
          <w:szCs w:val="32"/>
          <w:highlight w:val="none"/>
          <w:lang w:val="en-US" w:eastAsia="zh-CN"/>
        </w:rPr>
        <w:t>12</w:t>
      </w:r>
      <w:r>
        <w:rPr>
          <w:rFonts w:hint="eastAsia" w:ascii="黑体" w:hAnsi="黑体" w:eastAsia="黑体" w:cs="黑体"/>
          <w:bCs/>
          <w:color w:val="auto"/>
          <w:sz w:val="32"/>
          <w:szCs w:val="32"/>
          <w:highlight w:val="none"/>
        </w:rPr>
        <w:t>日</w:t>
      </w:r>
    </w:p>
    <w:p>
      <w:pPr>
        <w:adjustRightInd w:val="0"/>
        <w:snapToGrid w:val="0"/>
        <w:ind w:firstLine="643"/>
        <w:rPr>
          <w:rFonts w:hint="eastAsia" w:ascii="仿宋_GB2312" w:eastAsia="仿宋_GB2312"/>
          <w:b/>
          <w:bCs/>
          <w:color w:val="auto"/>
          <w:sz w:val="32"/>
          <w:szCs w:val="32"/>
          <w:highlight w:val="none"/>
        </w:rPr>
      </w:pPr>
    </w:p>
    <w:p>
      <w:pPr>
        <w:pStyle w:val="3"/>
        <w:spacing w:line="570" w:lineRule="exact"/>
        <w:ind w:firstLine="643"/>
        <w:rPr>
          <w:rStyle w:val="14"/>
          <w:rFonts w:ascii="黑体" w:hAnsi="黑体" w:cs="仿宋_GB2312"/>
          <w:b/>
          <w:bCs w:val="0"/>
          <w:color w:val="auto"/>
          <w:kern w:val="2"/>
          <w:sz w:val="32"/>
          <w:szCs w:val="32"/>
          <w:highlight w:val="none"/>
          <w:lang w:eastAsia="zh-Hans" w:bidi="ar"/>
        </w:rPr>
      </w:pPr>
      <w:r>
        <w:rPr>
          <w:rStyle w:val="14"/>
          <w:rFonts w:hint="eastAsia" w:ascii="黑体" w:hAnsi="黑体" w:cs="仿宋_GB2312"/>
          <w:b/>
          <w:bCs w:val="0"/>
          <w:color w:val="auto"/>
          <w:kern w:val="2"/>
          <w:sz w:val="32"/>
          <w:szCs w:val="32"/>
          <w:highlight w:val="none"/>
          <w:lang w:eastAsia="zh-Hans" w:bidi="ar"/>
        </w:rPr>
        <w:t>一、基本概况</w:t>
      </w:r>
    </w:p>
    <w:p>
      <w:pPr>
        <w:pStyle w:val="4"/>
        <w:spacing w:line="57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w:t>
      </w:r>
      <w:r>
        <w:rPr>
          <w:rFonts w:hint="eastAsia" w:ascii="楷体_GB2312" w:eastAsia="楷体_GB2312"/>
          <w:color w:val="auto"/>
          <w:szCs w:val="32"/>
          <w:highlight w:val="none"/>
          <w:lang w:val="en-US" w:eastAsia="zh-CN"/>
        </w:rPr>
        <w:t>部门</w:t>
      </w:r>
      <w:r>
        <w:rPr>
          <w:rFonts w:hint="eastAsia" w:ascii="楷体_GB2312" w:eastAsia="楷体_GB2312"/>
          <w:color w:val="auto"/>
          <w:szCs w:val="32"/>
          <w:highlight w:val="none"/>
        </w:rPr>
        <w:t>单位基本情况</w:t>
      </w:r>
    </w:p>
    <w:p>
      <w:pPr>
        <w:bidi w:val="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1.部门主要职能</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1.主要职能</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（1）负责保障水资源的合理开发利用。</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（2）负责防洪论证制度；指导水利行业供水和乡镇供水工作。</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（3）负责水利设施、河系及其堤坝线的管理与保护。</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（4）负责水利行业安全生产工作，组织、指导水库及大坝的安全监管，负责水利水电工程质量监督管理，指导水利建设</w:t>
      </w:r>
      <w:r>
        <w:rPr>
          <w:rStyle w:val="14"/>
          <w:rFonts w:hint="eastAsia" w:ascii="仿宋_GB2312" w:hAnsi="仿宋_GB2312" w:eastAsia="仿宋_GB2312" w:cs="仿宋_GB2312"/>
          <w:b w:val="0"/>
          <w:color w:val="auto"/>
          <w:sz w:val="32"/>
          <w:szCs w:val="32"/>
          <w:highlight w:val="none"/>
          <w:lang w:eastAsia="zh-CN" w:bidi="ar"/>
        </w:rPr>
        <w:t>市</w:t>
      </w:r>
      <w:r>
        <w:rPr>
          <w:rStyle w:val="14"/>
          <w:rFonts w:hint="eastAsia" w:ascii="仿宋_GB2312" w:hAnsi="仿宋_GB2312" w:eastAsia="仿宋_GB2312" w:cs="仿宋_GB2312"/>
          <w:b w:val="0"/>
          <w:color w:val="auto"/>
          <w:sz w:val="32"/>
          <w:szCs w:val="32"/>
          <w:highlight w:val="none"/>
          <w:lang w:bidi="ar"/>
        </w:rPr>
        <w:t>场以及水利水电工程招标投标的监督管理工作，组织实施水利工程建设监督。</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 xml:space="preserve">（5）开展水利科技和对外合作工作。 </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（6）负责防治水旱灾害，组织、协调、监督、指导全</w:t>
      </w:r>
      <w:r>
        <w:rPr>
          <w:rStyle w:val="14"/>
          <w:rFonts w:hint="eastAsia" w:ascii="仿宋_GB2312" w:hAnsi="仿宋_GB2312" w:eastAsia="仿宋_GB2312" w:cs="仿宋_GB2312"/>
          <w:b w:val="0"/>
          <w:color w:val="auto"/>
          <w:sz w:val="32"/>
          <w:szCs w:val="32"/>
          <w:highlight w:val="none"/>
          <w:lang w:eastAsia="zh-CN" w:bidi="ar"/>
        </w:rPr>
        <w:t>市</w:t>
      </w:r>
      <w:r>
        <w:rPr>
          <w:rStyle w:val="14"/>
          <w:rFonts w:hint="eastAsia" w:ascii="仿宋_GB2312" w:hAnsi="仿宋_GB2312" w:eastAsia="仿宋_GB2312" w:cs="仿宋_GB2312"/>
          <w:b w:val="0"/>
          <w:color w:val="auto"/>
          <w:sz w:val="32"/>
          <w:szCs w:val="32"/>
          <w:highlight w:val="none"/>
          <w:lang w:bidi="ar"/>
        </w:rPr>
        <w:t>防汛抗旱工作。</w:t>
      </w:r>
    </w:p>
    <w:p>
      <w:pPr>
        <w:pStyle w:val="26"/>
        <w:snapToGrid w:val="0"/>
        <w:spacing w:line="540" w:lineRule="exact"/>
        <w:ind w:firstLine="640"/>
        <w:rPr>
          <w:rStyle w:val="14"/>
          <w:rFonts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（7）认真及时</w:t>
      </w:r>
      <w:r>
        <w:rPr>
          <w:rStyle w:val="14"/>
          <w:rFonts w:hint="eastAsia" w:ascii="仿宋_GB2312" w:hAnsi="仿宋_GB2312" w:eastAsia="仿宋_GB2312" w:cs="仿宋_GB2312"/>
          <w:b w:val="0"/>
          <w:color w:val="auto"/>
          <w:sz w:val="32"/>
          <w:szCs w:val="32"/>
          <w:highlight w:val="none"/>
          <w:lang w:val="en-US" w:eastAsia="zh-CN" w:bidi="ar"/>
        </w:rPr>
        <w:t>地</w:t>
      </w:r>
      <w:r>
        <w:rPr>
          <w:rStyle w:val="14"/>
          <w:rFonts w:hint="eastAsia" w:ascii="仿宋_GB2312" w:hAnsi="仿宋_GB2312" w:eastAsia="仿宋_GB2312" w:cs="仿宋_GB2312"/>
          <w:b w:val="0"/>
          <w:color w:val="auto"/>
          <w:sz w:val="32"/>
          <w:szCs w:val="32"/>
          <w:highlight w:val="none"/>
          <w:lang w:bidi="ar"/>
        </w:rPr>
        <w:t>执行完成</w:t>
      </w:r>
      <w:r>
        <w:rPr>
          <w:rStyle w:val="14"/>
          <w:rFonts w:hint="eastAsia" w:ascii="仿宋_GB2312" w:hAnsi="仿宋_GB2312" w:eastAsia="仿宋_GB2312" w:cs="仿宋_GB2312"/>
          <w:b w:val="0"/>
          <w:color w:val="auto"/>
          <w:sz w:val="32"/>
          <w:szCs w:val="32"/>
          <w:highlight w:val="none"/>
          <w:lang w:eastAsia="zh-CN" w:bidi="ar"/>
        </w:rPr>
        <w:t>市</w:t>
      </w:r>
      <w:r>
        <w:rPr>
          <w:rStyle w:val="14"/>
          <w:rFonts w:hint="eastAsia" w:ascii="仿宋_GB2312" w:hAnsi="仿宋_GB2312" w:eastAsia="仿宋_GB2312" w:cs="仿宋_GB2312"/>
          <w:b w:val="0"/>
          <w:color w:val="auto"/>
          <w:sz w:val="32"/>
          <w:szCs w:val="32"/>
          <w:highlight w:val="none"/>
          <w:lang w:bidi="ar"/>
        </w:rPr>
        <w:t>委</w:t>
      </w:r>
      <w:r>
        <w:rPr>
          <w:rStyle w:val="14"/>
          <w:rFonts w:hint="eastAsia" w:ascii="仿宋_GB2312" w:hAnsi="仿宋_GB2312" w:eastAsia="仿宋_GB2312" w:cs="仿宋_GB2312"/>
          <w:b w:val="0"/>
          <w:color w:val="auto"/>
          <w:sz w:val="32"/>
          <w:szCs w:val="32"/>
          <w:highlight w:val="none"/>
          <w:lang w:eastAsia="zh-CN" w:bidi="ar"/>
        </w:rPr>
        <w:t>、市</w:t>
      </w:r>
      <w:r>
        <w:rPr>
          <w:rStyle w:val="14"/>
          <w:rFonts w:hint="eastAsia" w:ascii="仿宋_GB2312" w:hAnsi="仿宋_GB2312" w:eastAsia="仿宋_GB2312" w:cs="仿宋_GB2312"/>
          <w:b w:val="0"/>
          <w:color w:val="auto"/>
          <w:sz w:val="32"/>
          <w:szCs w:val="32"/>
          <w:highlight w:val="none"/>
          <w:lang w:bidi="ar"/>
        </w:rPr>
        <w:t>政府、水利局及相关的上级部门下达的工作任务。</w:t>
      </w:r>
    </w:p>
    <w:p>
      <w:pPr>
        <w:bidi w:val="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2.部门机构设置及人员构成</w:t>
      </w:r>
    </w:p>
    <w:p>
      <w:pPr>
        <w:bidi w:val="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沙湾市水利管理站无下属单位</w:t>
      </w: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bidi="ar"/>
        </w:rPr>
        <w:t>下设下设 10个处室，分别是：金沟河水管站、头浮渠管理站、窝巴特水管所、东湾节水站、沙湾河管理站、柳树沟水库、千泉湖水库管理站、宁家河水库、小分地水库、大南沟渠首。</w:t>
      </w:r>
    </w:p>
    <w:p>
      <w:pPr>
        <w:bidi w:val="0"/>
        <w:rPr>
          <w:rFonts w:hint="eastAsia" w:ascii="仿宋_GB2312" w:hAnsi="仿宋_GB2312" w:eastAsia="仿宋_GB2312" w:cs="仿宋_GB2312"/>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bidi="ar"/>
        </w:rPr>
        <w:t>沙湾市水利管理站单位现有编制数125个。实有人数38</w:t>
      </w:r>
      <w:r>
        <w:rPr>
          <w:rStyle w:val="14"/>
          <w:rFonts w:hint="eastAsia" w:ascii="仿宋_GB2312" w:hAnsi="仿宋_GB2312" w:eastAsia="仿宋_GB2312" w:cs="仿宋_GB2312"/>
          <w:b w:val="0"/>
          <w:color w:val="auto"/>
          <w:sz w:val="32"/>
          <w:szCs w:val="32"/>
          <w:highlight w:val="none"/>
          <w:lang w:val="en-US" w:eastAsia="zh-CN" w:bidi="ar"/>
        </w:rPr>
        <w:t>4</w:t>
      </w:r>
      <w:r>
        <w:rPr>
          <w:rStyle w:val="14"/>
          <w:rFonts w:hint="eastAsia" w:ascii="仿宋_GB2312" w:hAnsi="仿宋_GB2312" w:eastAsia="仿宋_GB2312" w:cs="仿宋_GB2312"/>
          <w:b w:val="0"/>
          <w:color w:val="auto"/>
          <w:sz w:val="32"/>
          <w:szCs w:val="32"/>
          <w:highlight w:val="none"/>
          <w:lang w:bidi="ar"/>
        </w:rPr>
        <w:t>人，其中：在职15</w:t>
      </w:r>
      <w:r>
        <w:rPr>
          <w:rStyle w:val="14"/>
          <w:rFonts w:hint="eastAsia" w:ascii="仿宋_GB2312" w:hAnsi="仿宋_GB2312" w:eastAsia="仿宋_GB2312" w:cs="仿宋_GB2312"/>
          <w:b w:val="0"/>
          <w:color w:val="auto"/>
          <w:sz w:val="32"/>
          <w:szCs w:val="32"/>
          <w:highlight w:val="none"/>
          <w:lang w:val="en-US" w:eastAsia="zh-CN" w:bidi="ar"/>
        </w:rPr>
        <w:t>3</w:t>
      </w:r>
      <w:r>
        <w:rPr>
          <w:rStyle w:val="14"/>
          <w:rFonts w:hint="eastAsia" w:ascii="仿宋_GB2312" w:hAnsi="仿宋_GB2312" w:eastAsia="仿宋_GB2312" w:cs="仿宋_GB2312"/>
          <w:b w:val="0"/>
          <w:color w:val="auto"/>
          <w:sz w:val="32"/>
          <w:szCs w:val="32"/>
          <w:highlight w:val="none"/>
          <w:lang w:bidi="ar"/>
        </w:rPr>
        <w:t>人，比上年</w:t>
      </w:r>
      <w:r>
        <w:rPr>
          <w:rStyle w:val="14"/>
          <w:rFonts w:hint="eastAsia" w:ascii="仿宋_GB2312" w:hAnsi="仿宋_GB2312" w:eastAsia="仿宋_GB2312" w:cs="仿宋_GB2312"/>
          <w:b w:val="0"/>
          <w:color w:val="auto"/>
          <w:sz w:val="32"/>
          <w:szCs w:val="32"/>
          <w:highlight w:val="none"/>
          <w:lang w:val="en-US" w:eastAsia="zh-CN" w:bidi="ar"/>
        </w:rPr>
        <w:t>增加3</w:t>
      </w:r>
      <w:r>
        <w:rPr>
          <w:rStyle w:val="14"/>
          <w:rFonts w:hint="eastAsia" w:ascii="仿宋_GB2312" w:hAnsi="仿宋_GB2312" w:eastAsia="仿宋_GB2312" w:cs="仿宋_GB2312"/>
          <w:b w:val="0"/>
          <w:color w:val="auto"/>
          <w:sz w:val="32"/>
          <w:szCs w:val="32"/>
          <w:highlight w:val="none"/>
          <w:lang w:bidi="ar"/>
        </w:rPr>
        <w:t>人；退休231人，比上年减少</w:t>
      </w:r>
      <w:r>
        <w:rPr>
          <w:rStyle w:val="14"/>
          <w:rFonts w:hint="eastAsia" w:ascii="仿宋_GB2312" w:hAnsi="仿宋_GB2312" w:eastAsia="仿宋_GB2312" w:cs="仿宋_GB2312"/>
          <w:b w:val="0"/>
          <w:color w:val="auto"/>
          <w:sz w:val="32"/>
          <w:szCs w:val="32"/>
          <w:highlight w:val="none"/>
          <w:lang w:val="en-US" w:eastAsia="zh-CN" w:bidi="ar"/>
        </w:rPr>
        <w:t>3</w:t>
      </w:r>
      <w:r>
        <w:rPr>
          <w:rStyle w:val="14"/>
          <w:rFonts w:hint="eastAsia" w:ascii="仿宋_GB2312" w:hAnsi="仿宋_GB2312" w:eastAsia="仿宋_GB2312" w:cs="仿宋_GB2312"/>
          <w:b w:val="0"/>
          <w:color w:val="auto"/>
          <w:sz w:val="32"/>
          <w:szCs w:val="32"/>
          <w:highlight w:val="none"/>
          <w:lang w:bidi="ar"/>
        </w:rPr>
        <w:t>人。</w:t>
      </w:r>
    </w:p>
    <w:p>
      <w:pPr>
        <w:pStyle w:val="4"/>
        <w:numPr>
          <w:ilvl w:val="0"/>
          <w:numId w:val="1"/>
        </w:numPr>
        <w:spacing w:line="570" w:lineRule="exact"/>
        <w:ind w:firstLine="643"/>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部门</w:t>
      </w:r>
      <w:r>
        <w:rPr>
          <w:rFonts w:hint="eastAsia" w:ascii="楷体_GB2312" w:eastAsia="楷体_GB2312"/>
          <w:color w:val="auto"/>
          <w:szCs w:val="32"/>
          <w:highlight w:val="none"/>
        </w:rPr>
        <w:t>单位</w:t>
      </w:r>
      <w:r>
        <w:rPr>
          <w:rFonts w:hint="eastAsia" w:ascii="楷体_GB2312" w:eastAsia="楷体_GB2312"/>
          <w:color w:val="auto"/>
          <w:szCs w:val="32"/>
          <w:highlight w:val="none"/>
          <w:lang w:val="en-US" w:eastAsia="zh-CN"/>
        </w:rPr>
        <w:t>年度重点工作</w:t>
      </w:r>
    </w:p>
    <w:p>
      <w:pPr>
        <w:bidi w:val="0"/>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1.年度工作计划</w:t>
      </w:r>
    </w:p>
    <w:p>
      <w:pPr>
        <w:pStyle w:val="16"/>
        <w:numPr>
          <w:ilvl w:val="0"/>
          <w:numId w:val="0"/>
        </w:numPr>
        <w:snapToGrid w:val="0"/>
        <w:spacing w:line="570" w:lineRule="exact"/>
        <w:ind w:firstLine="640" w:firstLineChars="200"/>
        <w:rPr>
          <w:rStyle w:val="14"/>
          <w:rFonts w:hint="eastAsia" w:ascii="仿宋_GB2312" w:hAnsi="仿宋_GB2312" w:eastAsia="仿宋_GB2312" w:cs="仿宋_GB2312"/>
          <w:b w:val="0"/>
          <w:color w:val="auto"/>
          <w:sz w:val="32"/>
          <w:szCs w:val="32"/>
          <w:highlight w:val="none"/>
          <w:lang w:eastAsia="zh-CN" w:bidi="ar"/>
        </w:rPr>
      </w:pPr>
      <w:r>
        <w:rPr>
          <w:rStyle w:val="14"/>
          <w:rFonts w:hint="eastAsia" w:ascii="仿宋_GB2312" w:hAnsi="仿宋_GB2312" w:eastAsia="仿宋_GB2312" w:cs="仿宋_GB2312"/>
          <w:b w:val="0"/>
          <w:color w:val="auto"/>
          <w:sz w:val="32"/>
          <w:szCs w:val="32"/>
          <w:highlight w:val="none"/>
          <w:lang w:eastAsia="zh-Hans" w:bidi="ar"/>
        </w:rPr>
        <w:t>一是全面落实以行政“一把手”负责制为核心的防汛抗旱责任制，进一步完善防汛度汛预案，积极与气象、水文部门沟通协作，及时掌握水、雨情，为科学防洪调度提供第一手依据</w:t>
      </w:r>
      <w:r>
        <w:rPr>
          <w:rStyle w:val="14"/>
          <w:rFonts w:hint="eastAsia" w:ascii="仿宋_GB2312" w:hAnsi="仿宋_GB2312" w:eastAsia="仿宋_GB2312" w:cs="仿宋_GB2312"/>
          <w:b w:val="0"/>
          <w:color w:val="auto"/>
          <w:sz w:val="32"/>
          <w:szCs w:val="32"/>
          <w:highlight w:val="none"/>
          <w:lang w:eastAsia="zh-CN" w:bidi="ar"/>
        </w:rPr>
        <w:t>。</w:t>
      </w:r>
    </w:p>
    <w:p>
      <w:pPr>
        <w:pStyle w:val="16"/>
        <w:numPr>
          <w:ilvl w:val="0"/>
          <w:numId w:val="0"/>
        </w:numPr>
        <w:snapToGrid w:val="0"/>
        <w:spacing w:line="570" w:lineRule="exact"/>
        <w:ind w:firstLine="640" w:firstLineChars="200"/>
        <w:rPr>
          <w:rStyle w:val="14"/>
          <w:rFonts w:hint="eastAsia" w:ascii="仿宋_GB2312" w:hAnsi="仿宋_GB2312" w:eastAsia="仿宋_GB2312" w:cs="仿宋_GB2312"/>
          <w:b w:val="0"/>
          <w:color w:val="auto"/>
          <w:sz w:val="32"/>
          <w:szCs w:val="32"/>
          <w:highlight w:val="none"/>
          <w:lang w:eastAsia="zh-CN" w:bidi="ar"/>
        </w:rPr>
      </w:pPr>
      <w:r>
        <w:rPr>
          <w:rStyle w:val="14"/>
          <w:rFonts w:hint="eastAsia" w:ascii="仿宋_GB2312" w:hAnsi="仿宋_GB2312" w:eastAsia="仿宋_GB2312" w:cs="仿宋_GB2312"/>
          <w:b w:val="0"/>
          <w:color w:val="auto"/>
          <w:sz w:val="32"/>
          <w:szCs w:val="32"/>
          <w:highlight w:val="none"/>
          <w:lang w:eastAsia="zh-Hans" w:bidi="ar"/>
        </w:rPr>
        <w:t>二是加强水库安全运行管理，加强与各流域管理单位联系，及早做好防汛抗旱各项准备工作，对水库及易洪易灾部位加强巡查，及时消除各类安全隐患</w:t>
      </w:r>
      <w:r>
        <w:rPr>
          <w:rStyle w:val="14"/>
          <w:rFonts w:hint="eastAsia" w:ascii="仿宋_GB2312" w:hAnsi="仿宋_GB2312" w:eastAsia="仿宋_GB2312" w:cs="仿宋_GB2312"/>
          <w:b w:val="0"/>
          <w:color w:val="auto"/>
          <w:sz w:val="32"/>
          <w:szCs w:val="32"/>
          <w:highlight w:val="none"/>
          <w:lang w:eastAsia="zh-CN" w:bidi="ar"/>
        </w:rPr>
        <w:t>。</w:t>
      </w:r>
    </w:p>
    <w:p>
      <w:pPr>
        <w:pStyle w:val="16"/>
        <w:numPr>
          <w:ilvl w:val="0"/>
          <w:numId w:val="0"/>
        </w:numPr>
        <w:snapToGrid w:val="0"/>
        <w:spacing w:line="570" w:lineRule="exact"/>
        <w:ind w:firstLine="640" w:firstLineChars="200"/>
        <w:rPr>
          <w:rStyle w:val="14"/>
          <w:rFonts w:hint="eastAsia" w:ascii="仿宋_GB2312" w:hAnsi="仿宋_GB2312" w:eastAsia="仿宋_GB2312" w:cs="仿宋_GB2312"/>
          <w:b w:val="0"/>
          <w:color w:val="auto"/>
          <w:sz w:val="32"/>
          <w:szCs w:val="32"/>
          <w:highlight w:val="none"/>
          <w:lang w:eastAsia="zh-CN" w:bidi="ar"/>
        </w:rPr>
      </w:pPr>
      <w:r>
        <w:rPr>
          <w:rStyle w:val="14"/>
          <w:rFonts w:hint="eastAsia" w:ascii="仿宋_GB2312" w:hAnsi="仿宋_GB2312" w:eastAsia="仿宋_GB2312" w:cs="仿宋_GB2312"/>
          <w:b w:val="0"/>
          <w:color w:val="auto"/>
          <w:sz w:val="32"/>
          <w:szCs w:val="32"/>
          <w:highlight w:val="none"/>
          <w:lang w:eastAsia="zh-Hans" w:bidi="ar"/>
        </w:rPr>
        <w:t>三是结合河长制工作，加强河道清淤清障工作，做到防汛物资储备、机械准备到位，落实防汛抢险、防汛值班等防汛措施，充分发挥山洪灾害预警平台作用，坚持依法防洪、科学防洪，确保我市安全度汛</w:t>
      </w:r>
      <w:r>
        <w:rPr>
          <w:rStyle w:val="14"/>
          <w:rFonts w:hint="eastAsia" w:ascii="仿宋_GB2312" w:hAnsi="仿宋_GB2312" w:eastAsia="仿宋_GB2312" w:cs="仿宋_GB2312"/>
          <w:b w:val="0"/>
          <w:color w:val="auto"/>
          <w:sz w:val="32"/>
          <w:szCs w:val="32"/>
          <w:highlight w:val="none"/>
          <w:lang w:eastAsia="zh-CN" w:bidi="ar"/>
        </w:rPr>
        <w:t>。</w:t>
      </w:r>
    </w:p>
    <w:p>
      <w:pPr>
        <w:pStyle w:val="16"/>
        <w:numPr>
          <w:ilvl w:val="0"/>
          <w:numId w:val="0"/>
        </w:numPr>
        <w:snapToGrid w:val="0"/>
        <w:spacing w:line="570" w:lineRule="exact"/>
        <w:ind w:firstLine="640" w:firstLineChars="200"/>
        <w:rPr>
          <w:rStyle w:val="14"/>
          <w:rFonts w:hint="eastAsia" w:ascii="仿宋_GB2312" w:hAnsi="仿宋_GB2312" w:eastAsia="仿宋_GB2312" w:cs="仿宋_GB2312"/>
          <w:b w:val="0"/>
          <w:color w:val="auto"/>
          <w:sz w:val="32"/>
          <w:szCs w:val="32"/>
          <w:highlight w:val="none"/>
          <w:lang w:eastAsia="zh-CN" w:bidi="ar"/>
        </w:rPr>
      </w:pPr>
      <w:r>
        <w:rPr>
          <w:rStyle w:val="14"/>
          <w:rFonts w:hint="eastAsia" w:ascii="仿宋_GB2312" w:hAnsi="仿宋_GB2312" w:eastAsia="仿宋_GB2312" w:cs="仿宋_GB2312"/>
          <w:b w:val="0"/>
          <w:color w:val="auto"/>
          <w:sz w:val="32"/>
          <w:szCs w:val="32"/>
          <w:highlight w:val="none"/>
          <w:lang w:eastAsia="zh-Hans" w:bidi="ar"/>
        </w:rPr>
        <w:t>四是认真落实好2023年维修项目工程，加强组织领导，充分结合辖区小型水库工程状况，提前统筹、谋划好下一年维修养护项目内容，同时，做好与项目设计单位沟通，按照工作程序要求，编制小型水库维修养护工程实施方案</w:t>
      </w:r>
      <w:r>
        <w:rPr>
          <w:rStyle w:val="14"/>
          <w:rFonts w:hint="eastAsia" w:ascii="仿宋_GB2312" w:hAnsi="仿宋_GB2312" w:eastAsia="仿宋_GB2312" w:cs="仿宋_GB2312"/>
          <w:b w:val="0"/>
          <w:color w:val="auto"/>
          <w:sz w:val="32"/>
          <w:szCs w:val="32"/>
          <w:highlight w:val="none"/>
          <w:lang w:eastAsia="zh-CN" w:bidi="ar"/>
        </w:rPr>
        <w:t>。</w:t>
      </w:r>
    </w:p>
    <w:p>
      <w:pPr>
        <w:pStyle w:val="16"/>
        <w:numPr>
          <w:ilvl w:val="0"/>
          <w:numId w:val="0"/>
        </w:numPr>
        <w:snapToGrid w:val="0"/>
        <w:spacing w:line="570" w:lineRule="exact"/>
        <w:ind w:firstLine="640" w:firstLineChars="200"/>
        <w:rPr>
          <w:rStyle w:val="14"/>
          <w:rFonts w:hint="eastAsia"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eastAsia="zh-Hans" w:bidi="ar"/>
        </w:rPr>
        <w:t>五是积极争取财政资金，抓紧修复各类水毁灾损水利设施，确保灌溉用水需求和汛期安全。</w:t>
      </w:r>
    </w:p>
    <w:p>
      <w:pPr>
        <w:bidi w:val="0"/>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2.年度总体绩效目标</w:t>
      </w:r>
    </w:p>
    <w:p>
      <w:pPr>
        <w:bidi w:val="0"/>
        <w:rPr>
          <w:rStyle w:val="14"/>
          <w:rFonts w:hint="eastAsia"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val="en-US" w:eastAsia="zh-CN" w:bidi="ar"/>
        </w:rPr>
        <w:t>确保水库正常运行，最大限度发挥有限财政资金的作用，保障水资源的合理开发利用，指导水利行业供水和乡镇供水工作，保障水利设施、河系及其堤坝线的管理与保护，负责水利行业安全生产工作，组织、指导水库及大坝的安全监管，认真对水利水电工程质量进行监督管理，指导水利建设市场以及水利水电工程招标投标的监督管理工作，组织实施水利工程建设监督，开展水利科技和对外合作工作，防治水旱灾害，组织、协调、监督、指导全市防汛抗旱工作，同时认真及时的执行完成市委市政府、水利局及相关的上级部门下达的工作任务。</w:t>
      </w:r>
    </w:p>
    <w:p>
      <w:pPr>
        <w:bidi w:val="0"/>
        <w:rPr>
          <w:rFonts w:hint="eastAsia" w:ascii="仿宋_GB2312" w:hAnsi="仿宋_GB2312" w:eastAsia="仿宋_GB2312" w:cs="仿宋_GB2312"/>
          <w:b/>
          <w:bCs/>
          <w:color w:val="auto"/>
          <w:sz w:val="32"/>
          <w:szCs w:val="32"/>
          <w:highlight w:val="none"/>
          <w:lang w:val="en-US" w:eastAsia="zh-Hans"/>
        </w:rPr>
      </w:pPr>
      <w:r>
        <w:rPr>
          <w:rFonts w:hint="eastAsia" w:ascii="仿宋_GB2312" w:hAnsi="仿宋_GB2312" w:eastAsia="仿宋_GB2312" w:cs="仿宋_GB2312"/>
          <w:b/>
          <w:bCs/>
          <w:color w:val="auto"/>
          <w:sz w:val="32"/>
          <w:szCs w:val="32"/>
          <w:highlight w:val="none"/>
          <w:lang w:val="en-US" w:eastAsia="zh-CN"/>
        </w:rPr>
        <w:t>3.机构人员保障情况</w:t>
      </w:r>
    </w:p>
    <w:p>
      <w:pPr>
        <w:pageBreakBefore w:val="0"/>
        <w:kinsoku/>
        <w:wordWrap/>
        <w:overflowPunct/>
        <w:topLinePunct w:val="0"/>
        <w:autoSpaceDE/>
        <w:autoSpaceDN/>
        <w:bidi w:val="0"/>
        <w:snapToGrid w:val="0"/>
        <w:spacing w:line="560" w:lineRule="exact"/>
        <w:ind w:firstLine="640" w:firstLineChars="200"/>
        <w:textAlignment w:val="auto"/>
        <w:rPr>
          <w:rStyle w:val="14"/>
          <w:rFonts w:hint="eastAsia" w:ascii="仿宋" w:hAnsi="仿宋" w:eastAsia="仿宋" w:cs="仿宋"/>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val="en-US" w:eastAsia="zh-CN" w:bidi="ar"/>
        </w:rPr>
        <w:t>沙湾市水利管理站2023年通过本部门预算支出，</w:t>
      </w:r>
      <w:r>
        <w:rPr>
          <w:rStyle w:val="14"/>
          <w:rFonts w:hint="eastAsia" w:ascii="仿宋_GB2312" w:hAnsi="仿宋_GB2312" w:eastAsia="仿宋_GB2312" w:cs="仿宋_GB2312"/>
          <w:b w:val="0"/>
          <w:color w:val="auto"/>
          <w:sz w:val="32"/>
          <w:szCs w:val="32"/>
          <w:highlight w:val="none"/>
          <w:lang w:eastAsia="zh-Hans" w:bidi="ar"/>
        </w:rPr>
        <w:t>确保</w:t>
      </w:r>
      <w:r>
        <w:rPr>
          <w:rStyle w:val="14"/>
          <w:rFonts w:hint="eastAsia" w:ascii="仿宋_GB2312" w:hAnsi="仿宋_GB2312" w:eastAsia="仿宋_GB2312" w:cs="仿宋_GB2312"/>
          <w:b w:val="0"/>
          <w:color w:val="auto"/>
          <w:sz w:val="32"/>
          <w:szCs w:val="32"/>
          <w:highlight w:val="none"/>
          <w:lang w:val="en-US" w:eastAsia="zh-CN" w:bidi="ar"/>
        </w:rPr>
        <w:t>了153名</w:t>
      </w:r>
      <w:r>
        <w:rPr>
          <w:rStyle w:val="14"/>
          <w:rFonts w:hint="eastAsia" w:ascii="仿宋_GB2312" w:hAnsi="仿宋_GB2312" w:eastAsia="仿宋_GB2312" w:cs="仿宋_GB2312"/>
          <w:b w:val="0"/>
          <w:color w:val="auto"/>
          <w:sz w:val="32"/>
          <w:szCs w:val="32"/>
          <w:highlight w:val="none"/>
          <w:lang w:eastAsia="zh-Hans" w:bidi="ar"/>
        </w:rPr>
        <w:t>在职人员的工资、津贴、补贴、社保、绩效、公积金等以及</w:t>
      </w:r>
      <w:r>
        <w:rPr>
          <w:rStyle w:val="14"/>
          <w:rFonts w:hint="eastAsia" w:ascii="仿宋_GB2312" w:hAnsi="仿宋_GB2312" w:eastAsia="仿宋_GB2312" w:cs="仿宋_GB2312"/>
          <w:b w:val="0"/>
          <w:color w:val="auto"/>
          <w:sz w:val="32"/>
          <w:szCs w:val="32"/>
          <w:highlight w:val="none"/>
          <w:lang w:val="en-US" w:eastAsia="zh-CN" w:bidi="ar"/>
        </w:rPr>
        <w:t>231名</w:t>
      </w:r>
      <w:r>
        <w:rPr>
          <w:rStyle w:val="14"/>
          <w:rFonts w:hint="eastAsia" w:ascii="仿宋_GB2312" w:hAnsi="仿宋_GB2312" w:eastAsia="仿宋_GB2312" w:cs="仿宋_GB2312"/>
          <w:b w:val="0"/>
          <w:color w:val="auto"/>
          <w:sz w:val="32"/>
          <w:szCs w:val="32"/>
          <w:highlight w:val="none"/>
          <w:lang w:eastAsia="zh-Hans" w:bidi="ar"/>
        </w:rPr>
        <w:t>离退休人员的工资、医疗费等人员保障性经费能够依规、按时、足额发放或缴纳，提升部门人员工作积极性和服务质量。</w:t>
      </w:r>
      <w:r>
        <w:rPr>
          <w:rStyle w:val="14"/>
          <w:rFonts w:hint="eastAsia" w:ascii="仿宋_GB2312" w:hAnsi="仿宋_GB2312" w:eastAsia="仿宋_GB2312" w:cs="仿宋_GB2312"/>
          <w:b w:val="0"/>
          <w:color w:val="auto"/>
          <w:sz w:val="32"/>
          <w:szCs w:val="32"/>
          <w:highlight w:val="none"/>
          <w:lang w:val="en-US" w:eastAsia="zh-CN" w:bidi="ar"/>
        </w:rPr>
        <w:t>同时，</w:t>
      </w:r>
      <w:r>
        <w:rPr>
          <w:rStyle w:val="14"/>
          <w:rFonts w:hint="eastAsia" w:ascii="仿宋_GB2312" w:hAnsi="仿宋_GB2312" w:eastAsia="仿宋_GB2312" w:cs="仿宋_GB2312"/>
          <w:b w:val="0"/>
          <w:color w:val="auto"/>
          <w:sz w:val="32"/>
          <w:szCs w:val="32"/>
          <w:highlight w:val="none"/>
          <w:lang w:eastAsia="zh-Hans" w:bidi="ar"/>
        </w:rPr>
        <w:t>保障</w:t>
      </w:r>
      <w:r>
        <w:rPr>
          <w:rStyle w:val="14"/>
          <w:rFonts w:hint="eastAsia" w:ascii="仿宋_GB2312" w:hAnsi="仿宋_GB2312" w:eastAsia="仿宋_GB2312" w:cs="仿宋_GB2312"/>
          <w:b w:val="0"/>
          <w:color w:val="auto"/>
          <w:sz w:val="32"/>
          <w:szCs w:val="32"/>
          <w:highlight w:val="none"/>
          <w:lang w:val="en-US" w:eastAsia="zh-CN" w:bidi="ar"/>
        </w:rPr>
        <w:t>了</w:t>
      </w:r>
      <w:r>
        <w:rPr>
          <w:rStyle w:val="14"/>
          <w:rFonts w:hint="eastAsia" w:ascii="仿宋_GB2312" w:hAnsi="仿宋_GB2312" w:eastAsia="仿宋_GB2312" w:cs="仿宋_GB2312"/>
          <w:b w:val="0"/>
          <w:color w:val="auto"/>
          <w:sz w:val="32"/>
          <w:szCs w:val="32"/>
          <w:highlight w:val="none"/>
          <w:lang w:eastAsia="zh-Hans" w:bidi="ar"/>
        </w:rPr>
        <w:t>部门</w:t>
      </w:r>
      <w:r>
        <w:rPr>
          <w:rStyle w:val="14"/>
          <w:rFonts w:hint="eastAsia" w:ascii="仿宋_GB2312" w:hAnsi="仿宋_GB2312" w:eastAsia="仿宋_GB2312" w:cs="仿宋_GB2312"/>
          <w:b w:val="0"/>
          <w:color w:val="auto"/>
          <w:sz w:val="32"/>
          <w:szCs w:val="32"/>
          <w:highlight w:val="none"/>
          <w:lang w:val="en-US" w:eastAsia="zh-CN" w:bidi="ar"/>
        </w:rPr>
        <w:t>全年正</w:t>
      </w:r>
      <w:r>
        <w:rPr>
          <w:rStyle w:val="14"/>
          <w:rFonts w:hint="eastAsia" w:ascii="仿宋_GB2312" w:hAnsi="仿宋_GB2312" w:eastAsia="仿宋_GB2312" w:cs="仿宋_GB2312"/>
          <w:b w:val="0"/>
          <w:color w:val="auto"/>
          <w:sz w:val="32"/>
          <w:szCs w:val="32"/>
          <w:highlight w:val="none"/>
          <w:lang w:eastAsia="zh-Hans" w:bidi="ar"/>
        </w:rPr>
        <w:t>常运转，为部门正常履职和开展综合性事务管理提供有效支撑。</w:t>
      </w:r>
    </w:p>
    <w:p>
      <w:pPr>
        <w:pageBreakBefore w:val="0"/>
        <w:kinsoku/>
        <w:wordWrap/>
        <w:overflowPunct/>
        <w:topLinePunct w:val="0"/>
        <w:autoSpaceDE/>
        <w:autoSpaceDN/>
        <w:bidi w:val="0"/>
        <w:snapToGrid w:val="0"/>
        <w:spacing w:line="560" w:lineRule="exact"/>
        <w:ind w:firstLine="640" w:firstLineChars="200"/>
        <w:textAlignment w:val="auto"/>
        <w:rPr>
          <w:rStyle w:val="14"/>
          <w:rFonts w:ascii="仿宋" w:hAnsi="仿宋" w:eastAsia="仿宋" w:cs="仿宋"/>
          <w:b w:val="0"/>
          <w:color w:val="auto"/>
          <w:sz w:val="32"/>
          <w:szCs w:val="32"/>
          <w:highlight w:val="none"/>
          <w:lang w:bidi="ar"/>
        </w:rPr>
      </w:pPr>
      <w:r>
        <w:rPr>
          <w:rStyle w:val="14"/>
          <w:rFonts w:hint="eastAsia" w:ascii="仿宋" w:hAnsi="仿宋" w:eastAsia="仿宋" w:cs="仿宋"/>
          <w:b w:val="0"/>
          <w:color w:val="auto"/>
          <w:sz w:val="32"/>
          <w:szCs w:val="32"/>
          <w:highlight w:val="none"/>
          <w:lang w:bidi="ar"/>
        </w:rPr>
        <w:t>为进一步推进</w:t>
      </w:r>
      <w:r>
        <w:rPr>
          <w:rStyle w:val="14"/>
          <w:rFonts w:hint="eastAsia" w:ascii="仿宋" w:hAnsi="仿宋" w:eastAsia="仿宋" w:cs="仿宋"/>
          <w:b w:val="0"/>
          <w:color w:val="auto"/>
          <w:sz w:val="32"/>
          <w:szCs w:val="32"/>
          <w:highlight w:val="none"/>
          <w:lang w:eastAsia="zh-CN" w:bidi="ar"/>
        </w:rPr>
        <w:t>单位年度重点</w:t>
      </w:r>
      <w:r>
        <w:rPr>
          <w:rStyle w:val="14"/>
          <w:rFonts w:hint="eastAsia" w:ascii="仿宋" w:hAnsi="仿宋" w:eastAsia="仿宋" w:cs="仿宋"/>
          <w:b w:val="0"/>
          <w:color w:val="auto"/>
          <w:sz w:val="32"/>
          <w:szCs w:val="32"/>
          <w:highlight w:val="none"/>
          <w:lang w:bidi="ar"/>
        </w:rPr>
        <w:t>工作</w:t>
      </w:r>
      <w:r>
        <w:rPr>
          <w:rStyle w:val="14"/>
          <w:rFonts w:hint="eastAsia" w:ascii="仿宋" w:hAnsi="仿宋" w:eastAsia="仿宋" w:cs="仿宋"/>
          <w:b w:val="0"/>
          <w:color w:val="auto"/>
          <w:sz w:val="32"/>
          <w:szCs w:val="32"/>
          <w:highlight w:val="none"/>
          <w:lang w:eastAsia="zh-CN" w:bidi="ar"/>
        </w:rPr>
        <w:t>落地生效</w:t>
      </w:r>
      <w:r>
        <w:rPr>
          <w:rStyle w:val="14"/>
          <w:rFonts w:hint="eastAsia" w:ascii="仿宋" w:hAnsi="仿宋" w:eastAsia="仿宋" w:cs="仿宋"/>
          <w:b w:val="0"/>
          <w:color w:val="auto"/>
          <w:sz w:val="32"/>
          <w:szCs w:val="32"/>
          <w:highlight w:val="none"/>
          <w:lang w:bidi="ar"/>
        </w:rPr>
        <w:t>，</w:t>
      </w:r>
      <w:r>
        <w:rPr>
          <w:rStyle w:val="14"/>
          <w:rFonts w:hint="eastAsia" w:cs="仿宋"/>
          <w:b w:val="0"/>
          <w:color w:val="auto"/>
          <w:sz w:val="32"/>
          <w:szCs w:val="32"/>
          <w:highlight w:val="none"/>
          <w:lang w:val="en-US" w:eastAsia="zh-CN" w:bidi="ar"/>
        </w:rPr>
        <w:t>我</w:t>
      </w:r>
      <w:r>
        <w:rPr>
          <w:rStyle w:val="14"/>
          <w:rFonts w:hint="eastAsia" w:ascii="仿宋" w:hAnsi="仿宋" w:eastAsia="仿宋" w:cs="仿宋"/>
          <w:b w:val="0"/>
          <w:color w:val="auto"/>
          <w:sz w:val="32"/>
          <w:szCs w:val="32"/>
          <w:highlight w:val="none"/>
          <w:lang w:eastAsia="zh-CN" w:bidi="ar"/>
        </w:rPr>
        <w:t>单位</w:t>
      </w:r>
      <w:r>
        <w:rPr>
          <w:rStyle w:val="14"/>
          <w:rFonts w:hint="eastAsia" w:ascii="仿宋" w:hAnsi="仿宋" w:eastAsia="仿宋" w:cs="仿宋"/>
          <w:b w:val="0"/>
          <w:color w:val="auto"/>
          <w:sz w:val="32"/>
          <w:szCs w:val="32"/>
          <w:highlight w:val="none"/>
          <w:lang w:bidi="ar"/>
        </w:rPr>
        <w:t>成立了以</w:t>
      </w:r>
      <w:r>
        <w:rPr>
          <w:rStyle w:val="14"/>
          <w:rFonts w:hint="eastAsia" w:cs="仿宋"/>
          <w:b w:val="0"/>
          <w:color w:val="auto"/>
          <w:sz w:val="32"/>
          <w:szCs w:val="32"/>
          <w:highlight w:val="none"/>
          <w:lang w:val="en-US" w:eastAsia="zh-CN" w:bidi="ar"/>
        </w:rPr>
        <w:t>站长</w:t>
      </w:r>
      <w:r>
        <w:rPr>
          <w:rStyle w:val="14"/>
          <w:rFonts w:hint="eastAsia" w:ascii="仿宋" w:hAnsi="仿宋" w:eastAsia="仿宋" w:cs="仿宋"/>
          <w:b w:val="0"/>
          <w:color w:val="auto"/>
          <w:sz w:val="32"/>
          <w:szCs w:val="32"/>
          <w:highlight w:val="none"/>
          <w:lang w:bidi="ar"/>
        </w:rPr>
        <w:t>为组长、各副</w:t>
      </w:r>
      <w:r>
        <w:rPr>
          <w:rStyle w:val="14"/>
          <w:rFonts w:hint="eastAsia" w:cs="仿宋"/>
          <w:b w:val="0"/>
          <w:color w:val="auto"/>
          <w:sz w:val="32"/>
          <w:szCs w:val="32"/>
          <w:highlight w:val="none"/>
          <w:lang w:val="en-US" w:eastAsia="zh-CN" w:bidi="ar"/>
        </w:rPr>
        <w:t>站长</w:t>
      </w:r>
      <w:r>
        <w:rPr>
          <w:rStyle w:val="14"/>
          <w:rFonts w:hint="eastAsia" w:ascii="仿宋" w:hAnsi="仿宋" w:eastAsia="仿宋" w:cs="仿宋"/>
          <w:b w:val="0"/>
          <w:color w:val="auto"/>
          <w:sz w:val="32"/>
          <w:szCs w:val="32"/>
          <w:highlight w:val="none"/>
          <w:lang w:bidi="ar"/>
        </w:rPr>
        <w:t>为副组长，各业务股室和财务室为成员的重点工作小组，办公室设在</w:t>
      </w:r>
      <w:r>
        <w:rPr>
          <w:rStyle w:val="14"/>
          <w:rFonts w:hint="eastAsia" w:cs="仿宋"/>
          <w:b w:val="0"/>
          <w:color w:val="auto"/>
          <w:sz w:val="32"/>
          <w:szCs w:val="32"/>
          <w:highlight w:val="none"/>
          <w:lang w:val="en-US" w:eastAsia="zh-CN" w:bidi="ar"/>
        </w:rPr>
        <w:t>办公</w:t>
      </w:r>
      <w:r>
        <w:rPr>
          <w:rStyle w:val="14"/>
          <w:rFonts w:hint="eastAsia" w:ascii="仿宋" w:hAnsi="仿宋" w:eastAsia="仿宋" w:cs="仿宋"/>
          <w:b w:val="0"/>
          <w:color w:val="auto"/>
          <w:sz w:val="32"/>
          <w:szCs w:val="32"/>
          <w:highlight w:val="none"/>
          <w:lang w:bidi="ar"/>
        </w:rPr>
        <w:t>室，负责牵头完成</w:t>
      </w:r>
      <w:r>
        <w:rPr>
          <w:rStyle w:val="14"/>
          <w:rFonts w:hint="eastAsia" w:ascii="仿宋" w:hAnsi="仿宋" w:eastAsia="仿宋" w:cs="仿宋"/>
          <w:b w:val="0"/>
          <w:color w:val="auto"/>
          <w:sz w:val="32"/>
          <w:szCs w:val="32"/>
          <w:highlight w:val="none"/>
          <w:lang w:eastAsia="zh-CN" w:bidi="ar"/>
        </w:rPr>
        <w:t>年度</w:t>
      </w:r>
      <w:r>
        <w:rPr>
          <w:rStyle w:val="14"/>
          <w:rFonts w:hint="eastAsia" w:ascii="仿宋" w:hAnsi="仿宋" w:eastAsia="仿宋" w:cs="仿宋"/>
          <w:b w:val="0"/>
          <w:color w:val="auto"/>
          <w:sz w:val="32"/>
          <w:szCs w:val="32"/>
          <w:highlight w:val="none"/>
          <w:lang w:bidi="ar"/>
        </w:rPr>
        <w:t>重点工作。</w:t>
      </w:r>
    </w:p>
    <w:p>
      <w:pPr>
        <w:pageBreakBefore w:val="0"/>
        <w:kinsoku/>
        <w:wordWrap/>
        <w:overflowPunct/>
        <w:topLinePunct w:val="0"/>
        <w:autoSpaceDE/>
        <w:autoSpaceDN/>
        <w:bidi w:val="0"/>
        <w:snapToGrid w:val="0"/>
        <w:spacing w:line="560" w:lineRule="exact"/>
        <w:ind w:firstLine="640" w:firstLineChars="200"/>
        <w:textAlignment w:val="auto"/>
        <w:rPr>
          <w:rStyle w:val="14"/>
          <w:rFonts w:ascii="仿宋" w:hAnsi="仿宋" w:eastAsia="仿宋" w:cs="仿宋"/>
          <w:b w:val="0"/>
          <w:color w:val="auto"/>
          <w:sz w:val="32"/>
          <w:szCs w:val="32"/>
          <w:highlight w:val="none"/>
          <w:lang w:bidi="ar"/>
        </w:rPr>
      </w:pPr>
      <w:r>
        <w:rPr>
          <w:rStyle w:val="14"/>
          <w:rFonts w:hint="eastAsia" w:cs="仿宋"/>
          <w:b w:val="0"/>
          <w:color w:val="auto"/>
          <w:sz w:val="32"/>
          <w:szCs w:val="32"/>
          <w:highlight w:val="none"/>
          <w:lang w:val="en-US" w:eastAsia="zh-CN" w:bidi="ar"/>
        </w:rPr>
        <w:t>沙湾市水利管理站</w:t>
      </w:r>
      <w:r>
        <w:rPr>
          <w:rStyle w:val="14"/>
          <w:rFonts w:hint="eastAsia" w:ascii="仿宋" w:hAnsi="仿宋" w:eastAsia="仿宋" w:cs="仿宋"/>
          <w:b w:val="0"/>
          <w:color w:val="auto"/>
          <w:sz w:val="32"/>
          <w:szCs w:val="32"/>
          <w:highlight w:val="none"/>
          <w:lang w:bidi="ar"/>
        </w:rPr>
        <w:t>单位年度重点工作小组成员如下：</w:t>
      </w:r>
    </w:p>
    <w:p>
      <w:pPr>
        <w:pageBreakBefore w:val="0"/>
        <w:kinsoku/>
        <w:wordWrap/>
        <w:overflowPunct/>
        <w:topLinePunct w:val="0"/>
        <w:autoSpaceDE/>
        <w:autoSpaceDN/>
        <w:bidi w:val="0"/>
        <w:snapToGrid w:val="0"/>
        <w:spacing w:line="560" w:lineRule="exact"/>
        <w:ind w:firstLine="640" w:firstLineChars="200"/>
        <w:textAlignment w:val="auto"/>
        <w:rPr>
          <w:rStyle w:val="14"/>
          <w:rFonts w:hint="eastAsia" w:ascii="仿宋" w:hAnsi="仿宋" w:eastAsia="仿宋" w:cs="仿宋"/>
          <w:b w:val="0"/>
          <w:color w:val="auto"/>
          <w:sz w:val="32"/>
          <w:szCs w:val="32"/>
          <w:highlight w:val="none"/>
          <w:lang w:bidi="ar"/>
        </w:rPr>
      </w:pPr>
      <w:r>
        <w:rPr>
          <w:rStyle w:val="14"/>
          <w:rFonts w:hint="eastAsia" w:ascii="仿宋" w:hAnsi="仿宋" w:eastAsia="仿宋" w:cs="仿宋"/>
          <w:b w:val="0"/>
          <w:color w:val="auto"/>
          <w:sz w:val="32"/>
          <w:szCs w:val="32"/>
          <w:highlight w:val="none"/>
          <w:lang w:bidi="ar"/>
        </w:rPr>
        <w:t>组  长：王盛江站长</w:t>
      </w:r>
    </w:p>
    <w:p>
      <w:pPr>
        <w:pageBreakBefore w:val="0"/>
        <w:kinsoku/>
        <w:wordWrap/>
        <w:overflowPunct/>
        <w:topLinePunct w:val="0"/>
        <w:autoSpaceDE/>
        <w:autoSpaceDN/>
        <w:bidi w:val="0"/>
        <w:snapToGrid w:val="0"/>
        <w:spacing w:line="560" w:lineRule="exact"/>
        <w:ind w:firstLine="640" w:firstLineChars="200"/>
        <w:textAlignment w:val="auto"/>
        <w:rPr>
          <w:rStyle w:val="14"/>
          <w:rFonts w:hint="eastAsia" w:ascii="仿宋" w:hAnsi="仿宋" w:eastAsia="仿宋" w:cs="仿宋"/>
          <w:b w:val="0"/>
          <w:color w:val="auto"/>
          <w:sz w:val="32"/>
          <w:szCs w:val="32"/>
          <w:highlight w:val="none"/>
          <w:lang w:bidi="ar"/>
        </w:rPr>
      </w:pPr>
      <w:r>
        <w:rPr>
          <w:rStyle w:val="14"/>
          <w:rFonts w:hint="eastAsia" w:ascii="仿宋" w:hAnsi="仿宋" w:eastAsia="仿宋" w:cs="仿宋"/>
          <w:b w:val="0"/>
          <w:color w:val="auto"/>
          <w:sz w:val="32"/>
          <w:szCs w:val="32"/>
          <w:highlight w:val="none"/>
          <w:lang w:bidi="ar"/>
        </w:rPr>
        <w:t>副组长：</w:t>
      </w:r>
      <w:r>
        <w:rPr>
          <w:rStyle w:val="14"/>
          <w:rFonts w:hint="eastAsia" w:cs="仿宋"/>
          <w:b w:val="0"/>
          <w:color w:val="auto"/>
          <w:sz w:val="32"/>
          <w:szCs w:val="32"/>
          <w:highlight w:val="none"/>
          <w:lang w:val="en-US" w:eastAsia="zh-CN" w:bidi="ar"/>
        </w:rPr>
        <w:t>徐</w:t>
      </w:r>
      <w:r>
        <w:rPr>
          <w:rStyle w:val="14"/>
          <w:rFonts w:hint="eastAsia" w:ascii="仿宋" w:hAnsi="仿宋" w:eastAsia="仿宋" w:cs="仿宋"/>
          <w:b w:val="0"/>
          <w:color w:val="auto"/>
          <w:sz w:val="32"/>
          <w:szCs w:val="32"/>
          <w:highlight w:val="none"/>
          <w:lang w:bidi="ar"/>
        </w:rPr>
        <w:t>永林副站长</w:t>
      </w:r>
    </w:p>
    <w:p>
      <w:pPr>
        <w:pageBreakBefore w:val="0"/>
        <w:kinsoku/>
        <w:wordWrap/>
        <w:overflowPunct/>
        <w:topLinePunct w:val="0"/>
        <w:autoSpaceDE/>
        <w:autoSpaceDN/>
        <w:bidi w:val="0"/>
        <w:snapToGrid w:val="0"/>
        <w:spacing w:line="560" w:lineRule="exact"/>
        <w:ind w:firstLine="640" w:firstLineChars="200"/>
        <w:textAlignment w:val="auto"/>
        <w:rPr>
          <w:rStyle w:val="14"/>
          <w:rFonts w:hint="eastAsia" w:ascii="仿宋" w:hAnsi="仿宋" w:eastAsia="仿宋" w:cs="仿宋"/>
          <w:b w:val="0"/>
          <w:color w:val="auto"/>
          <w:sz w:val="32"/>
          <w:szCs w:val="32"/>
          <w:highlight w:val="none"/>
          <w:lang w:bidi="ar"/>
        </w:rPr>
      </w:pPr>
      <w:r>
        <w:rPr>
          <w:rStyle w:val="14"/>
          <w:rFonts w:hint="eastAsia" w:ascii="仿宋" w:hAnsi="仿宋" w:eastAsia="仿宋" w:cs="仿宋"/>
          <w:b w:val="0"/>
          <w:color w:val="auto"/>
          <w:sz w:val="32"/>
          <w:szCs w:val="32"/>
          <w:highlight w:val="none"/>
          <w:lang w:bidi="ar"/>
        </w:rPr>
        <w:t>成  员：张文涛财务科科长</w:t>
      </w:r>
    </w:p>
    <w:p>
      <w:pPr>
        <w:pageBreakBefore w:val="0"/>
        <w:kinsoku/>
        <w:wordWrap/>
        <w:overflowPunct/>
        <w:topLinePunct w:val="0"/>
        <w:autoSpaceDE/>
        <w:autoSpaceDN/>
        <w:bidi w:val="0"/>
        <w:snapToGrid w:val="0"/>
        <w:spacing w:line="560" w:lineRule="exact"/>
        <w:ind w:firstLine="1920" w:firstLineChars="600"/>
        <w:textAlignment w:val="auto"/>
        <w:rPr>
          <w:rStyle w:val="14"/>
          <w:rFonts w:hint="eastAsia" w:ascii="仿宋_GB2312" w:hAnsi="仿宋_GB2312" w:eastAsia="仿宋_GB2312" w:cs="仿宋_GB2312"/>
          <w:b w:val="0"/>
          <w:color w:val="auto"/>
          <w:sz w:val="32"/>
          <w:szCs w:val="32"/>
          <w:highlight w:val="none"/>
          <w:lang w:eastAsia="zh-Hans" w:bidi="ar"/>
        </w:rPr>
      </w:pPr>
      <w:r>
        <w:rPr>
          <w:rStyle w:val="14"/>
          <w:rFonts w:hint="eastAsia" w:ascii="仿宋" w:hAnsi="仿宋" w:eastAsia="仿宋" w:cs="仿宋"/>
          <w:b w:val="0"/>
          <w:color w:val="auto"/>
          <w:sz w:val="32"/>
          <w:szCs w:val="32"/>
          <w:highlight w:val="none"/>
          <w:lang w:bidi="ar"/>
        </w:rPr>
        <w:t>冯婉萍办公室主任</w:t>
      </w:r>
    </w:p>
    <w:p>
      <w:pPr>
        <w:pStyle w:val="4"/>
        <w:numPr>
          <w:ilvl w:val="0"/>
          <w:numId w:val="1"/>
        </w:numPr>
        <w:spacing w:line="570" w:lineRule="exact"/>
        <w:ind w:firstLine="643"/>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部门单位整体预算规模及安排情况</w:t>
      </w:r>
    </w:p>
    <w:p>
      <w:pPr>
        <w:pStyle w:val="16"/>
        <w:snapToGrid w:val="0"/>
        <w:spacing w:line="570" w:lineRule="exact"/>
        <w:ind w:firstLine="643"/>
        <w:outlineLvl w:val="2"/>
        <w:rPr>
          <w:rStyle w:val="14"/>
          <w:rFonts w:ascii="仿宋_GB2312" w:hAnsi="仿宋_GB2312" w:eastAsia="仿宋_GB2312" w:cs="仿宋_GB2312"/>
          <w:b/>
          <w:bCs w:val="0"/>
          <w:color w:val="auto"/>
          <w:sz w:val="32"/>
          <w:szCs w:val="32"/>
          <w:highlight w:val="none"/>
          <w:lang w:bidi="ar"/>
        </w:rPr>
      </w:pPr>
      <w:r>
        <w:rPr>
          <w:rStyle w:val="14"/>
          <w:rFonts w:hint="eastAsia" w:ascii="仿宋_GB2312" w:hAnsi="仿宋_GB2312" w:eastAsia="仿宋_GB2312" w:cs="仿宋_GB2312"/>
          <w:b/>
          <w:bCs w:val="0"/>
          <w:color w:val="auto"/>
          <w:sz w:val="32"/>
          <w:szCs w:val="32"/>
          <w:highlight w:val="none"/>
          <w:lang w:bidi="ar"/>
        </w:rPr>
        <w:t>1.部门单位预算编制及分配依据</w:t>
      </w:r>
    </w:p>
    <w:p>
      <w:pPr>
        <w:pStyle w:val="16"/>
        <w:snapToGrid w:val="0"/>
        <w:spacing w:line="57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val="en-US" w:eastAsia="zh-CN" w:bidi="ar"/>
        </w:rPr>
        <w:t>本</w:t>
      </w:r>
      <w:r>
        <w:rPr>
          <w:rStyle w:val="14"/>
          <w:rFonts w:hint="eastAsia" w:ascii="仿宋_GB2312" w:hAnsi="仿宋_GB2312" w:eastAsia="仿宋_GB2312" w:cs="仿宋_GB2312"/>
          <w:b w:val="0"/>
          <w:color w:val="auto"/>
          <w:sz w:val="32"/>
          <w:szCs w:val="32"/>
          <w:highlight w:val="none"/>
          <w:lang w:bidi="ar"/>
        </w:rPr>
        <w:t>单位年初根据单位职能及工作计划按照“量入为出、收支平衡”的原则，编制部门预算。基本支出预算由工资福利支出、商品和服务支出、对个人和家庭的补助支出三部分构成；项目支出预算按</w:t>
      </w:r>
      <w:r>
        <w:rPr>
          <w:rStyle w:val="14"/>
          <w:rFonts w:hint="eastAsia" w:ascii="仿宋_GB2312" w:hAnsi="仿宋_GB2312" w:eastAsia="仿宋_GB2312" w:cs="仿宋_GB2312"/>
          <w:b w:val="0"/>
          <w:color w:val="auto"/>
          <w:sz w:val="32"/>
          <w:szCs w:val="32"/>
          <w:highlight w:val="none"/>
          <w:lang w:val="en-US" w:eastAsia="zh-CN" w:bidi="ar"/>
        </w:rPr>
        <w:t>其</w:t>
      </w:r>
      <w:r>
        <w:rPr>
          <w:rStyle w:val="14"/>
          <w:rFonts w:hint="eastAsia" w:ascii="仿宋_GB2312" w:hAnsi="仿宋_GB2312" w:eastAsia="仿宋_GB2312" w:cs="仿宋_GB2312"/>
          <w:b w:val="0"/>
          <w:color w:val="auto"/>
          <w:sz w:val="32"/>
          <w:szCs w:val="32"/>
          <w:highlight w:val="none"/>
          <w:lang w:bidi="ar"/>
        </w:rPr>
        <w:t>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16"/>
        <w:snapToGrid w:val="0"/>
        <w:spacing w:line="570" w:lineRule="exact"/>
        <w:ind w:firstLine="643"/>
        <w:outlineLvl w:val="2"/>
        <w:rPr>
          <w:rStyle w:val="14"/>
          <w:rFonts w:ascii="仿宋_GB2312" w:hAnsi="仿宋_GB2312" w:eastAsia="仿宋_GB2312" w:cs="仿宋_GB2312"/>
          <w:bCs w:val="0"/>
          <w:color w:val="auto"/>
          <w:sz w:val="32"/>
          <w:szCs w:val="32"/>
          <w:highlight w:val="none"/>
          <w:lang w:bidi="ar"/>
        </w:rPr>
      </w:pPr>
      <w:r>
        <w:rPr>
          <w:rStyle w:val="14"/>
          <w:rFonts w:hint="eastAsia" w:ascii="仿宋_GB2312" w:hAnsi="仿宋_GB2312" w:eastAsia="仿宋_GB2312" w:cs="仿宋_GB2312"/>
          <w:bCs w:val="0"/>
          <w:color w:val="auto"/>
          <w:sz w:val="32"/>
          <w:szCs w:val="32"/>
          <w:highlight w:val="none"/>
          <w:lang w:bidi="ar"/>
        </w:rPr>
        <w:t>2.分配结果</w:t>
      </w:r>
    </w:p>
    <w:p>
      <w:pPr>
        <w:widowControl/>
        <w:ind w:firstLine="643"/>
        <w:jc w:val="left"/>
        <w:rPr>
          <w:rStyle w:val="14"/>
          <w:rFonts w:hint="eastAsia" w:ascii="仿宋_GB2312" w:hAnsi="仿宋_GB2312" w:eastAsia="仿宋_GB2312" w:cs="仿宋_GB2312"/>
          <w:b w:val="0"/>
          <w:color w:val="auto"/>
          <w:kern w:val="2"/>
          <w:sz w:val="32"/>
          <w:szCs w:val="32"/>
          <w:highlight w:val="none"/>
          <w:lang w:val="en-US" w:eastAsia="zh-CN" w:bidi="ar"/>
        </w:rPr>
      </w:pPr>
      <w:r>
        <w:rPr>
          <w:rStyle w:val="14"/>
          <w:rFonts w:hint="eastAsia" w:ascii="仿宋_GB2312" w:hAnsi="仿宋_GB2312" w:eastAsia="仿宋_GB2312" w:cs="仿宋_GB2312"/>
          <w:b w:val="0"/>
          <w:color w:val="auto"/>
          <w:kern w:val="2"/>
          <w:sz w:val="32"/>
          <w:szCs w:val="32"/>
          <w:highlight w:val="none"/>
          <w:lang w:val="en-US" w:eastAsia="zh-CN" w:bidi="ar"/>
        </w:rPr>
        <w:t>本单位基本支出根据单位人员编制、实有人数、资产情况等要素进行预算编制；项目支出根据单位工作职能，年度计划等要素进行预算编制。预算批复后，严格按照财政部门批复的预算和绩效目标执行。</w:t>
      </w:r>
    </w:p>
    <w:p>
      <w:pPr>
        <w:pStyle w:val="16"/>
        <w:snapToGrid w:val="0"/>
        <w:spacing w:line="570" w:lineRule="exact"/>
        <w:ind w:firstLine="640"/>
        <w:rPr>
          <w:rFonts w:hint="eastAsia" w:ascii="仿宋_GB2312" w:eastAsia="仿宋_GB2312"/>
          <w:b/>
          <w:bCs/>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bidi="ar"/>
        </w:rPr>
        <w:t>预算编制和分配符合</w:t>
      </w:r>
      <w:r>
        <w:rPr>
          <w:rStyle w:val="14"/>
          <w:rFonts w:hint="eastAsia" w:ascii="仿宋_GB2312" w:hAnsi="仿宋_GB2312" w:eastAsia="仿宋_GB2312" w:cs="仿宋_GB2312"/>
          <w:b w:val="0"/>
          <w:color w:val="auto"/>
          <w:sz w:val="32"/>
          <w:szCs w:val="32"/>
          <w:highlight w:val="none"/>
          <w:lang w:eastAsia="zh-Hans" w:bidi="ar"/>
        </w:rPr>
        <w:t>本</w:t>
      </w:r>
      <w:r>
        <w:rPr>
          <w:rStyle w:val="14"/>
          <w:rFonts w:hint="eastAsia" w:ascii="仿宋_GB2312" w:hAnsi="仿宋_GB2312" w:eastAsia="仿宋_GB2312" w:cs="仿宋_GB2312"/>
          <w:b w:val="0"/>
          <w:color w:val="auto"/>
          <w:sz w:val="32"/>
          <w:szCs w:val="32"/>
          <w:highlight w:val="none"/>
          <w:lang w:bidi="ar"/>
        </w:rPr>
        <w:t>部门职责和任务要求，能根据年度工作重点，在不同项目、不同用途之间进行合理分配。整体绩效目标与预算确定的资金相匹配。</w:t>
      </w:r>
    </w:p>
    <w:p>
      <w:pPr>
        <w:keepLines w:val="0"/>
        <w:pageBreakBefore w:val="0"/>
        <w:kinsoku/>
        <w:wordWrap/>
        <w:overflowPunct/>
        <w:topLinePunct w:val="0"/>
        <w:autoSpaceDE/>
        <w:autoSpaceDN/>
        <w:bidi w:val="0"/>
        <w:adjustRightInd/>
        <w:spacing w:line="500" w:lineRule="exact"/>
        <w:ind w:firstLine="643" w:firstLineChars="200"/>
        <w:textAlignment w:val="auto"/>
        <w:rPr>
          <w:rFonts w:hint="eastAsia" w:ascii="方正仿宋_GBK" w:hAnsi="方正仿宋_GBK" w:eastAsia="方正仿宋_GBK" w:cs="方正仿宋_GBK"/>
          <w:b/>
          <w:bCs/>
          <w:color w:val="auto"/>
          <w:kern w:val="2"/>
          <w:sz w:val="32"/>
          <w:szCs w:val="32"/>
          <w:highlight w:val="none"/>
          <w:lang w:val="en-US" w:eastAsia="zh-CN" w:bidi="ar-SA"/>
        </w:rPr>
      </w:pPr>
      <w:r>
        <w:rPr>
          <w:rFonts w:hint="eastAsia" w:ascii="仿宋_GB2312" w:eastAsia="仿宋_GB2312"/>
          <w:b/>
          <w:bCs/>
          <w:color w:val="auto"/>
          <w:sz w:val="32"/>
          <w:szCs w:val="32"/>
          <w:highlight w:val="none"/>
          <w:lang w:val="en-US" w:eastAsia="zh-CN"/>
        </w:rPr>
        <w:t>3.</w:t>
      </w:r>
      <w:r>
        <w:rPr>
          <w:rFonts w:hint="eastAsia" w:ascii="方正仿宋_GBK" w:hAnsi="方正仿宋_GBK" w:eastAsia="方正仿宋_GBK" w:cs="方正仿宋_GBK"/>
          <w:b/>
          <w:bCs/>
          <w:color w:val="auto"/>
          <w:kern w:val="2"/>
          <w:sz w:val="32"/>
          <w:szCs w:val="32"/>
          <w:highlight w:val="none"/>
          <w:lang w:val="en-US" w:eastAsia="zh-CN" w:bidi="ar-SA"/>
        </w:rPr>
        <w:t>年初预算安排规模</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2</w:t>
      </w:r>
      <w:r>
        <w:rPr>
          <w:rStyle w:val="14"/>
          <w:rFonts w:ascii="仿宋" w:hAnsi="仿宋" w:eastAsia="仿宋" w:cs="仿宋"/>
          <w:b w:val="0"/>
          <w:color w:val="auto"/>
          <w:sz w:val="32"/>
          <w:szCs w:val="32"/>
          <w:highlight w:val="none"/>
          <w:lang w:bidi="ar"/>
        </w:rPr>
        <w:t>02</w:t>
      </w:r>
      <w:r>
        <w:rPr>
          <w:rStyle w:val="14"/>
          <w:rFonts w:hint="eastAsia" w:ascii="仿宋" w:hAnsi="仿宋" w:eastAsia="仿宋" w:cs="仿宋"/>
          <w:b w:val="0"/>
          <w:color w:val="auto"/>
          <w:sz w:val="32"/>
          <w:szCs w:val="32"/>
          <w:highlight w:val="none"/>
          <w:lang w:val="en-US" w:eastAsia="zh-CN" w:bidi="ar"/>
        </w:rPr>
        <w:t>3</w:t>
      </w:r>
      <w:r>
        <w:rPr>
          <w:rStyle w:val="14"/>
          <w:rFonts w:hint="eastAsia" w:ascii="仿宋" w:hAnsi="仿宋" w:eastAsia="仿宋" w:cs="仿宋"/>
          <w:b w:val="0"/>
          <w:color w:val="auto"/>
          <w:sz w:val="32"/>
          <w:szCs w:val="32"/>
          <w:highlight w:val="none"/>
          <w:lang w:bidi="ar"/>
        </w:rPr>
        <w:t>年整体支出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预算为</w:t>
      </w:r>
      <w:r>
        <w:rPr>
          <w:rFonts w:hint="eastAsia" w:ascii="仿宋" w:hAnsi="仿宋" w:eastAsia="仿宋" w:cs="仿宋"/>
          <w:color w:val="auto"/>
          <w:sz w:val="32"/>
          <w:szCs w:val="32"/>
          <w:highlight w:val="none"/>
          <w:lang w:eastAsia="zh-CN"/>
        </w:rPr>
        <w:t>6287.76</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基本支出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w:t>
      </w:r>
      <w:r>
        <w:rPr>
          <w:rStyle w:val="14"/>
          <w:rFonts w:hint="eastAsia" w:ascii="仿宋" w:hAnsi="仿宋" w:eastAsia="仿宋" w:cs="仿宋"/>
          <w:b w:val="0"/>
          <w:color w:val="auto"/>
          <w:sz w:val="32"/>
          <w:szCs w:val="32"/>
          <w:highlight w:val="none"/>
          <w:lang w:eastAsia="zh-CN" w:bidi="ar"/>
        </w:rPr>
        <w:t>为</w:t>
      </w:r>
      <w:r>
        <w:rPr>
          <w:rFonts w:hint="eastAsia" w:ascii="仿宋" w:hAnsi="仿宋" w:eastAsia="仿宋" w:cs="仿宋"/>
          <w:color w:val="auto"/>
          <w:sz w:val="32"/>
          <w:szCs w:val="32"/>
          <w:highlight w:val="none"/>
          <w:lang w:eastAsia="zh-CN"/>
        </w:rPr>
        <w:t>2319.60</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主要用于发放人员工资及保障单位基本办公需求。</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4"/>
          <w:rFonts w:hint="eastAsia" w:ascii="仿宋" w:hAnsi="仿宋" w:eastAsia="仿宋" w:cs="仿宋"/>
          <w:b w:val="0"/>
          <w:color w:val="auto"/>
          <w:sz w:val="32"/>
          <w:szCs w:val="32"/>
          <w:highlight w:val="none"/>
          <w:lang w:bidi="ar"/>
        </w:rPr>
      </w:pPr>
      <w:r>
        <w:rPr>
          <w:rStyle w:val="14"/>
          <w:rFonts w:hint="eastAsia" w:ascii="仿宋" w:hAnsi="仿宋" w:eastAsia="仿宋" w:cs="仿宋"/>
          <w:b w:val="0"/>
          <w:color w:val="auto"/>
          <w:sz w:val="32"/>
          <w:szCs w:val="32"/>
          <w:highlight w:val="none"/>
          <w:lang w:bidi="ar"/>
        </w:rPr>
        <w:t>项目支出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w:t>
      </w:r>
      <w:r>
        <w:rPr>
          <w:rStyle w:val="14"/>
          <w:rFonts w:hint="eastAsia" w:ascii="仿宋" w:hAnsi="仿宋" w:eastAsia="仿宋" w:cs="仿宋"/>
          <w:b w:val="0"/>
          <w:color w:val="auto"/>
          <w:sz w:val="32"/>
          <w:szCs w:val="32"/>
          <w:highlight w:val="none"/>
          <w:lang w:eastAsia="zh-CN" w:bidi="ar"/>
        </w:rPr>
        <w:t>为</w:t>
      </w:r>
      <w:r>
        <w:rPr>
          <w:rFonts w:hint="eastAsia" w:ascii="仿宋" w:hAnsi="仿宋" w:eastAsia="仿宋" w:cs="仿宋"/>
          <w:color w:val="auto"/>
          <w:sz w:val="32"/>
          <w:szCs w:val="32"/>
          <w:highlight w:val="none"/>
          <w:lang w:eastAsia="zh-CN"/>
        </w:rPr>
        <w:t>3968.16</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，其中：</w:t>
      </w:r>
      <w:r>
        <w:rPr>
          <w:rStyle w:val="14"/>
          <w:rFonts w:hint="eastAsia" w:ascii="仿宋" w:hAnsi="仿宋" w:eastAsia="仿宋" w:cs="仿宋"/>
          <w:b w:val="0"/>
          <w:color w:val="auto"/>
          <w:sz w:val="32"/>
          <w:szCs w:val="32"/>
          <w:highlight w:val="none"/>
          <w:lang w:val="en-US" w:eastAsia="zh-CN" w:bidi="ar"/>
        </w:rPr>
        <w:t>塔地财农[2022]46号沙财农[2022]31号提前下达2023年中央水利发展资金预算（</w:t>
      </w:r>
      <w:r>
        <w:rPr>
          <w:rStyle w:val="14"/>
          <w:rFonts w:hint="eastAsia" w:cs="仿宋"/>
          <w:b w:val="0"/>
          <w:color w:val="auto"/>
          <w:sz w:val="32"/>
          <w:szCs w:val="32"/>
          <w:highlight w:val="none"/>
          <w:lang w:val="en-US" w:eastAsia="zh-CN" w:bidi="ar"/>
        </w:rPr>
        <w:t>市</w:t>
      </w:r>
      <w:r>
        <w:rPr>
          <w:rStyle w:val="14"/>
          <w:rFonts w:hint="eastAsia" w:ascii="仿宋" w:hAnsi="仿宋" w:eastAsia="仿宋" w:cs="仿宋"/>
          <w:b w:val="0"/>
          <w:color w:val="auto"/>
          <w:sz w:val="32"/>
          <w:szCs w:val="32"/>
          <w:highlight w:val="none"/>
          <w:lang w:val="en-US" w:eastAsia="zh-CN" w:bidi="ar"/>
        </w:rPr>
        <w:t>域节水型社会节水补助项目）项目</w:t>
      </w:r>
      <w:r>
        <w:rPr>
          <w:rStyle w:val="14"/>
          <w:rFonts w:hint="eastAsia" w:cs="仿宋"/>
          <w:b w:val="0"/>
          <w:color w:val="auto"/>
          <w:sz w:val="32"/>
          <w:szCs w:val="32"/>
          <w:highlight w:val="none"/>
          <w:lang w:val="en-US" w:eastAsia="zh-CN" w:bidi="ar"/>
        </w:rPr>
        <w:t>40</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节水型社会建设</w:t>
      </w:r>
      <w:r>
        <w:rPr>
          <w:rStyle w:val="14"/>
          <w:rFonts w:hint="eastAsia" w:ascii="仿宋" w:hAnsi="仿宋" w:eastAsia="仿宋" w:cs="仿宋"/>
          <w:b w:val="0"/>
          <w:color w:val="auto"/>
          <w:sz w:val="32"/>
          <w:szCs w:val="32"/>
          <w:highlight w:val="none"/>
          <w:lang w:val="en-US" w:eastAsia="zh-CN" w:bidi="ar"/>
        </w:rPr>
        <w:t>；塔地财农[2022]46号沙财农[2022]31号提前下达2023年中央水利发展资金预算（取水口取水检测计量项目）项目</w:t>
      </w:r>
      <w:r>
        <w:rPr>
          <w:rStyle w:val="14"/>
          <w:rFonts w:hint="eastAsia" w:cs="仿宋"/>
          <w:b w:val="0"/>
          <w:color w:val="auto"/>
          <w:sz w:val="32"/>
          <w:szCs w:val="32"/>
          <w:highlight w:val="none"/>
          <w:lang w:val="en-US" w:eastAsia="zh-CN" w:bidi="ar"/>
        </w:rPr>
        <w:t>112</w:t>
      </w:r>
      <w:r>
        <w:rPr>
          <w:rStyle w:val="14"/>
          <w:rFonts w:hint="eastAsia" w:ascii="仿宋" w:hAnsi="仿宋" w:eastAsia="仿宋" w:cs="仿宋"/>
          <w:b w:val="0"/>
          <w:color w:val="auto"/>
          <w:sz w:val="32"/>
          <w:szCs w:val="32"/>
          <w:highlight w:val="none"/>
          <w:lang w:val="en-US" w:eastAsia="zh-CN" w:bidi="ar"/>
        </w:rPr>
        <w:t>万元，主要用于保证使用即上线，保证用水信息的及时上传及统计；沙湾市水利管理站2023年日协贷款项目项目</w:t>
      </w:r>
      <w:r>
        <w:rPr>
          <w:rStyle w:val="14"/>
          <w:rFonts w:hint="eastAsia" w:cs="仿宋"/>
          <w:b w:val="0"/>
          <w:color w:val="auto"/>
          <w:sz w:val="32"/>
          <w:szCs w:val="32"/>
          <w:highlight w:val="none"/>
          <w:lang w:val="en-US" w:eastAsia="zh-CN" w:bidi="ar"/>
        </w:rPr>
        <w:t>90</w:t>
      </w:r>
      <w:r>
        <w:rPr>
          <w:rStyle w:val="14"/>
          <w:rFonts w:hint="eastAsia" w:ascii="仿宋" w:hAnsi="仿宋" w:eastAsia="仿宋" w:cs="仿宋"/>
          <w:b w:val="0"/>
          <w:color w:val="auto"/>
          <w:sz w:val="32"/>
          <w:szCs w:val="32"/>
          <w:highlight w:val="none"/>
          <w:lang w:val="en-US" w:eastAsia="zh-CN" w:bidi="ar"/>
        </w:rPr>
        <w:t>万元，主要用于偿还第二十五第二十六次日协贷款；沙湾市水利管理站2023年网络通讯费项目</w:t>
      </w:r>
      <w:r>
        <w:rPr>
          <w:rStyle w:val="14"/>
          <w:rFonts w:hint="eastAsia" w:cs="仿宋"/>
          <w:b w:val="0"/>
          <w:color w:val="auto"/>
          <w:sz w:val="32"/>
          <w:szCs w:val="32"/>
          <w:highlight w:val="none"/>
          <w:lang w:val="en-US" w:eastAsia="zh-CN" w:bidi="ar"/>
        </w:rPr>
        <w:t>9.16</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支付水利管理站2023年网络费</w:t>
      </w:r>
      <w:r>
        <w:rPr>
          <w:rStyle w:val="14"/>
          <w:rFonts w:hint="eastAsia" w:ascii="仿宋" w:hAnsi="仿宋" w:eastAsia="仿宋" w:cs="仿宋"/>
          <w:b w:val="0"/>
          <w:color w:val="auto"/>
          <w:sz w:val="32"/>
          <w:szCs w:val="32"/>
          <w:highlight w:val="none"/>
          <w:lang w:val="en-US" w:eastAsia="zh-CN" w:bidi="ar"/>
        </w:rPr>
        <w:t>；沙湾市水利管理站2023年各站所冬季取暖费项目</w:t>
      </w:r>
      <w:r>
        <w:rPr>
          <w:rStyle w:val="14"/>
          <w:rFonts w:hint="eastAsia" w:cs="仿宋"/>
          <w:b w:val="0"/>
          <w:color w:val="auto"/>
          <w:sz w:val="32"/>
          <w:szCs w:val="32"/>
          <w:highlight w:val="none"/>
          <w:lang w:val="en-US" w:eastAsia="zh-CN" w:bidi="ar"/>
        </w:rPr>
        <w:t>15</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支付水利管理站2023年取暖费</w:t>
      </w:r>
      <w:r>
        <w:rPr>
          <w:rStyle w:val="14"/>
          <w:rFonts w:hint="eastAsia" w:ascii="仿宋" w:hAnsi="仿宋" w:eastAsia="仿宋" w:cs="仿宋"/>
          <w:b w:val="0"/>
          <w:color w:val="auto"/>
          <w:sz w:val="32"/>
          <w:szCs w:val="32"/>
          <w:highlight w:val="none"/>
          <w:lang w:val="en-US" w:eastAsia="zh-CN" w:bidi="ar"/>
        </w:rPr>
        <w:t>；水利管理站塔地财农[2022]46号沙财农[2022]31号提前下达2023年中央水利发展资金预算中型灌区改造项目</w:t>
      </w:r>
      <w:r>
        <w:rPr>
          <w:rStyle w:val="14"/>
          <w:rFonts w:hint="eastAsia" w:cs="仿宋"/>
          <w:b w:val="0"/>
          <w:color w:val="auto"/>
          <w:sz w:val="32"/>
          <w:szCs w:val="32"/>
          <w:highlight w:val="none"/>
          <w:lang w:val="en-US" w:eastAsia="zh-CN" w:bidi="ar"/>
        </w:rPr>
        <w:t>3650</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完成总长度48.23km的渠道改造</w:t>
      </w:r>
      <w:r>
        <w:rPr>
          <w:rStyle w:val="14"/>
          <w:rFonts w:hint="eastAsia" w:ascii="仿宋" w:hAnsi="仿宋" w:eastAsia="仿宋" w:cs="仿宋"/>
          <w:b w:val="0"/>
          <w:color w:val="auto"/>
          <w:sz w:val="32"/>
          <w:szCs w:val="32"/>
          <w:highlight w:val="none"/>
          <w:lang w:val="en-US" w:eastAsia="zh-CN" w:bidi="ar"/>
        </w:rPr>
        <w:t>；水利管理站塔地财农[2022]46号沙财农[2022]31号提前下达2023年中央水利发展资金预算小型水库维修养护项目</w:t>
      </w:r>
      <w:r>
        <w:rPr>
          <w:rStyle w:val="14"/>
          <w:rFonts w:hint="eastAsia" w:cs="仿宋"/>
          <w:b w:val="0"/>
          <w:color w:val="auto"/>
          <w:sz w:val="32"/>
          <w:szCs w:val="32"/>
          <w:highlight w:val="none"/>
          <w:lang w:val="en-US" w:eastAsia="zh-CN" w:bidi="ar"/>
        </w:rPr>
        <w:t>52</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对四座水库进行维修改造</w:t>
      </w:r>
      <w:r>
        <w:rPr>
          <w:rStyle w:val="14"/>
          <w:rFonts w:hint="eastAsia" w:ascii="仿宋" w:hAnsi="仿宋" w:eastAsia="仿宋" w:cs="仿宋"/>
          <w:b w:val="0"/>
          <w:color w:val="auto"/>
          <w:sz w:val="32"/>
          <w:szCs w:val="32"/>
          <w:highlight w:val="none"/>
          <w:lang w:bidi="ar"/>
        </w:rPr>
        <w:t>。</w:t>
      </w:r>
    </w:p>
    <w:p>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4全年预算安排规模</w:t>
      </w:r>
    </w:p>
    <w:p>
      <w:pPr>
        <w:ind w:firstLine="640" w:firstLineChars="200"/>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2</w:t>
      </w:r>
      <w:r>
        <w:rPr>
          <w:rStyle w:val="14"/>
          <w:rFonts w:ascii="仿宋" w:hAnsi="仿宋" w:eastAsia="仿宋" w:cs="仿宋"/>
          <w:b w:val="0"/>
          <w:color w:val="auto"/>
          <w:sz w:val="32"/>
          <w:szCs w:val="32"/>
          <w:highlight w:val="none"/>
          <w:lang w:bidi="ar"/>
        </w:rPr>
        <w:t>02</w:t>
      </w:r>
      <w:r>
        <w:rPr>
          <w:rStyle w:val="14"/>
          <w:rFonts w:hint="eastAsia" w:ascii="仿宋" w:hAnsi="仿宋" w:eastAsia="仿宋" w:cs="仿宋"/>
          <w:b w:val="0"/>
          <w:color w:val="auto"/>
          <w:sz w:val="32"/>
          <w:szCs w:val="32"/>
          <w:highlight w:val="none"/>
          <w:lang w:val="en-US" w:eastAsia="zh-CN" w:bidi="ar"/>
        </w:rPr>
        <w:t>3</w:t>
      </w:r>
      <w:r>
        <w:rPr>
          <w:rStyle w:val="14"/>
          <w:rFonts w:hint="eastAsia" w:ascii="仿宋" w:hAnsi="仿宋" w:eastAsia="仿宋" w:cs="仿宋"/>
          <w:b w:val="0"/>
          <w:color w:val="auto"/>
          <w:sz w:val="32"/>
          <w:szCs w:val="32"/>
          <w:highlight w:val="none"/>
          <w:lang w:bidi="ar"/>
        </w:rPr>
        <w:t>年整体支出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预算为</w:t>
      </w:r>
      <w:r>
        <w:rPr>
          <w:rFonts w:hint="eastAsia" w:ascii="仿宋" w:hAnsi="仿宋" w:eastAsia="仿宋" w:cs="仿宋"/>
          <w:color w:val="auto"/>
          <w:sz w:val="32"/>
          <w:szCs w:val="32"/>
          <w:highlight w:val="none"/>
          <w:lang w:eastAsia="zh-CN"/>
        </w:rPr>
        <w:t>6287.76</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，预算调整数为</w:t>
      </w:r>
      <w:r>
        <w:rPr>
          <w:rStyle w:val="14"/>
          <w:rFonts w:hint="eastAsia" w:ascii="仿宋" w:hAnsi="仿宋" w:eastAsia="仿宋" w:cs="仿宋"/>
          <w:b w:val="0"/>
          <w:color w:val="auto"/>
          <w:sz w:val="32"/>
          <w:szCs w:val="32"/>
          <w:highlight w:val="none"/>
          <w:lang w:val="en-US" w:eastAsia="zh-CN" w:bidi="ar"/>
        </w:rPr>
        <w:t>4</w:t>
      </w:r>
      <w:r>
        <w:rPr>
          <w:rStyle w:val="14"/>
          <w:rFonts w:hint="eastAsia" w:cs="仿宋"/>
          <w:b w:val="0"/>
          <w:color w:val="auto"/>
          <w:sz w:val="32"/>
          <w:szCs w:val="32"/>
          <w:highlight w:val="none"/>
          <w:lang w:val="en-US" w:eastAsia="zh-CN" w:bidi="ar"/>
        </w:rPr>
        <w:t>948.99</w:t>
      </w:r>
      <w:r>
        <w:rPr>
          <w:rStyle w:val="14"/>
          <w:rFonts w:hint="eastAsia" w:ascii="仿宋" w:hAnsi="仿宋" w:eastAsia="仿宋" w:cs="仿宋"/>
          <w:b w:val="0"/>
          <w:color w:val="auto"/>
          <w:sz w:val="32"/>
          <w:szCs w:val="32"/>
          <w:highlight w:val="none"/>
          <w:lang w:val="en-US" w:eastAsia="zh-CN" w:bidi="ar"/>
        </w:rPr>
        <w:t>万元，全年预算数为11236.74万元</w:t>
      </w:r>
      <w:r>
        <w:rPr>
          <w:rStyle w:val="14"/>
          <w:rFonts w:hint="eastAsia" w:ascii="仿宋" w:hAnsi="仿宋" w:eastAsia="仿宋" w:cs="仿宋"/>
          <w:b w:val="0"/>
          <w:color w:val="auto"/>
          <w:sz w:val="32"/>
          <w:szCs w:val="32"/>
          <w:highlight w:val="none"/>
          <w:lang w:eastAsia="zh-CN" w:bidi="ar"/>
        </w:rPr>
        <w:t>。</w:t>
      </w:r>
    </w:p>
    <w:p>
      <w:pPr>
        <w:ind w:firstLine="640" w:firstLineChars="200"/>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基本支出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w:t>
      </w:r>
      <w:r>
        <w:rPr>
          <w:rStyle w:val="14"/>
          <w:rFonts w:hint="eastAsia" w:ascii="仿宋" w:hAnsi="仿宋" w:eastAsia="仿宋" w:cs="仿宋"/>
          <w:b w:val="0"/>
          <w:color w:val="auto"/>
          <w:sz w:val="32"/>
          <w:szCs w:val="32"/>
          <w:highlight w:val="none"/>
          <w:lang w:eastAsia="zh-CN" w:bidi="ar"/>
        </w:rPr>
        <w:t>为</w:t>
      </w:r>
      <w:r>
        <w:rPr>
          <w:rFonts w:hint="eastAsia" w:ascii="仿宋" w:hAnsi="仿宋" w:eastAsia="仿宋" w:cs="仿宋"/>
          <w:color w:val="auto"/>
          <w:sz w:val="32"/>
          <w:szCs w:val="32"/>
          <w:highlight w:val="none"/>
          <w:lang w:eastAsia="zh-CN"/>
        </w:rPr>
        <w:t>2319.60</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预算调整数为</w:t>
      </w:r>
      <w:r>
        <w:rPr>
          <w:rStyle w:val="14"/>
          <w:rFonts w:hint="eastAsia" w:cs="仿宋"/>
          <w:b w:val="0"/>
          <w:color w:val="auto"/>
          <w:sz w:val="32"/>
          <w:szCs w:val="32"/>
          <w:highlight w:val="none"/>
          <w:lang w:val="en-US" w:eastAsia="zh-CN" w:bidi="ar"/>
        </w:rPr>
        <w:t>289.44</w:t>
      </w:r>
      <w:r>
        <w:rPr>
          <w:rStyle w:val="14"/>
          <w:rFonts w:hint="eastAsia" w:ascii="仿宋" w:hAnsi="仿宋" w:eastAsia="仿宋" w:cs="仿宋"/>
          <w:b w:val="0"/>
          <w:color w:val="auto"/>
          <w:sz w:val="32"/>
          <w:szCs w:val="32"/>
          <w:highlight w:val="none"/>
          <w:lang w:val="en-US" w:eastAsia="zh-CN" w:bidi="ar"/>
        </w:rPr>
        <w:t>万元，全年预算数为2609</w:t>
      </w:r>
      <w:r>
        <w:rPr>
          <w:rStyle w:val="14"/>
          <w:rFonts w:hint="eastAsia" w:cs="仿宋"/>
          <w:b w:val="0"/>
          <w:color w:val="auto"/>
          <w:sz w:val="32"/>
          <w:szCs w:val="32"/>
          <w:highlight w:val="none"/>
          <w:lang w:val="en-US" w:eastAsia="zh-CN" w:bidi="ar"/>
        </w:rPr>
        <w:t>.</w:t>
      </w:r>
      <w:r>
        <w:rPr>
          <w:rStyle w:val="14"/>
          <w:rFonts w:hint="eastAsia" w:ascii="仿宋" w:hAnsi="仿宋" w:eastAsia="仿宋" w:cs="仿宋"/>
          <w:b w:val="0"/>
          <w:color w:val="auto"/>
          <w:sz w:val="32"/>
          <w:szCs w:val="32"/>
          <w:highlight w:val="none"/>
          <w:lang w:val="en-US" w:eastAsia="zh-CN" w:bidi="ar"/>
        </w:rPr>
        <w:t>0</w:t>
      </w:r>
      <w:r>
        <w:rPr>
          <w:rStyle w:val="14"/>
          <w:rFonts w:hint="eastAsia" w:cs="仿宋"/>
          <w:b w:val="0"/>
          <w:color w:val="auto"/>
          <w:sz w:val="32"/>
          <w:szCs w:val="32"/>
          <w:highlight w:val="none"/>
          <w:lang w:val="en-US" w:eastAsia="zh-CN" w:bidi="ar"/>
        </w:rPr>
        <w:t>3</w:t>
      </w:r>
      <w:r>
        <w:rPr>
          <w:rStyle w:val="14"/>
          <w:rFonts w:hint="eastAsia" w:ascii="仿宋" w:hAnsi="仿宋" w:eastAsia="仿宋" w:cs="仿宋"/>
          <w:b w:val="0"/>
          <w:color w:val="auto"/>
          <w:sz w:val="32"/>
          <w:szCs w:val="32"/>
          <w:highlight w:val="none"/>
          <w:lang w:val="en-US" w:eastAsia="zh-CN" w:bidi="ar"/>
        </w:rPr>
        <w:t>万元</w:t>
      </w:r>
      <w:r>
        <w:rPr>
          <w:rStyle w:val="14"/>
          <w:rFonts w:hint="eastAsia" w:ascii="仿宋" w:hAnsi="仿宋" w:eastAsia="仿宋" w:cs="仿宋"/>
          <w:b w:val="0"/>
          <w:color w:val="auto"/>
          <w:sz w:val="32"/>
          <w:szCs w:val="32"/>
          <w:highlight w:val="none"/>
          <w:lang w:eastAsia="zh-CN" w:bidi="ar"/>
        </w:rPr>
        <w:t>。主要用于发放人员工资及保障单位基本办公需求。</w:t>
      </w:r>
    </w:p>
    <w:p>
      <w:pPr>
        <w:ind w:firstLine="640" w:firstLineChars="200"/>
        <w:rPr>
          <w:color w:val="auto"/>
          <w:highlight w:val="none"/>
        </w:rPr>
      </w:pPr>
      <w:r>
        <w:rPr>
          <w:rStyle w:val="14"/>
          <w:rFonts w:hint="eastAsia" w:ascii="仿宋" w:hAnsi="仿宋" w:eastAsia="仿宋" w:cs="仿宋"/>
          <w:b w:val="0"/>
          <w:color w:val="auto"/>
          <w:sz w:val="32"/>
          <w:szCs w:val="32"/>
          <w:highlight w:val="none"/>
          <w:lang w:bidi="ar"/>
        </w:rPr>
        <w:t>项目支出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w:t>
      </w:r>
      <w:r>
        <w:rPr>
          <w:rStyle w:val="14"/>
          <w:rFonts w:hint="eastAsia" w:ascii="仿宋" w:hAnsi="仿宋" w:eastAsia="仿宋" w:cs="仿宋"/>
          <w:b w:val="0"/>
          <w:color w:val="auto"/>
          <w:sz w:val="32"/>
          <w:szCs w:val="32"/>
          <w:highlight w:val="none"/>
          <w:lang w:eastAsia="zh-CN" w:bidi="ar"/>
        </w:rPr>
        <w:t>为</w:t>
      </w:r>
      <w:r>
        <w:rPr>
          <w:rFonts w:hint="eastAsia" w:ascii="仿宋" w:hAnsi="仿宋" w:eastAsia="仿宋" w:cs="仿宋"/>
          <w:color w:val="auto"/>
          <w:sz w:val="32"/>
          <w:szCs w:val="32"/>
          <w:highlight w:val="none"/>
          <w:lang w:eastAsia="zh-CN"/>
        </w:rPr>
        <w:t>3968.1</w:t>
      </w:r>
      <w:r>
        <w:rPr>
          <w:rFonts w:hint="eastAsia" w:cs="仿宋"/>
          <w:color w:val="auto"/>
          <w:sz w:val="32"/>
          <w:szCs w:val="32"/>
          <w:highlight w:val="none"/>
          <w:lang w:val="en-US" w:eastAsia="zh-CN"/>
        </w:rPr>
        <w:t>6</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，预算调整数为</w:t>
      </w:r>
      <w:r>
        <w:rPr>
          <w:rStyle w:val="14"/>
          <w:rFonts w:hint="eastAsia" w:cs="仿宋"/>
          <w:b w:val="0"/>
          <w:color w:val="auto"/>
          <w:sz w:val="32"/>
          <w:szCs w:val="32"/>
          <w:highlight w:val="none"/>
          <w:lang w:val="en-US" w:eastAsia="zh-CN" w:bidi="ar"/>
        </w:rPr>
        <w:t>957.97</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4926.13</w:t>
      </w:r>
      <w:r>
        <w:rPr>
          <w:rStyle w:val="14"/>
          <w:rFonts w:hint="eastAsia" w:ascii="仿宋" w:hAnsi="仿宋" w:eastAsia="仿宋" w:cs="仿宋"/>
          <w:b w:val="0"/>
          <w:color w:val="auto"/>
          <w:sz w:val="32"/>
          <w:szCs w:val="32"/>
          <w:highlight w:val="none"/>
          <w:lang w:val="en-US" w:eastAsia="zh-CN" w:bidi="ar"/>
        </w:rPr>
        <w:t>万元。</w:t>
      </w:r>
      <w:r>
        <w:rPr>
          <w:rStyle w:val="14"/>
          <w:rFonts w:hint="eastAsia" w:ascii="仿宋" w:hAnsi="仿宋" w:eastAsia="仿宋" w:cs="仿宋"/>
          <w:b w:val="0"/>
          <w:color w:val="auto"/>
          <w:sz w:val="32"/>
          <w:szCs w:val="32"/>
          <w:highlight w:val="none"/>
          <w:lang w:eastAsia="zh-CN" w:bidi="ar"/>
        </w:rPr>
        <w:t>其中：</w:t>
      </w:r>
      <w:r>
        <w:rPr>
          <w:rStyle w:val="14"/>
          <w:rFonts w:hint="eastAsia" w:ascii="仿宋" w:hAnsi="仿宋" w:eastAsia="仿宋" w:cs="仿宋"/>
          <w:b w:val="0"/>
          <w:color w:val="auto"/>
          <w:sz w:val="32"/>
          <w:szCs w:val="32"/>
          <w:highlight w:val="none"/>
          <w:lang w:val="en-US" w:eastAsia="zh-CN" w:bidi="ar"/>
        </w:rPr>
        <w:t>塔地财农[2022]46号沙财农[2022]31号提前下达2023年中央水利发展资金预算（</w:t>
      </w:r>
      <w:r>
        <w:rPr>
          <w:rStyle w:val="14"/>
          <w:rFonts w:hint="eastAsia" w:cs="仿宋"/>
          <w:b w:val="0"/>
          <w:color w:val="auto"/>
          <w:sz w:val="32"/>
          <w:szCs w:val="32"/>
          <w:highlight w:val="none"/>
          <w:lang w:val="en-US" w:eastAsia="zh-CN" w:bidi="ar"/>
        </w:rPr>
        <w:t>市</w:t>
      </w:r>
      <w:r>
        <w:rPr>
          <w:rStyle w:val="14"/>
          <w:rFonts w:hint="eastAsia" w:ascii="仿宋" w:hAnsi="仿宋" w:eastAsia="仿宋" w:cs="仿宋"/>
          <w:b w:val="0"/>
          <w:color w:val="auto"/>
          <w:sz w:val="32"/>
          <w:szCs w:val="32"/>
          <w:highlight w:val="none"/>
          <w:lang w:val="en-US" w:eastAsia="zh-CN" w:bidi="ar"/>
        </w:rPr>
        <w:t>域节水型社会节水补助项目）项目年初预算为</w:t>
      </w:r>
      <w:r>
        <w:rPr>
          <w:rStyle w:val="14"/>
          <w:rFonts w:hint="eastAsia" w:cs="仿宋"/>
          <w:b w:val="0"/>
          <w:color w:val="auto"/>
          <w:sz w:val="32"/>
          <w:szCs w:val="32"/>
          <w:highlight w:val="none"/>
          <w:lang w:val="en-US" w:eastAsia="zh-CN" w:bidi="ar"/>
        </w:rPr>
        <w:t>40</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40</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节水型社会建设</w:t>
      </w:r>
      <w:r>
        <w:rPr>
          <w:rStyle w:val="14"/>
          <w:rFonts w:hint="eastAsia" w:ascii="仿宋" w:hAnsi="仿宋" w:eastAsia="仿宋" w:cs="仿宋"/>
          <w:b w:val="0"/>
          <w:color w:val="auto"/>
          <w:sz w:val="32"/>
          <w:szCs w:val="32"/>
          <w:highlight w:val="none"/>
          <w:lang w:val="en-US" w:eastAsia="zh-CN" w:bidi="ar"/>
        </w:rPr>
        <w:t>；塔地财农[2022]46号沙财农[2022]31号提前下达2023年中央水利发展资金预算（取水口取水检测计量项目）项目年初预算为</w:t>
      </w:r>
      <w:r>
        <w:rPr>
          <w:rStyle w:val="14"/>
          <w:rFonts w:hint="eastAsia" w:cs="仿宋"/>
          <w:b w:val="0"/>
          <w:color w:val="auto"/>
          <w:sz w:val="32"/>
          <w:szCs w:val="32"/>
          <w:highlight w:val="none"/>
          <w:lang w:val="en-US" w:eastAsia="zh-CN" w:bidi="ar"/>
        </w:rPr>
        <w:t>112</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112</w:t>
      </w:r>
      <w:r>
        <w:rPr>
          <w:rStyle w:val="14"/>
          <w:rFonts w:hint="eastAsia" w:ascii="仿宋" w:hAnsi="仿宋" w:eastAsia="仿宋" w:cs="仿宋"/>
          <w:b w:val="0"/>
          <w:color w:val="auto"/>
          <w:sz w:val="32"/>
          <w:szCs w:val="32"/>
          <w:highlight w:val="none"/>
          <w:lang w:val="en-US" w:eastAsia="zh-CN" w:bidi="ar"/>
        </w:rPr>
        <w:t>万元，主要用于保证使用即上线，保证用水信息的及时上传及统计；沙湾市水利管理站2023年日协贷款项目年初预算为</w:t>
      </w:r>
      <w:r>
        <w:rPr>
          <w:rStyle w:val="14"/>
          <w:rFonts w:hint="eastAsia" w:cs="仿宋"/>
          <w:b w:val="0"/>
          <w:color w:val="auto"/>
          <w:sz w:val="32"/>
          <w:szCs w:val="32"/>
          <w:highlight w:val="none"/>
          <w:lang w:val="en-US" w:eastAsia="zh-CN" w:bidi="ar"/>
        </w:rPr>
        <w:t>90</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90</w:t>
      </w:r>
      <w:r>
        <w:rPr>
          <w:rStyle w:val="14"/>
          <w:rFonts w:hint="eastAsia" w:ascii="仿宋" w:hAnsi="仿宋" w:eastAsia="仿宋" w:cs="仿宋"/>
          <w:b w:val="0"/>
          <w:color w:val="auto"/>
          <w:sz w:val="32"/>
          <w:szCs w:val="32"/>
          <w:highlight w:val="none"/>
          <w:lang w:val="en-US" w:eastAsia="zh-CN" w:bidi="ar"/>
        </w:rPr>
        <w:t>万元，主要用于偿还第二十五第二十六次日协贷款；沙湾市水利管理站2023年网络通讯费项目年初预算为</w:t>
      </w:r>
      <w:r>
        <w:rPr>
          <w:rStyle w:val="14"/>
          <w:rFonts w:hint="eastAsia" w:cs="仿宋"/>
          <w:b w:val="0"/>
          <w:color w:val="auto"/>
          <w:sz w:val="32"/>
          <w:szCs w:val="32"/>
          <w:highlight w:val="none"/>
          <w:lang w:val="en-US" w:eastAsia="zh-CN" w:bidi="ar"/>
        </w:rPr>
        <w:t>9.16</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9.16</w:t>
      </w:r>
      <w:r>
        <w:rPr>
          <w:rStyle w:val="14"/>
          <w:rFonts w:hint="eastAsia" w:ascii="仿宋" w:hAnsi="仿宋" w:eastAsia="仿宋" w:cs="仿宋"/>
          <w:b w:val="0"/>
          <w:color w:val="auto"/>
          <w:sz w:val="32"/>
          <w:szCs w:val="32"/>
          <w:highlight w:val="none"/>
          <w:lang w:val="en-US" w:eastAsia="zh-CN" w:bidi="ar"/>
        </w:rPr>
        <w:t>万元，主要用</w:t>
      </w:r>
      <w:r>
        <w:rPr>
          <w:rStyle w:val="14"/>
          <w:rFonts w:hint="eastAsia" w:cs="仿宋"/>
          <w:b w:val="0"/>
          <w:color w:val="auto"/>
          <w:sz w:val="32"/>
          <w:szCs w:val="32"/>
          <w:highlight w:val="none"/>
          <w:lang w:val="en-US" w:eastAsia="zh-CN" w:bidi="ar"/>
        </w:rPr>
        <w:t>于支付水利管理站2023年网络费</w:t>
      </w:r>
      <w:r>
        <w:rPr>
          <w:rStyle w:val="14"/>
          <w:rFonts w:hint="eastAsia" w:ascii="仿宋" w:hAnsi="仿宋" w:eastAsia="仿宋" w:cs="仿宋"/>
          <w:b w:val="0"/>
          <w:color w:val="auto"/>
          <w:sz w:val="32"/>
          <w:szCs w:val="32"/>
          <w:highlight w:val="none"/>
          <w:lang w:val="en-US" w:eastAsia="zh-CN" w:bidi="ar"/>
        </w:rPr>
        <w:t>；沙湾市水利管理站2023年各站所冬季取暖费项目年初预算为</w:t>
      </w:r>
      <w:r>
        <w:rPr>
          <w:rStyle w:val="14"/>
          <w:rFonts w:hint="eastAsia" w:cs="仿宋"/>
          <w:b w:val="0"/>
          <w:color w:val="auto"/>
          <w:sz w:val="32"/>
          <w:szCs w:val="32"/>
          <w:highlight w:val="none"/>
          <w:lang w:val="en-US" w:eastAsia="zh-CN" w:bidi="ar"/>
        </w:rPr>
        <w:t>15</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15</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支付</w:t>
      </w:r>
      <w:r>
        <w:rPr>
          <w:rStyle w:val="14"/>
          <w:rFonts w:hint="eastAsia" w:ascii="仿宋" w:hAnsi="仿宋" w:eastAsia="仿宋" w:cs="仿宋"/>
          <w:b w:val="0"/>
          <w:color w:val="auto"/>
          <w:sz w:val="32"/>
          <w:szCs w:val="32"/>
          <w:highlight w:val="none"/>
          <w:lang w:val="en-US" w:eastAsia="zh-CN" w:bidi="ar"/>
        </w:rPr>
        <w:t>2023年各站所冬季取暖费；水利管理站塔地财农[2022]46号沙财农[2022]31号提前下达2023年中央水利发展资金预算中型灌区改造项目年初预算为</w:t>
      </w:r>
      <w:r>
        <w:rPr>
          <w:rStyle w:val="14"/>
          <w:rFonts w:hint="eastAsia" w:cs="仿宋"/>
          <w:b w:val="0"/>
          <w:color w:val="auto"/>
          <w:sz w:val="32"/>
          <w:szCs w:val="32"/>
          <w:highlight w:val="none"/>
          <w:lang w:val="en-US" w:eastAsia="zh-CN" w:bidi="ar"/>
        </w:rPr>
        <w:t>3650</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3650</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完成总长度48.23km的渠道改造</w:t>
      </w:r>
      <w:r>
        <w:rPr>
          <w:rStyle w:val="14"/>
          <w:rFonts w:hint="eastAsia" w:ascii="仿宋" w:hAnsi="仿宋" w:eastAsia="仿宋" w:cs="仿宋"/>
          <w:b w:val="0"/>
          <w:color w:val="auto"/>
          <w:sz w:val="32"/>
          <w:szCs w:val="32"/>
          <w:highlight w:val="none"/>
          <w:lang w:val="en-US" w:eastAsia="zh-CN" w:bidi="ar"/>
        </w:rPr>
        <w:t>；</w:t>
      </w:r>
      <w:r>
        <w:rPr>
          <w:rStyle w:val="14"/>
          <w:rFonts w:hint="eastAsia" w:cs="仿宋"/>
          <w:b w:val="0"/>
          <w:color w:val="auto"/>
          <w:sz w:val="32"/>
          <w:szCs w:val="32"/>
          <w:highlight w:val="none"/>
          <w:lang w:val="en-US" w:eastAsia="zh-CN" w:bidi="ar"/>
        </w:rPr>
        <w:t>关于提前下达2023年中央水利发展资金预算的通知[地下水超采治理]</w:t>
      </w:r>
      <w:r>
        <w:rPr>
          <w:rStyle w:val="14"/>
          <w:rFonts w:hint="eastAsia" w:ascii="仿宋" w:hAnsi="仿宋" w:eastAsia="仿宋" w:cs="仿宋"/>
          <w:b w:val="0"/>
          <w:color w:val="auto"/>
          <w:sz w:val="32"/>
          <w:szCs w:val="32"/>
          <w:highlight w:val="none"/>
          <w:lang w:val="en-US" w:eastAsia="zh-CN" w:bidi="ar"/>
        </w:rPr>
        <w:t>项目年初预算为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124.1</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124.1</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地下水超采治理</w:t>
      </w:r>
      <w:r>
        <w:rPr>
          <w:rStyle w:val="14"/>
          <w:rFonts w:hint="eastAsia" w:ascii="仿宋" w:hAnsi="仿宋" w:eastAsia="仿宋" w:cs="仿宋"/>
          <w:b w:val="0"/>
          <w:color w:val="auto"/>
          <w:sz w:val="32"/>
          <w:szCs w:val="32"/>
          <w:highlight w:val="none"/>
          <w:lang w:val="en-US" w:eastAsia="zh-CN" w:bidi="ar"/>
        </w:rPr>
        <w:t>；塔地财农[2022]51号-2022年农业生产和水利救灾资金（第九批）项目年初预算为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100</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100</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水毁修复项目；水利管理站2023年项目待摊投资费用</w:t>
      </w:r>
      <w:r>
        <w:rPr>
          <w:rStyle w:val="14"/>
          <w:rFonts w:hint="eastAsia" w:ascii="仿宋" w:hAnsi="仿宋" w:eastAsia="仿宋" w:cs="仿宋"/>
          <w:b w:val="0"/>
          <w:color w:val="auto"/>
          <w:sz w:val="32"/>
          <w:szCs w:val="32"/>
          <w:highlight w:val="none"/>
          <w:lang w:val="en-US" w:eastAsia="zh-CN" w:bidi="ar"/>
        </w:rPr>
        <w:t>项目年初预算为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243.24</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243.24</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玛河防洪治理工程勘察设计费、沙湾市大南沟水库建设工程前期勘察设计费、玛纳斯河沙湾市柳毛湾沙门子村段林木补偿费、沙湾市宁家河东湾镇四道班至张家庄村段中小河流治理工程林木补偿费、宁家河中型灌区林木补偿费</w:t>
      </w:r>
      <w:r>
        <w:rPr>
          <w:rStyle w:val="14"/>
          <w:rFonts w:hint="eastAsia" w:ascii="仿宋" w:hAnsi="仿宋" w:eastAsia="仿宋" w:cs="仿宋"/>
          <w:b w:val="0"/>
          <w:color w:val="auto"/>
          <w:sz w:val="32"/>
          <w:szCs w:val="32"/>
          <w:highlight w:val="none"/>
          <w:lang w:val="en-US" w:eastAsia="zh-CN" w:bidi="ar"/>
        </w:rPr>
        <w:t>；</w:t>
      </w:r>
      <w:r>
        <w:rPr>
          <w:rStyle w:val="14"/>
          <w:rFonts w:hint="eastAsia" w:cs="仿宋"/>
          <w:b w:val="0"/>
          <w:color w:val="auto"/>
          <w:sz w:val="32"/>
          <w:szCs w:val="32"/>
          <w:highlight w:val="none"/>
          <w:lang w:val="en-US" w:eastAsia="zh-CN" w:bidi="ar"/>
        </w:rPr>
        <w:t>市级配套井电双控建设项目一期、二期、调度中心、鑫科兴商贸有限公司、翠山绿化项目尾款</w:t>
      </w:r>
      <w:r>
        <w:rPr>
          <w:rStyle w:val="14"/>
          <w:rFonts w:hint="eastAsia" w:ascii="仿宋" w:hAnsi="仿宋" w:eastAsia="仿宋" w:cs="仿宋"/>
          <w:b w:val="0"/>
          <w:color w:val="auto"/>
          <w:sz w:val="32"/>
          <w:szCs w:val="32"/>
          <w:highlight w:val="none"/>
          <w:lang w:val="en-US" w:eastAsia="zh-CN" w:bidi="ar"/>
        </w:rPr>
        <w:t>项目年初预算为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234.91</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234.91</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井电双控建设项目一期、二期、调度中心、鑫科兴商贸有限公司、翠山绿化项目尾款</w:t>
      </w:r>
      <w:r>
        <w:rPr>
          <w:rStyle w:val="14"/>
          <w:rFonts w:hint="eastAsia" w:ascii="仿宋" w:hAnsi="仿宋" w:eastAsia="仿宋" w:cs="仿宋"/>
          <w:b w:val="0"/>
          <w:color w:val="auto"/>
          <w:sz w:val="32"/>
          <w:szCs w:val="32"/>
          <w:highlight w:val="none"/>
          <w:lang w:val="en-US" w:eastAsia="zh-CN" w:bidi="ar"/>
        </w:rPr>
        <w:t>；</w:t>
      </w:r>
      <w:r>
        <w:rPr>
          <w:rStyle w:val="14"/>
          <w:rFonts w:hint="eastAsia" w:cs="仿宋"/>
          <w:b w:val="0"/>
          <w:color w:val="auto"/>
          <w:sz w:val="32"/>
          <w:szCs w:val="32"/>
          <w:highlight w:val="none"/>
          <w:lang w:val="en-US" w:eastAsia="zh-CN" w:bidi="ar"/>
        </w:rPr>
        <w:t>沙湾市水利管理站修建宁家河中小河流防洪堤长度项目</w:t>
      </w:r>
      <w:r>
        <w:rPr>
          <w:rStyle w:val="14"/>
          <w:rFonts w:hint="eastAsia" w:ascii="仿宋" w:hAnsi="仿宋" w:eastAsia="仿宋" w:cs="仿宋"/>
          <w:b w:val="0"/>
          <w:color w:val="auto"/>
          <w:sz w:val="32"/>
          <w:szCs w:val="32"/>
          <w:highlight w:val="none"/>
          <w:lang w:val="en-US" w:eastAsia="zh-CN" w:bidi="ar"/>
        </w:rPr>
        <w:t>年初预算为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125.72</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125.72</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支付玛河灌区、金沟河灌区、宁家河灌区农田灌溉测算分析款、沙湾市宁家河东湾镇四道班至张家庄村段中小河流治理工程三标段工程款</w:t>
      </w:r>
      <w:r>
        <w:rPr>
          <w:rStyle w:val="14"/>
          <w:rFonts w:hint="eastAsia" w:ascii="仿宋" w:hAnsi="仿宋" w:eastAsia="仿宋" w:cs="仿宋"/>
          <w:b w:val="0"/>
          <w:color w:val="auto"/>
          <w:sz w:val="32"/>
          <w:szCs w:val="32"/>
          <w:highlight w:val="none"/>
          <w:lang w:val="en-US" w:eastAsia="zh-CN" w:bidi="ar"/>
        </w:rPr>
        <w:t>；</w:t>
      </w:r>
      <w:r>
        <w:rPr>
          <w:rStyle w:val="14"/>
          <w:rFonts w:hint="eastAsia" w:cs="仿宋"/>
          <w:b w:val="0"/>
          <w:color w:val="auto"/>
          <w:sz w:val="32"/>
          <w:szCs w:val="32"/>
          <w:highlight w:val="none"/>
          <w:lang w:val="en-US" w:eastAsia="zh-CN" w:bidi="ar"/>
        </w:rPr>
        <w:t>2022年、2023年“为民办实事”工作专项经费</w:t>
      </w:r>
      <w:r>
        <w:rPr>
          <w:rStyle w:val="14"/>
          <w:rFonts w:hint="eastAsia" w:ascii="仿宋" w:hAnsi="仿宋" w:eastAsia="仿宋" w:cs="仿宋"/>
          <w:b w:val="0"/>
          <w:color w:val="auto"/>
          <w:sz w:val="32"/>
          <w:szCs w:val="32"/>
          <w:highlight w:val="none"/>
          <w:lang w:val="en-US" w:eastAsia="zh-CN" w:bidi="ar"/>
        </w:rPr>
        <w:t>项目年初预算为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130</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130</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2022年、2023年“为民办实事”工作专项经费。</w:t>
      </w:r>
    </w:p>
    <w:p>
      <w:pPr>
        <w:pStyle w:val="3"/>
        <w:spacing w:line="570" w:lineRule="exact"/>
        <w:ind w:firstLine="640"/>
        <w:rPr>
          <w:rFonts w:ascii="黑体" w:hAnsi="黑体"/>
          <w:b w:val="0"/>
          <w:color w:val="auto"/>
          <w:sz w:val="32"/>
          <w:szCs w:val="32"/>
          <w:highlight w:val="none"/>
        </w:rPr>
      </w:pPr>
      <w:r>
        <w:rPr>
          <w:rFonts w:hint="eastAsia" w:ascii="黑体" w:hAnsi="黑体"/>
          <w:b w:val="0"/>
          <w:color w:val="auto"/>
          <w:sz w:val="32"/>
          <w:szCs w:val="32"/>
          <w:highlight w:val="none"/>
        </w:rPr>
        <w:t>二、部门单位整体支出管理及使用情况</w:t>
      </w:r>
    </w:p>
    <w:p>
      <w:pPr>
        <w:pStyle w:val="4"/>
        <w:numPr>
          <w:ilvl w:val="0"/>
          <w:numId w:val="2"/>
        </w:numPr>
        <w:spacing w:line="570" w:lineRule="exact"/>
        <w:ind w:firstLineChars="0"/>
        <w:rPr>
          <w:rFonts w:ascii="楷体_GB2312" w:eastAsia="楷体_GB2312"/>
          <w:color w:val="auto"/>
          <w:szCs w:val="32"/>
          <w:highlight w:val="none"/>
        </w:rPr>
      </w:pPr>
      <w:r>
        <w:rPr>
          <w:rFonts w:hint="eastAsia" w:ascii="楷体_GB2312" w:eastAsia="楷体_GB2312"/>
          <w:bCs/>
          <w:color w:val="auto"/>
          <w:szCs w:val="32"/>
          <w:highlight w:val="none"/>
        </w:rPr>
        <w:t>预算管理情况</w:t>
      </w:r>
    </w:p>
    <w:p>
      <w:pPr>
        <w:pStyle w:val="16"/>
        <w:snapToGrid w:val="0"/>
        <w:spacing w:line="570" w:lineRule="exact"/>
        <w:ind w:firstLine="643"/>
        <w:outlineLvl w:val="2"/>
        <w:rPr>
          <w:rStyle w:val="14"/>
          <w:rFonts w:ascii="仿宋_GB2312" w:hAnsi="仿宋_GB2312" w:eastAsia="仿宋_GB2312" w:cs="仿宋_GB2312"/>
          <w:bCs w:val="0"/>
          <w:color w:val="auto"/>
          <w:sz w:val="32"/>
          <w:szCs w:val="32"/>
          <w:highlight w:val="none"/>
          <w:lang w:bidi="ar"/>
        </w:rPr>
      </w:pPr>
      <w:r>
        <w:rPr>
          <w:rStyle w:val="14"/>
          <w:rFonts w:hint="eastAsia" w:ascii="仿宋_GB2312" w:hAnsi="仿宋_GB2312" w:eastAsia="仿宋_GB2312" w:cs="仿宋_GB2312"/>
          <w:bCs w:val="0"/>
          <w:color w:val="auto"/>
          <w:sz w:val="32"/>
          <w:szCs w:val="32"/>
          <w:highlight w:val="none"/>
          <w:lang w:bidi="ar"/>
        </w:rPr>
        <w:t>1.管理制度健全性</w:t>
      </w:r>
    </w:p>
    <w:p>
      <w:pPr>
        <w:ind w:firstLine="640"/>
        <w:rPr>
          <w:rStyle w:val="14"/>
          <w:rFonts w:ascii="仿宋_GB2312" w:eastAsia="仿宋_GB2312"/>
          <w:b w:val="0"/>
          <w:bCs w:val="0"/>
          <w:color w:val="auto"/>
          <w:sz w:val="32"/>
          <w:szCs w:val="32"/>
          <w:highlight w:val="none"/>
        </w:rPr>
      </w:pPr>
      <w:r>
        <w:rPr>
          <w:rStyle w:val="14"/>
          <w:rFonts w:hint="eastAsia" w:ascii="仿宋_GB2312" w:hAnsi="仿宋_GB2312" w:eastAsia="仿宋_GB2312" w:cs="仿宋_GB2312"/>
          <w:b w:val="0"/>
          <w:color w:val="auto"/>
          <w:sz w:val="32"/>
          <w:szCs w:val="32"/>
          <w:highlight w:val="none"/>
          <w:lang w:bidi="ar"/>
        </w:rPr>
        <w:t>本单位为加强预算管理，规范财务行为，已制定了《</w:t>
      </w:r>
      <w:r>
        <w:rPr>
          <w:rStyle w:val="14"/>
          <w:rFonts w:hint="eastAsia" w:ascii="仿宋_GB2312" w:hAnsi="仿宋_GB2312" w:eastAsia="仿宋_GB2312" w:cs="仿宋_GB2312"/>
          <w:b w:val="0"/>
          <w:color w:val="auto"/>
          <w:sz w:val="32"/>
          <w:szCs w:val="32"/>
          <w:highlight w:val="none"/>
          <w:lang w:val="en-US" w:eastAsia="zh-CN" w:bidi="ar"/>
        </w:rPr>
        <w:t>沙湾市水利管理站</w:t>
      </w:r>
      <w:r>
        <w:rPr>
          <w:rStyle w:val="14"/>
          <w:rFonts w:hint="eastAsia" w:ascii="仿宋_GB2312" w:hAnsi="仿宋_GB2312" w:eastAsia="仿宋_GB2312" w:cs="仿宋_GB2312"/>
          <w:b w:val="0"/>
          <w:color w:val="auto"/>
          <w:sz w:val="32"/>
          <w:szCs w:val="32"/>
          <w:highlight w:val="none"/>
          <w:lang w:bidi="ar"/>
        </w:rPr>
        <w:t>部门单位预算绩效管理工作实施办法</w:t>
      </w: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val="en-US" w:eastAsia="zh-CN" w:bidi="ar"/>
        </w:rPr>
        <w:t>沙湾市水利管理站</w:t>
      </w:r>
      <w:r>
        <w:rPr>
          <w:rStyle w:val="14"/>
          <w:rFonts w:hint="eastAsia" w:ascii="仿宋_GB2312" w:hAnsi="仿宋_GB2312" w:eastAsia="仿宋_GB2312" w:cs="仿宋_GB2312"/>
          <w:b w:val="0"/>
          <w:color w:val="auto"/>
          <w:sz w:val="32"/>
          <w:szCs w:val="32"/>
          <w:highlight w:val="none"/>
          <w:lang w:bidi="ar"/>
        </w:rPr>
        <w:t>单位财务管理制度》等较为健全的各项管理制度，</w:t>
      </w:r>
      <w:r>
        <w:rPr>
          <w:rFonts w:hint="eastAsia" w:ascii="仿宋_GB2312" w:eastAsia="仿宋_GB2312"/>
          <w:color w:val="auto"/>
          <w:sz w:val="32"/>
          <w:szCs w:val="32"/>
          <w:highlight w:val="none"/>
        </w:rPr>
        <w:t>并严格按照相关管理制度文件要求范围使用预算资金，严格按照政府信息公开有关规定及财政部门要求公开相关预决算信息，</w:t>
      </w:r>
      <w:r>
        <w:rPr>
          <w:rStyle w:val="14"/>
          <w:rFonts w:hint="eastAsia" w:ascii="仿宋_GB2312" w:hAnsi="仿宋_GB2312" w:eastAsia="仿宋_GB2312" w:cs="仿宋_GB2312"/>
          <w:b w:val="0"/>
          <w:color w:val="auto"/>
          <w:sz w:val="32"/>
          <w:szCs w:val="32"/>
          <w:highlight w:val="none"/>
          <w:lang w:bidi="ar"/>
        </w:rPr>
        <w:t>有效提高了本单位高效</w:t>
      </w:r>
      <w:r>
        <w:rPr>
          <w:rStyle w:val="14"/>
          <w:rFonts w:hint="eastAsia" w:ascii="仿宋_GB2312" w:hAnsi="仿宋_GB2312" w:eastAsia="仿宋_GB2312" w:cs="仿宋_GB2312"/>
          <w:b w:val="0"/>
          <w:color w:val="auto"/>
          <w:sz w:val="32"/>
          <w:szCs w:val="32"/>
          <w:highlight w:val="none"/>
          <w:lang w:val="en-US" w:eastAsia="zh-CN" w:bidi="ar"/>
        </w:rPr>
        <w:t>地</w:t>
      </w:r>
      <w:r>
        <w:rPr>
          <w:rStyle w:val="14"/>
          <w:rFonts w:hint="eastAsia" w:ascii="仿宋_GB2312" w:hAnsi="仿宋_GB2312" w:eastAsia="仿宋_GB2312" w:cs="仿宋_GB2312"/>
          <w:b w:val="0"/>
          <w:color w:val="auto"/>
          <w:sz w:val="32"/>
          <w:szCs w:val="32"/>
          <w:highlight w:val="none"/>
          <w:lang w:bidi="ar"/>
        </w:rPr>
        <w:t>履行工作职能，较好</w:t>
      </w:r>
      <w:r>
        <w:rPr>
          <w:rStyle w:val="14"/>
          <w:rFonts w:hint="eastAsia" w:ascii="仿宋_GB2312" w:hAnsi="仿宋_GB2312" w:eastAsia="仿宋_GB2312" w:cs="仿宋_GB2312"/>
          <w:b w:val="0"/>
          <w:color w:val="auto"/>
          <w:sz w:val="32"/>
          <w:szCs w:val="32"/>
          <w:highlight w:val="none"/>
          <w:lang w:val="en-US" w:eastAsia="zh-CN" w:bidi="ar"/>
        </w:rPr>
        <w:t>地</w:t>
      </w:r>
      <w:r>
        <w:rPr>
          <w:rStyle w:val="14"/>
          <w:rFonts w:hint="eastAsia" w:ascii="仿宋_GB2312" w:hAnsi="仿宋_GB2312" w:eastAsia="仿宋_GB2312" w:cs="仿宋_GB2312"/>
          <w:b w:val="0"/>
          <w:color w:val="auto"/>
          <w:sz w:val="32"/>
          <w:szCs w:val="32"/>
          <w:highlight w:val="none"/>
          <w:lang w:bidi="ar"/>
        </w:rPr>
        <w:t>促进了相关事业的发展。</w:t>
      </w:r>
    </w:p>
    <w:p>
      <w:pPr>
        <w:pStyle w:val="16"/>
        <w:snapToGrid w:val="0"/>
        <w:spacing w:line="570" w:lineRule="exact"/>
        <w:ind w:firstLine="643"/>
        <w:outlineLvl w:val="2"/>
        <w:rPr>
          <w:rStyle w:val="14"/>
          <w:rFonts w:ascii="仿宋_GB2312" w:hAnsi="仿宋_GB2312" w:eastAsia="仿宋_GB2312" w:cs="仿宋_GB2312"/>
          <w:bCs w:val="0"/>
          <w:color w:val="auto"/>
          <w:sz w:val="32"/>
          <w:szCs w:val="32"/>
          <w:highlight w:val="none"/>
          <w:lang w:bidi="ar"/>
        </w:rPr>
      </w:pPr>
      <w:r>
        <w:rPr>
          <w:rStyle w:val="14"/>
          <w:rFonts w:hint="eastAsia" w:ascii="仿宋_GB2312" w:hAnsi="仿宋_GB2312" w:eastAsia="仿宋_GB2312" w:cs="仿宋_GB2312"/>
          <w:bCs w:val="0"/>
          <w:color w:val="auto"/>
          <w:sz w:val="32"/>
          <w:szCs w:val="32"/>
          <w:highlight w:val="none"/>
          <w:lang w:bidi="ar"/>
        </w:rPr>
        <w:t>2.资金使用合规性和安全性</w:t>
      </w:r>
    </w:p>
    <w:p>
      <w:pPr>
        <w:pStyle w:val="16"/>
        <w:snapToGrid w:val="0"/>
        <w:spacing w:line="570" w:lineRule="exact"/>
        <w:ind w:firstLine="640"/>
        <w:rPr>
          <w:rStyle w:val="14"/>
          <w:rFonts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6"/>
        <w:snapToGrid w:val="0"/>
        <w:spacing w:line="570" w:lineRule="exact"/>
        <w:ind w:firstLine="643"/>
        <w:outlineLvl w:val="2"/>
        <w:rPr>
          <w:rStyle w:val="14"/>
          <w:rFonts w:ascii="仿宋_GB2312" w:hAnsi="仿宋_GB2312" w:eastAsia="仿宋_GB2312" w:cs="仿宋_GB2312"/>
          <w:bCs w:val="0"/>
          <w:color w:val="auto"/>
          <w:sz w:val="32"/>
          <w:szCs w:val="32"/>
          <w:highlight w:val="none"/>
          <w:lang w:bidi="ar"/>
        </w:rPr>
      </w:pPr>
      <w:r>
        <w:rPr>
          <w:rStyle w:val="14"/>
          <w:rFonts w:hint="eastAsia" w:ascii="仿宋_GB2312" w:hAnsi="仿宋_GB2312" w:eastAsia="仿宋_GB2312" w:cs="仿宋_GB2312"/>
          <w:bCs w:val="0"/>
          <w:color w:val="auto"/>
          <w:sz w:val="32"/>
          <w:szCs w:val="32"/>
          <w:highlight w:val="none"/>
          <w:lang w:bidi="ar"/>
        </w:rPr>
        <w:t>3.预决算信息公开性</w:t>
      </w:r>
    </w:p>
    <w:p>
      <w:pPr>
        <w:pStyle w:val="16"/>
        <w:snapToGrid w:val="0"/>
        <w:spacing w:line="57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按照</w:t>
      </w:r>
      <w:r>
        <w:rPr>
          <w:rStyle w:val="14"/>
          <w:rFonts w:hint="eastAsia" w:ascii="仿宋_GB2312" w:hAnsi="仿宋_GB2312" w:eastAsia="仿宋_GB2312" w:cs="仿宋_GB2312"/>
          <w:b w:val="0"/>
          <w:color w:val="auto"/>
          <w:sz w:val="32"/>
          <w:szCs w:val="32"/>
          <w:highlight w:val="none"/>
          <w:lang w:eastAsia="zh-CN" w:bidi="ar"/>
        </w:rPr>
        <w:t>塔城</w:t>
      </w:r>
      <w:r>
        <w:rPr>
          <w:rStyle w:val="14"/>
          <w:rFonts w:hint="eastAsia" w:ascii="仿宋_GB2312" w:hAnsi="仿宋_GB2312" w:eastAsia="仿宋_GB2312" w:cs="仿宋_GB2312"/>
          <w:b w:val="0"/>
          <w:color w:val="auto"/>
          <w:sz w:val="32"/>
          <w:szCs w:val="32"/>
          <w:highlight w:val="none"/>
          <w:lang w:bidi="ar"/>
        </w:rPr>
        <w:t>地区财政局预决算信息公开工作要求，我单位在</w:t>
      </w:r>
      <w:r>
        <w:rPr>
          <w:rStyle w:val="14"/>
          <w:rFonts w:hint="eastAsia" w:ascii="仿宋_GB2312" w:hAnsi="仿宋_GB2312" w:eastAsia="仿宋_GB2312" w:cs="仿宋_GB2312"/>
          <w:b w:val="0"/>
          <w:color w:val="auto"/>
          <w:sz w:val="32"/>
          <w:szCs w:val="32"/>
          <w:highlight w:val="none"/>
          <w:lang w:eastAsia="zh-CN" w:bidi="ar"/>
        </w:rPr>
        <w:t>塔城</w:t>
      </w:r>
      <w:r>
        <w:rPr>
          <w:rStyle w:val="14"/>
          <w:rFonts w:hint="eastAsia" w:ascii="仿宋_GB2312" w:hAnsi="仿宋_GB2312" w:eastAsia="仿宋_GB2312" w:cs="仿宋_GB2312"/>
          <w:b w:val="0"/>
          <w:color w:val="auto"/>
          <w:sz w:val="32"/>
          <w:szCs w:val="32"/>
          <w:highlight w:val="none"/>
          <w:lang w:bidi="ar"/>
        </w:rPr>
        <w:t>地区政府信息网财政信息公开专栏对本单位预决算信息进行了公开。公开内容主要包括：本单位主要职能、机构及人员情况，收入、支出预算安排及决算情况，</w:t>
      </w:r>
      <w:r>
        <w:rPr>
          <w:rStyle w:val="14"/>
          <w:rFonts w:hint="eastAsia" w:ascii="仿宋_GB2312" w:hAnsi="仿宋_GB2312" w:eastAsia="仿宋_GB2312" w:cs="仿宋_GB2312"/>
          <w:b w:val="0"/>
          <w:color w:val="auto"/>
          <w:sz w:val="32"/>
          <w:szCs w:val="32"/>
          <w:highlight w:val="none"/>
          <w:lang w:eastAsia="zh-CN" w:bidi="ar"/>
        </w:rPr>
        <w:t>“三公”经费</w:t>
      </w:r>
      <w:r>
        <w:rPr>
          <w:rStyle w:val="14"/>
          <w:rFonts w:hint="eastAsia" w:ascii="仿宋_GB2312" w:hAnsi="仿宋_GB2312" w:eastAsia="仿宋_GB2312" w:cs="仿宋_GB2312"/>
          <w:b w:val="0"/>
          <w:color w:val="auto"/>
          <w:sz w:val="32"/>
          <w:szCs w:val="32"/>
          <w:highlight w:val="none"/>
          <w:lang w:bidi="ar"/>
        </w:rPr>
        <w:t>预算安排及决算情况，政府采购情况，国有资产占用情况，预算绩效情况等信息，主动接受社会各界监督。</w:t>
      </w:r>
    </w:p>
    <w:p>
      <w:pPr>
        <w:pStyle w:val="3"/>
        <w:spacing w:line="570" w:lineRule="exact"/>
        <w:ind w:firstLine="640"/>
        <w:rPr>
          <w:rFonts w:hint="eastAsia" w:ascii="黑体" w:hAnsi="黑体"/>
          <w:b w:val="0"/>
          <w:color w:val="auto"/>
          <w:sz w:val="32"/>
          <w:szCs w:val="32"/>
          <w:highlight w:val="none"/>
        </w:rPr>
      </w:pPr>
      <w:r>
        <w:rPr>
          <w:rFonts w:hint="eastAsia" w:ascii="黑体" w:hAnsi="黑体"/>
          <w:b w:val="0"/>
          <w:color w:val="auto"/>
          <w:sz w:val="32"/>
          <w:szCs w:val="32"/>
          <w:highlight w:val="none"/>
          <w:lang w:val="en-US" w:eastAsia="zh-CN"/>
        </w:rPr>
        <w:t>三、</w:t>
      </w:r>
      <w:r>
        <w:rPr>
          <w:rFonts w:hint="eastAsia" w:ascii="黑体" w:hAnsi="黑体"/>
          <w:b w:val="0"/>
          <w:color w:val="auto"/>
          <w:sz w:val="32"/>
          <w:szCs w:val="32"/>
          <w:highlight w:val="none"/>
        </w:rPr>
        <w:t>基本支出预算安排及支出情况</w:t>
      </w:r>
    </w:p>
    <w:p>
      <w:pPr>
        <w:spacing w:line="570" w:lineRule="exact"/>
        <w:ind w:firstLine="643"/>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1.基本支出情况</w:t>
      </w:r>
    </w:p>
    <w:p>
      <w:pPr>
        <w:spacing w:line="57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沙湾市水利管理站</w:t>
      </w:r>
      <w:r>
        <w:rPr>
          <w:rFonts w:hint="eastAsia" w:ascii="仿宋_GB2312" w:eastAsia="仿宋_GB2312"/>
          <w:color w:val="auto"/>
          <w:sz w:val="32"/>
          <w:szCs w:val="32"/>
          <w:highlight w:val="none"/>
        </w:rPr>
        <w:t>基本支出年初预算金额为</w:t>
      </w:r>
      <w:r>
        <w:rPr>
          <w:rFonts w:hint="eastAsia" w:ascii="仿宋" w:hAnsi="仿宋" w:eastAsia="仿宋" w:cs="仿宋"/>
          <w:color w:val="auto"/>
          <w:sz w:val="32"/>
          <w:szCs w:val="32"/>
          <w:highlight w:val="none"/>
          <w:lang w:eastAsia="zh-CN"/>
        </w:rPr>
        <w:t>2319.60</w:t>
      </w:r>
      <w:r>
        <w:rPr>
          <w:rFonts w:hint="eastAsia" w:ascii="仿宋_GB2312" w:eastAsia="仿宋_GB2312"/>
          <w:color w:val="auto"/>
          <w:sz w:val="32"/>
          <w:szCs w:val="32"/>
          <w:highlight w:val="none"/>
        </w:rPr>
        <w:t>万元，实际支出金额为</w:t>
      </w:r>
      <w:r>
        <w:rPr>
          <w:rFonts w:hint="eastAsia" w:ascii="仿宋" w:hAnsi="仿宋" w:eastAsia="仿宋" w:cs="仿宋"/>
          <w:color w:val="auto"/>
          <w:sz w:val="32"/>
          <w:szCs w:val="32"/>
          <w:highlight w:val="none"/>
          <w:lang w:eastAsia="zh-CN"/>
        </w:rPr>
        <w:t>2319.60</w:t>
      </w:r>
      <w:r>
        <w:rPr>
          <w:rFonts w:hint="eastAsia" w:ascii="仿宋_GB2312" w:eastAsia="仿宋_GB2312"/>
          <w:color w:val="auto"/>
          <w:sz w:val="32"/>
          <w:szCs w:val="32"/>
          <w:highlight w:val="none"/>
        </w:rPr>
        <w:t>万元，预算执行率为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年中调整预算金额为</w:t>
      </w:r>
      <w:r>
        <w:rPr>
          <w:rFonts w:hint="eastAsia" w:ascii="仿宋_GB2312" w:eastAsia="仿宋_GB2312"/>
          <w:color w:val="auto"/>
          <w:sz w:val="32"/>
          <w:szCs w:val="32"/>
          <w:highlight w:val="none"/>
          <w:lang w:val="en-US" w:eastAsia="zh-CN"/>
        </w:rPr>
        <w:t>357.62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调整后基本支出总预算金额为</w:t>
      </w:r>
      <w:r>
        <w:rPr>
          <w:rFonts w:hint="eastAsia" w:ascii="仿宋_GB2312" w:eastAsia="仿宋_GB2312"/>
          <w:color w:val="auto"/>
          <w:sz w:val="32"/>
          <w:szCs w:val="32"/>
          <w:highlight w:val="none"/>
        </w:rPr>
        <w:t>2609</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0</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全年基本支出总预算执行率为100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p>
    <w:p>
      <w:pPr>
        <w:spacing w:line="57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综上所述，我单位基本支出预算总额为2609</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0</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万元，实际支出总额为2609</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0</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万元，预算总执行率为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%，其中人员经费2516</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7</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万元，公用经费92</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3</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万元。</w:t>
      </w:r>
    </w:p>
    <w:p>
      <w:pPr>
        <w:spacing w:line="570" w:lineRule="exact"/>
        <w:ind w:firstLine="640"/>
        <w:rPr>
          <w:rFonts w:hint="eastAsia" w:ascii="仿宋_GB2312" w:eastAsia="仿宋_GB2312"/>
          <w:bCs/>
          <w:color w:val="auto"/>
          <w:sz w:val="32"/>
          <w:szCs w:val="32"/>
          <w:highlight w:val="none"/>
        </w:rPr>
      </w:pPr>
      <w:r>
        <w:rPr>
          <w:rFonts w:hint="eastAsia" w:ascii="仿宋_GB2312" w:eastAsia="仿宋_GB2312"/>
          <w:bCs/>
          <w:color w:val="auto"/>
          <w:sz w:val="32"/>
          <w:szCs w:val="32"/>
          <w:highlight w:val="none"/>
        </w:rPr>
        <w:t>本单位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spacing w:line="570" w:lineRule="exact"/>
        <w:ind w:firstLine="643"/>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2.“三公”经费情况</w:t>
      </w:r>
    </w:p>
    <w:p>
      <w:pPr>
        <w:pStyle w:val="16"/>
        <w:snapToGrid w:val="0"/>
        <w:spacing w:line="570" w:lineRule="exact"/>
        <w:ind w:firstLine="640"/>
        <w:rPr>
          <w:rFonts w:hint="eastAsia" w:ascii="仿宋_GB2312" w:eastAsia="仿宋_GB2312" w:cs="宋体"/>
          <w:color w:val="auto"/>
          <w:sz w:val="32"/>
          <w:szCs w:val="32"/>
          <w:highlight w:val="none"/>
        </w:rPr>
      </w:pPr>
      <w:r>
        <w:rPr>
          <w:rFonts w:hint="eastAsia" w:ascii="仿宋_GB2312" w:eastAsia="仿宋_GB2312" w:cs="宋体"/>
          <w:bCs/>
          <w:color w:val="auto"/>
          <w:sz w:val="32"/>
          <w:szCs w:val="32"/>
          <w:highlight w:val="none"/>
          <w:lang w:bidi="ar"/>
        </w:rPr>
        <w:t>本单位坚决贯彻落实中央、自治区、地委行署厉行勤俭办公的工作要求，</w:t>
      </w:r>
      <w:r>
        <w:rPr>
          <w:rFonts w:hint="eastAsia" w:ascii="仿宋_GB2312" w:eastAsia="仿宋_GB2312" w:cs="宋体"/>
          <w:color w:val="auto"/>
          <w:sz w:val="32"/>
          <w:szCs w:val="32"/>
          <w:highlight w:val="none"/>
        </w:rPr>
        <w:t>严格执行《党政机关厉行节约反对浪费条例</w:t>
      </w:r>
    </w:p>
    <w:p>
      <w:pPr>
        <w:pStyle w:val="16"/>
        <w:snapToGrid w:val="0"/>
        <w:spacing w:line="570" w:lineRule="exact"/>
        <w:ind w:firstLine="640"/>
        <w:rPr>
          <w:rFonts w:hint="eastAsia" w:ascii="仿宋_GB2312" w:eastAsia="仿宋_GB2312" w:cs="宋体"/>
          <w:bCs/>
          <w:color w:val="auto"/>
          <w:sz w:val="32"/>
          <w:szCs w:val="32"/>
          <w:highlight w:val="none"/>
          <w:lang w:bidi="ar"/>
        </w:rPr>
      </w:pPr>
      <w:r>
        <w:rPr>
          <w:rFonts w:hint="eastAsia" w:ascii="仿宋_GB2312" w:eastAsia="仿宋_GB2312" w:cs="宋体"/>
          <w:color w:val="auto"/>
          <w:sz w:val="32"/>
          <w:szCs w:val="32"/>
          <w:highlight w:val="none"/>
        </w:rPr>
        <w:t>》</w:t>
      </w:r>
      <w:r>
        <w:rPr>
          <w:rFonts w:hint="eastAsia" w:ascii="仿宋_GB2312" w:eastAsia="仿宋_GB2312" w:cs="宋体"/>
          <w:color w:val="auto"/>
          <w:sz w:val="32"/>
          <w:szCs w:val="32"/>
          <w:highlight w:val="none"/>
          <w:lang w:eastAsia="zh-CN"/>
        </w:rPr>
        <w:t>，</w:t>
      </w:r>
      <w:r>
        <w:rPr>
          <w:rFonts w:hint="eastAsia" w:ascii="仿宋_GB2312" w:eastAsia="仿宋_GB2312" w:cs="宋体"/>
          <w:bCs/>
          <w:color w:val="auto"/>
          <w:sz w:val="32"/>
          <w:szCs w:val="32"/>
          <w:highlight w:val="none"/>
          <w:lang w:bidi="ar"/>
        </w:rPr>
        <w:t>提倡本单位全体干部职工，勤俭节约，切实降低行政运行成本，确保每年</w:t>
      </w:r>
      <w:r>
        <w:rPr>
          <w:rFonts w:hint="eastAsia" w:ascii="仿宋_GB2312" w:eastAsia="仿宋_GB2312" w:cs="宋体"/>
          <w:bCs/>
          <w:color w:val="auto"/>
          <w:sz w:val="32"/>
          <w:szCs w:val="32"/>
          <w:highlight w:val="none"/>
          <w:lang w:eastAsia="zh-CN" w:bidi="ar"/>
        </w:rPr>
        <w:t>“三公”经费</w:t>
      </w:r>
      <w:r>
        <w:rPr>
          <w:rFonts w:hint="eastAsia" w:ascii="仿宋_GB2312" w:eastAsia="仿宋_GB2312" w:cs="宋体"/>
          <w:bCs/>
          <w:color w:val="auto"/>
          <w:sz w:val="32"/>
          <w:szCs w:val="32"/>
          <w:highlight w:val="none"/>
          <w:lang w:bidi="ar"/>
        </w:rPr>
        <w:t>只减不增。</w:t>
      </w:r>
      <w:r>
        <w:rPr>
          <w:rFonts w:hint="eastAsia" w:ascii="仿宋_GB2312" w:eastAsia="仿宋_GB2312" w:cs="宋体"/>
          <w:bCs/>
          <w:color w:val="auto"/>
          <w:sz w:val="32"/>
          <w:szCs w:val="32"/>
          <w:highlight w:val="none"/>
          <w:lang w:eastAsia="zh-CN" w:bidi="ar"/>
        </w:rPr>
        <w:t>2023</w:t>
      </w:r>
      <w:r>
        <w:rPr>
          <w:rFonts w:hint="eastAsia" w:ascii="仿宋_GB2312" w:eastAsia="仿宋_GB2312" w:cs="宋体"/>
          <w:bCs/>
          <w:color w:val="auto"/>
          <w:sz w:val="32"/>
          <w:szCs w:val="32"/>
          <w:highlight w:val="none"/>
          <w:lang w:bidi="ar"/>
        </w:rPr>
        <w:t>年</w:t>
      </w:r>
      <w:r>
        <w:rPr>
          <w:rFonts w:hint="eastAsia" w:ascii="仿宋_GB2312" w:eastAsia="仿宋_GB2312" w:cs="宋体"/>
          <w:bCs/>
          <w:color w:val="auto"/>
          <w:sz w:val="32"/>
          <w:szCs w:val="32"/>
          <w:highlight w:val="none"/>
          <w:lang w:eastAsia="zh-CN" w:bidi="ar"/>
        </w:rPr>
        <w:t>“三公”经费</w:t>
      </w:r>
      <w:r>
        <w:rPr>
          <w:rFonts w:hint="eastAsia" w:ascii="仿宋_GB2312" w:eastAsia="仿宋_GB2312" w:cs="宋体"/>
          <w:bCs/>
          <w:color w:val="auto"/>
          <w:sz w:val="32"/>
          <w:szCs w:val="32"/>
          <w:highlight w:val="none"/>
          <w:lang w:bidi="ar"/>
        </w:rPr>
        <w:t>预算为</w:t>
      </w:r>
      <w:r>
        <w:rPr>
          <w:rFonts w:hint="eastAsia" w:ascii="仿宋_GB2312" w:eastAsia="仿宋_GB2312"/>
          <w:color w:val="auto"/>
          <w:sz w:val="32"/>
          <w:szCs w:val="32"/>
          <w:highlight w:val="none"/>
        </w:rPr>
        <w:t>24</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6</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rPr>
        <w:t>21</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64</w:t>
      </w:r>
      <w:r>
        <w:rPr>
          <w:rFonts w:hint="eastAsia" w:ascii="仿宋_GB2312" w:eastAsia="仿宋_GB2312" w:cs="宋体"/>
          <w:bCs/>
          <w:color w:val="auto"/>
          <w:sz w:val="32"/>
          <w:szCs w:val="32"/>
          <w:highlight w:val="none"/>
          <w:lang w:bidi="ar"/>
        </w:rPr>
        <w:t>万元，</w:t>
      </w:r>
      <w:r>
        <w:rPr>
          <w:rFonts w:hint="eastAsia" w:ascii="仿宋_GB2312" w:eastAsia="仿宋_GB2312" w:cs="宋体"/>
          <w:color w:val="auto"/>
          <w:sz w:val="32"/>
          <w:szCs w:val="32"/>
          <w:highlight w:val="none"/>
        </w:rPr>
        <w:t>较上年“三公”经费决算支出</w:t>
      </w:r>
      <w:r>
        <w:rPr>
          <w:rFonts w:hint="eastAsia" w:ascii="仿宋_GB2312" w:eastAsia="仿宋_GB2312"/>
          <w:color w:val="auto"/>
          <w:sz w:val="32"/>
          <w:szCs w:val="32"/>
          <w:highlight w:val="none"/>
        </w:rPr>
        <w:t>21</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19</w:t>
      </w:r>
      <w:r>
        <w:rPr>
          <w:rFonts w:hint="eastAsia" w:ascii="仿宋_GB2312" w:eastAsia="仿宋_GB2312" w:cs="宋体"/>
          <w:color w:val="auto"/>
          <w:sz w:val="32"/>
          <w:szCs w:val="32"/>
          <w:highlight w:val="none"/>
        </w:rPr>
        <w:t>万元，</w:t>
      </w:r>
      <w:r>
        <w:rPr>
          <w:rFonts w:hint="eastAsia" w:ascii="仿宋_GB2312" w:eastAsia="仿宋_GB2312" w:cs="宋体"/>
          <w:color w:val="auto"/>
          <w:sz w:val="32"/>
          <w:szCs w:val="32"/>
          <w:highlight w:val="none"/>
          <w:lang w:val="en-US" w:eastAsia="zh-CN"/>
        </w:rPr>
        <w:t>增加</w:t>
      </w:r>
      <w:r>
        <w:rPr>
          <w:rFonts w:hint="eastAsia" w:ascii="仿宋_GB2312" w:eastAsia="仿宋_GB2312"/>
          <w:color w:val="auto"/>
          <w:sz w:val="32"/>
          <w:szCs w:val="32"/>
          <w:highlight w:val="none"/>
          <w:lang w:val="en-US" w:eastAsia="zh-CN"/>
        </w:rPr>
        <w:t>0.45</w:t>
      </w:r>
      <w:r>
        <w:rPr>
          <w:rFonts w:hint="eastAsia" w:ascii="仿宋_GB2312" w:eastAsia="仿宋_GB2312" w:cs="宋体"/>
          <w:color w:val="auto"/>
          <w:sz w:val="32"/>
          <w:szCs w:val="32"/>
          <w:highlight w:val="none"/>
        </w:rPr>
        <w:t>万元，</w:t>
      </w:r>
      <w:r>
        <w:rPr>
          <w:rFonts w:hint="eastAsia" w:ascii="仿宋_GB2312" w:eastAsia="仿宋_GB2312" w:cs="宋体"/>
          <w:color w:val="auto"/>
          <w:sz w:val="32"/>
          <w:szCs w:val="32"/>
          <w:highlight w:val="none"/>
          <w:lang w:val="en-US" w:eastAsia="zh-CN"/>
        </w:rPr>
        <w:t>增加</w:t>
      </w:r>
      <w:r>
        <w:rPr>
          <w:rFonts w:hint="eastAsia" w:ascii="仿宋_GB2312" w:eastAsia="仿宋_GB2312" w:cs="宋体"/>
          <w:color w:val="auto"/>
          <w:sz w:val="32"/>
          <w:szCs w:val="32"/>
          <w:highlight w:val="none"/>
        </w:rPr>
        <w:t>2.15%</w:t>
      </w:r>
      <w:r>
        <w:rPr>
          <w:rFonts w:hint="eastAsia" w:ascii="仿宋_GB2312" w:eastAsia="仿宋_GB2312" w:cs="宋体"/>
          <w:color w:val="auto"/>
          <w:sz w:val="32"/>
          <w:szCs w:val="32"/>
          <w:highlight w:val="none"/>
          <w:lang w:eastAsia="zh-CN"/>
        </w:rPr>
        <w:t>；</w:t>
      </w:r>
      <w:r>
        <w:rPr>
          <w:rFonts w:hint="eastAsia" w:ascii="仿宋_GB2312" w:eastAsia="仿宋_GB2312" w:cs="宋体"/>
          <w:color w:val="auto"/>
          <w:sz w:val="32"/>
          <w:szCs w:val="32"/>
          <w:highlight w:val="none"/>
          <w:lang w:val="en-US" w:eastAsia="zh-CN"/>
        </w:rPr>
        <w:t>增加的原因是：因疫情结束，本年外出驾车出差较上年增加，导致公务用车运行维护费增加</w:t>
      </w:r>
      <w:r>
        <w:rPr>
          <w:rFonts w:hint="eastAsia" w:ascii="仿宋_GB2312" w:eastAsia="仿宋_GB2312" w:cs="宋体"/>
          <w:color w:val="auto"/>
          <w:sz w:val="32"/>
          <w:szCs w:val="32"/>
          <w:highlight w:val="none"/>
        </w:rPr>
        <w:t>。</w:t>
      </w:r>
      <w:r>
        <w:rPr>
          <w:rFonts w:hint="eastAsia" w:ascii="仿宋_GB2312" w:eastAsia="仿宋_GB2312" w:cs="宋体"/>
          <w:bCs/>
          <w:color w:val="auto"/>
          <w:sz w:val="32"/>
          <w:szCs w:val="32"/>
          <w:highlight w:val="none"/>
          <w:lang w:bidi="ar"/>
        </w:rPr>
        <w:t>其中：因公出国（境）费预算为</w:t>
      </w:r>
      <w:r>
        <w:rPr>
          <w:rFonts w:hint="eastAsia" w:ascii="仿宋_GB2312" w:eastAsia="仿宋_GB2312"/>
          <w:color w:val="auto"/>
          <w:sz w:val="32"/>
          <w:szCs w:val="32"/>
          <w:highlight w:val="none"/>
          <w:lang w:val="en-US" w:eastAsia="zh-CN"/>
        </w:rPr>
        <w:t>0</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lang w:val="en-US" w:eastAsia="zh-CN"/>
        </w:rPr>
        <w:t>0</w:t>
      </w:r>
      <w:r>
        <w:rPr>
          <w:rFonts w:hint="eastAsia" w:ascii="仿宋_GB2312" w:eastAsia="仿宋_GB2312" w:cs="宋体"/>
          <w:bCs/>
          <w:color w:val="auto"/>
          <w:sz w:val="32"/>
          <w:szCs w:val="32"/>
          <w:highlight w:val="none"/>
          <w:lang w:bidi="ar"/>
        </w:rPr>
        <w:t>万元；公务接待费预算为</w:t>
      </w:r>
      <w:r>
        <w:rPr>
          <w:rFonts w:hint="eastAsia" w:ascii="仿宋_GB2312" w:eastAsia="仿宋_GB2312"/>
          <w:color w:val="auto"/>
          <w:sz w:val="32"/>
          <w:szCs w:val="32"/>
          <w:highlight w:val="none"/>
          <w:lang w:val="en-US" w:eastAsia="zh-CN"/>
        </w:rPr>
        <w:t>1.6</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lang w:val="en-US" w:eastAsia="zh-CN"/>
        </w:rPr>
        <w:t>1.6</w:t>
      </w:r>
      <w:r>
        <w:rPr>
          <w:rFonts w:hint="eastAsia" w:ascii="仿宋_GB2312" w:eastAsia="仿宋_GB2312" w:cs="宋体"/>
          <w:bCs/>
          <w:color w:val="auto"/>
          <w:sz w:val="32"/>
          <w:szCs w:val="32"/>
          <w:highlight w:val="none"/>
          <w:lang w:bidi="ar"/>
        </w:rPr>
        <w:t>万元；公务用车购置费预算为</w:t>
      </w:r>
      <w:r>
        <w:rPr>
          <w:rFonts w:hint="eastAsia" w:ascii="仿宋_GB2312" w:eastAsia="仿宋_GB2312"/>
          <w:color w:val="auto"/>
          <w:sz w:val="32"/>
          <w:szCs w:val="32"/>
          <w:highlight w:val="none"/>
          <w:lang w:val="en-US" w:eastAsia="zh-CN"/>
        </w:rPr>
        <w:t>0</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lang w:val="en-US" w:eastAsia="zh-CN"/>
        </w:rPr>
        <w:t>0</w:t>
      </w:r>
      <w:r>
        <w:rPr>
          <w:rFonts w:hint="eastAsia" w:ascii="仿宋_GB2312" w:eastAsia="仿宋_GB2312" w:cs="宋体"/>
          <w:bCs/>
          <w:color w:val="auto"/>
          <w:sz w:val="32"/>
          <w:szCs w:val="32"/>
          <w:highlight w:val="none"/>
          <w:lang w:bidi="ar"/>
        </w:rPr>
        <w:t>万元；公务用车运行维护费预算为</w:t>
      </w:r>
      <w:r>
        <w:rPr>
          <w:rFonts w:hint="eastAsia" w:ascii="仿宋_GB2312" w:eastAsia="仿宋_GB2312"/>
          <w:color w:val="auto"/>
          <w:sz w:val="32"/>
          <w:szCs w:val="32"/>
          <w:highlight w:val="none"/>
          <w:lang w:val="en-US" w:eastAsia="zh-CN"/>
        </w:rPr>
        <w:t>23</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0</w:t>
      </w:r>
      <w:r>
        <w:rPr>
          <w:rFonts w:hint="eastAsia" w:ascii="仿宋_GB2312" w:eastAsia="仿宋_GB2312"/>
          <w:color w:val="auto"/>
          <w:sz w:val="32"/>
          <w:szCs w:val="32"/>
          <w:highlight w:val="none"/>
          <w:lang w:val="en-US" w:eastAsia="zh-CN"/>
        </w:rPr>
        <w:t>5</w:t>
      </w:r>
      <w:r>
        <w:rPr>
          <w:rFonts w:hint="eastAsia" w:ascii="仿宋_GB2312" w:eastAsia="仿宋_GB2312" w:cs="宋体"/>
          <w:bCs/>
          <w:color w:val="auto"/>
          <w:sz w:val="32"/>
          <w:szCs w:val="32"/>
          <w:highlight w:val="none"/>
          <w:lang w:bidi="ar"/>
        </w:rPr>
        <w:t>万元，</w:t>
      </w:r>
      <w:r>
        <w:rPr>
          <w:rFonts w:hint="eastAsia" w:ascii="仿宋_GB2312" w:eastAsia="仿宋_GB2312" w:cs="宋体"/>
          <w:bCs/>
          <w:color w:val="auto"/>
          <w:sz w:val="32"/>
          <w:szCs w:val="32"/>
          <w:highlight w:val="none"/>
          <w:lang w:eastAsia="zh-Hans" w:bidi="ar"/>
        </w:rPr>
        <w:t>各项支出均</w:t>
      </w:r>
      <w:r>
        <w:rPr>
          <w:rFonts w:hint="eastAsia" w:ascii="仿宋_GB2312" w:eastAsia="仿宋_GB2312" w:cs="宋体"/>
          <w:bCs/>
          <w:color w:val="auto"/>
          <w:sz w:val="32"/>
          <w:szCs w:val="32"/>
          <w:highlight w:val="none"/>
          <w:lang w:bidi="ar"/>
        </w:rPr>
        <w:t>符合财政部门本年预算要求和相关管理制度要求。</w:t>
      </w:r>
    </w:p>
    <w:p>
      <w:pPr>
        <w:pStyle w:val="4"/>
        <w:numPr>
          <w:ilvl w:val="0"/>
          <w:numId w:val="2"/>
        </w:numPr>
        <w:spacing w:line="570" w:lineRule="exact"/>
        <w:ind w:firstLineChars="0"/>
        <w:rPr>
          <w:rFonts w:hint="eastAsia" w:ascii="楷体_GB2312" w:eastAsia="楷体_GB2312"/>
          <w:bCs/>
          <w:color w:val="auto"/>
          <w:szCs w:val="32"/>
          <w:highlight w:val="none"/>
        </w:rPr>
      </w:pPr>
      <w:r>
        <w:rPr>
          <w:rFonts w:hint="eastAsia" w:ascii="楷体_GB2312" w:eastAsia="楷体_GB2312"/>
          <w:bCs/>
          <w:color w:val="auto"/>
          <w:szCs w:val="32"/>
          <w:highlight w:val="none"/>
        </w:rPr>
        <w:t>项目支出预算安排及支出情况</w:t>
      </w:r>
    </w:p>
    <w:p>
      <w:pPr>
        <w:ind w:firstLine="643"/>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1.项目支出情况</w:t>
      </w:r>
    </w:p>
    <w:p>
      <w:pPr>
        <w:bidi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沙湾市水利管理站</w:t>
      </w:r>
      <w:r>
        <w:rPr>
          <w:rFonts w:hint="eastAsia" w:ascii="仿宋_GB2312" w:hAnsi="仿宋_GB2312" w:eastAsia="仿宋_GB2312" w:cs="仿宋_GB2312"/>
          <w:color w:val="auto"/>
          <w:sz w:val="32"/>
          <w:szCs w:val="32"/>
          <w:highlight w:val="none"/>
        </w:rPr>
        <w:t>项目支出年初预算金额为</w:t>
      </w:r>
      <w:r>
        <w:rPr>
          <w:rFonts w:hint="eastAsia" w:ascii="仿宋_GB2312" w:hAnsi="仿宋_GB2312" w:eastAsia="仿宋_GB2312" w:cs="仿宋_GB2312"/>
          <w:color w:val="auto"/>
          <w:sz w:val="32"/>
          <w:szCs w:val="32"/>
          <w:highlight w:val="none"/>
          <w:lang w:val="en-US" w:eastAsia="zh-CN"/>
        </w:rPr>
        <w:t>3968.16</w:t>
      </w:r>
      <w:r>
        <w:rPr>
          <w:rFonts w:hint="eastAsia" w:ascii="仿宋_GB2312" w:hAnsi="仿宋_GB2312" w:eastAsia="仿宋_GB2312" w:cs="仿宋_GB2312"/>
          <w:color w:val="auto"/>
          <w:sz w:val="32"/>
          <w:szCs w:val="32"/>
          <w:highlight w:val="none"/>
        </w:rPr>
        <w:t>万元，实际支出金额为</w:t>
      </w:r>
      <w:r>
        <w:rPr>
          <w:rFonts w:hint="eastAsia" w:ascii="仿宋_GB2312" w:hAnsi="仿宋_GB2312" w:eastAsia="仿宋_GB2312" w:cs="仿宋_GB2312"/>
          <w:color w:val="auto"/>
          <w:sz w:val="32"/>
          <w:szCs w:val="32"/>
          <w:highlight w:val="none"/>
          <w:lang w:val="en-US" w:eastAsia="zh-CN"/>
        </w:rPr>
        <w:t>2474.67</w:t>
      </w:r>
      <w:r>
        <w:rPr>
          <w:rFonts w:hint="eastAsia" w:ascii="仿宋_GB2312" w:hAnsi="仿宋_GB2312" w:eastAsia="仿宋_GB2312" w:cs="仿宋_GB2312"/>
          <w:color w:val="auto"/>
          <w:sz w:val="32"/>
          <w:szCs w:val="32"/>
          <w:highlight w:val="none"/>
        </w:rPr>
        <w:t>万元，预算执行率为</w:t>
      </w:r>
      <w:r>
        <w:rPr>
          <w:rFonts w:hint="eastAsia" w:ascii="仿宋_GB2312" w:hAnsi="仿宋_GB2312" w:eastAsia="仿宋_GB2312" w:cs="仿宋_GB2312"/>
          <w:color w:val="auto"/>
          <w:sz w:val="32"/>
          <w:szCs w:val="32"/>
          <w:highlight w:val="none"/>
          <w:lang w:val="en-US" w:eastAsia="zh-CN"/>
        </w:rPr>
        <w:t>62.36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年中调整预算金额为</w:t>
      </w:r>
      <w:r>
        <w:rPr>
          <w:rFonts w:hint="eastAsia" w:ascii="仿宋_GB2312" w:hAnsi="仿宋_GB2312" w:eastAsia="仿宋_GB2312" w:cs="仿宋_GB2312"/>
          <w:color w:val="auto"/>
          <w:sz w:val="32"/>
          <w:szCs w:val="32"/>
          <w:highlight w:val="none"/>
          <w:lang w:val="en-US" w:eastAsia="zh-CN"/>
        </w:rPr>
        <w:t>957.97</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调整后项目支出预算总额</w:t>
      </w:r>
      <w:r>
        <w:rPr>
          <w:rFonts w:hint="eastAsia" w:ascii="仿宋_GB2312" w:hAnsi="仿宋_GB2312" w:eastAsia="仿宋_GB2312" w:cs="仿宋_GB2312"/>
          <w:color w:val="auto"/>
          <w:sz w:val="32"/>
          <w:szCs w:val="32"/>
          <w:highlight w:val="none"/>
        </w:rPr>
        <w:t>为</w:t>
      </w:r>
      <w:r>
        <w:rPr>
          <w:rFonts w:hint="eastAsia" w:ascii="仿宋_GB2312" w:hAnsi="仿宋_GB2312" w:eastAsia="仿宋_GB2312" w:cs="仿宋_GB2312"/>
          <w:color w:val="auto"/>
          <w:sz w:val="32"/>
          <w:szCs w:val="32"/>
          <w:highlight w:val="none"/>
          <w:lang w:val="en-US" w:eastAsia="zh-CN"/>
        </w:rPr>
        <w:t>4926.13</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全年项目预算</w:t>
      </w:r>
      <w:r>
        <w:rPr>
          <w:rFonts w:hint="eastAsia" w:ascii="仿宋_GB2312" w:hAnsi="仿宋_GB2312" w:eastAsia="仿宋_GB2312" w:cs="仿宋_GB2312"/>
          <w:color w:val="auto"/>
          <w:sz w:val="32"/>
          <w:szCs w:val="32"/>
          <w:highlight w:val="none"/>
        </w:rPr>
        <w:t>支出总额为</w:t>
      </w:r>
      <w:r>
        <w:rPr>
          <w:rFonts w:hint="eastAsia" w:ascii="仿宋_GB2312" w:hAnsi="仿宋_GB2312" w:eastAsia="仿宋_GB2312" w:cs="仿宋_GB2312"/>
          <w:color w:val="auto"/>
          <w:sz w:val="32"/>
          <w:szCs w:val="32"/>
          <w:highlight w:val="none"/>
          <w:lang w:val="en-US" w:eastAsia="zh-CN"/>
        </w:rPr>
        <w:t>2474.67</w:t>
      </w:r>
      <w:r>
        <w:rPr>
          <w:rFonts w:hint="eastAsia" w:ascii="仿宋_GB2312" w:hAnsi="仿宋_GB2312" w:eastAsia="仿宋_GB2312" w:cs="仿宋_GB2312"/>
          <w:color w:val="auto"/>
          <w:sz w:val="32"/>
          <w:szCs w:val="32"/>
          <w:highlight w:val="none"/>
        </w:rPr>
        <w:t>万元，预算总执行率为</w:t>
      </w:r>
      <w:r>
        <w:rPr>
          <w:rFonts w:hint="eastAsia" w:ascii="仿宋_GB2312" w:hAnsi="仿宋_GB2312" w:eastAsia="仿宋_GB2312" w:cs="仿宋_GB2312"/>
          <w:color w:val="auto"/>
          <w:sz w:val="32"/>
          <w:szCs w:val="32"/>
          <w:highlight w:val="none"/>
          <w:lang w:val="en-US" w:eastAsia="zh-CN"/>
        </w:rPr>
        <w:t>50.24</w:t>
      </w:r>
      <w:r>
        <w:rPr>
          <w:rFonts w:hint="eastAsia" w:ascii="仿宋_GB2312" w:hAnsi="仿宋_GB2312" w:eastAsia="仿宋_GB2312" w:cs="仿宋_GB2312"/>
          <w:color w:val="auto"/>
          <w:sz w:val="32"/>
          <w:szCs w:val="32"/>
          <w:highlight w:val="none"/>
        </w:rPr>
        <w:t>%。</w:t>
      </w:r>
    </w:p>
    <w:p>
      <w:pPr>
        <w:bidi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沙湾市水利管理站</w:t>
      </w:r>
      <w:r>
        <w:rPr>
          <w:rFonts w:hint="eastAsia" w:ascii="仿宋_GB2312" w:hAnsi="仿宋_GB2312" w:eastAsia="仿宋_GB2312" w:cs="仿宋_GB2312"/>
          <w:color w:val="auto"/>
          <w:sz w:val="32"/>
          <w:szCs w:val="32"/>
          <w:highlight w:val="none"/>
        </w:rPr>
        <w:t>共有</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个中央、自治区、地区</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rPr>
        <w:t>本级财力安排</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rPr>
        <w:t>项目，已</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rPr>
        <w:t>完成项目</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个、未完成项目</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w:t>
      </w:r>
      <w:r>
        <w:rPr>
          <w:rFonts w:hint="eastAsia" w:ascii="仿宋_GB2312" w:hAnsi="仿宋_GB2312" w:eastAsia="仿宋_GB2312" w:cs="仿宋_GB2312"/>
          <w:color w:val="auto"/>
          <w:sz w:val="32"/>
          <w:szCs w:val="32"/>
          <w:highlight w:val="none"/>
          <w:lang w:val="en-US" w:eastAsia="zh-CN"/>
        </w:rPr>
        <w:t>具体项目实施及资金支出情况如下：（全年所有项目按照中央专项、自治区专项、地区本级项目一一列示）</w:t>
      </w:r>
    </w:p>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中央、自治区及地区专项：</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塔地财农[2022]46号-提前下达2023年中央水利发展资金预算（市域节水型社会节水补助项目）项目，</w:t>
      </w:r>
      <w:r>
        <w:rPr>
          <w:rFonts w:hint="eastAsia" w:ascii="仿宋_GB2312" w:hAnsi="仿宋_GB2312" w:eastAsia="仿宋_GB2312" w:cs="仿宋_GB2312"/>
          <w:color w:val="auto"/>
          <w:sz w:val="32"/>
          <w:szCs w:val="32"/>
          <w:highlight w:val="none"/>
        </w:rPr>
        <w:t>预算金额</w:t>
      </w:r>
      <w:r>
        <w:rPr>
          <w:rFonts w:hint="eastAsia" w:ascii="仿宋_GB2312" w:hAnsi="仿宋_GB2312" w:eastAsia="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rPr>
        <w:t>执行金额</w:t>
      </w:r>
      <w:r>
        <w:rPr>
          <w:rFonts w:hint="eastAsia" w:ascii="仿宋_GB2312" w:hAnsi="仿宋_GB2312" w:eastAsia="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项目已全部实施完成，并经验收合格；项目各项任务指标均已完成。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塔地财农[2022]46号-提前下达2023年中央水利发展资金预算（取水口取水检测计量）项目，</w:t>
      </w:r>
      <w:r>
        <w:rPr>
          <w:rFonts w:hint="eastAsia" w:ascii="仿宋_GB2312" w:hAnsi="仿宋_GB2312" w:eastAsia="仿宋_GB2312" w:cs="仿宋_GB2312"/>
          <w:b w:val="0"/>
          <w:bCs w:val="0"/>
          <w:color w:val="auto"/>
          <w:sz w:val="32"/>
          <w:szCs w:val="32"/>
          <w:highlight w:val="none"/>
        </w:rPr>
        <w:t>预算金额</w:t>
      </w:r>
      <w:r>
        <w:rPr>
          <w:rFonts w:hint="eastAsia" w:cs="仿宋_GB2312"/>
          <w:b w:val="0"/>
          <w:bCs w:val="0"/>
          <w:color w:val="auto"/>
          <w:sz w:val="32"/>
          <w:szCs w:val="32"/>
          <w:highlight w:val="none"/>
          <w:lang w:val="en-US" w:eastAsia="zh-CN"/>
        </w:rPr>
        <w:t>112</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val="en-US" w:eastAsia="zh-CN"/>
        </w:rPr>
        <w:t>全年</w:t>
      </w:r>
      <w:r>
        <w:rPr>
          <w:rFonts w:hint="eastAsia" w:ascii="仿宋_GB2312" w:hAnsi="仿宋_GB2312" w:eastAsia="仿宋_GB2312" w:cs="仿宋_GB2312"/>
          <w:b w:val="0"/>
          <w:bCs w:val="0"/>
          <w:color w:val="auto"/>
          <w:sz w:val="32"/>
          <w:szCs w:val="32"/>
          <w:highlight w:val="none"/>
        </w:rPr>
        <w:t>执行金额</w:t>
      </w:r>
      <w:r>
        <w:rPr>
          <w:rFonts w:hint="eastAsia" w:ascii="仿宋_GB2312" w:hAnsi="仿宋_GB2312" w:eastAsia="仿宋_GB2312" w:cs="仿宋_GB2312"/>
          <w:b w:val="0"/>
          <w:bCs w:val="0"/>
          <w:color w:val="auto"/>
          <w:sz w:val="32"/>
          <w:szCs w:val="32"/>
          <w:highlight w:val="none"/>
          <w:lang w:val="en-US" w:eastAsia="zh-CN"/>
        </w:rPr>
        <w:t>31.75</w:t>
      </w:r>
      <w:r>
        <w:rPr>
          <w:rFonts w:hint="eastAsia" w:ascii="仿宋_GB2312" w:hAnsi="仿宋_GB2312" w:eastAsia="仿宋_GB2312" w:cs="仿宋_GB2312"/>
          <w:b w:val="0"/>
          <w:bCs w:val="0"/>
          <w:color w:val="auto"/>
          <w:sz w:val="32"/>
          <w:szCs w:val="32"/>
          <w:highlight w:val="none"/>
        </w:rPr>
        <w:t>万元，执行率</w:t>
      </w:r>
      <w:r>
        <w:rPr>
          <w:rFonts w:hint="eastAsia" w:cs="仿宋_GB2312"/>
          <w:b w:val="0"/>
          <w:bCs w:val="0"/>
          <w:color w:val="auto"/>
          <w:sz w:val="32"/>
          <w:szCs w:val="32"/>
          <w:highlight w:val="none"/>
          <w:lang w:val="en-US" w:eastAsia="zh-CN"/>
        </w:rPr>
        <w:t>28.35</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w:t>
      </w:r>
    </w:p>
    <w:p>
      <w:pPr>
        <w:pStyle w:val="2"/>
        <w:rPr>
          <w:rFonts w:hint="eastAsia"/>
          <w:color w:val="auto"/>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塔地财农[2022]46号-提前下达2023年中央水利发展资金预算</w:t>
      </w:r>
      <w:r>
        <w:rPr>
          <w:rFonts w:hint="eastAsia"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中型灌区改造</w:t>
      </w:r>
      <w:r>
        <w:rPr>
          <w:rFonts w:hint="eastAsia"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项目，</w:t>
      </w:r>
      <w:r>
        <w:rPr>
          <w:rFonts w:hint="eastAsia" w:ascii="仿宋_GB2312" w:hAnsi="仿宋_GB2312" w:eastAsia="仿宋_GB2312" w:cs="仿宋_GB2312"/>
          <w:b w:val="0"/>
          <w:bCs w:val="0"/>
          <w:color w:val="auto"/>
          <w:sz w:val="32"/>
          <w:szCs w:val="32"/>
          <w:highlight w:val="none"/>
        </w:rPr>
        <w:t>预算金额</w:t>
      </w:r>
      <w:r>
        <w:rPr>
          <w:rFonts w:hint="eastAsia" w:cs="仿宋_GB2312"/>
          <w:b w:val="0"/>
          <w:bCs w:val="0"/>
          <w:color w:val="auto"/>
          <w:sz w:val="32"/>
          <w:szCs w:val="32"/>
          <w:highlight w:val="none"/>
          <w:lang w:val="en-US" w:eastAsia="zh-CN"/>
        </w:rPr>
        <w:t>3650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val="en-US" w:eastAsia="zh-CN"/>
        </w:rPr>
        <w:t>全年</w:t>
      </w:r>
      <w:r>
        <w:rPr>
          <w:rFonts w:hint="eastAsia" w:ascii="仿宋_GB2312" w:hAnsi="仿宋_GB2312" w:eastAsia="仿宋_GB2312" w:cs="仿宋_GB2312"/>
          <w:b w:val="0"/>
          <w:bCs w:val="0"/>
          <w:color w:val="auto"/>
          <w:sz w:val="32"/>
          <w:szCs w:val="32"/>
          <w:highlight w:val="none"/>
        </w:rPr>
        <w:t>执行金额</w:t>
      </w:r>
      <w:r>
        <w:rPr>
          <w:rFonts w:hint="eastAsia" w:cs="仿宋_GB2312"/>
          <w:b w:val="0"/>
          <w:bCs w:val="0"/>
          <w:color w:val="auto"/>
          <w:sz w:val="32"/>
          <w:szCs w:val="32"/>
          <w:highlight w:val="none"/>
          <w:lang w:val="en-US" w:eastAsia="zh-CN"/>
        </w:rPr>
        <w:t>1301.14</w:t>
      </w:r>
      <w:r>
        <w:rPr>
          <w:rFonts w:hint="eastAsia" w:ascii="仿宋_GB2312" w:hAnsi="仿宋_GB2312" w:eastAsia="仿宋_GB2312" w:cs="仿宋_GB2312"/>
          <w:b w:val="0"/>
          <w:bCs w:val="0"/>
          <w:color w:val="auto"/>
          <w:sz w:val="32"/>
          <w:szCs w:val="32"/>
          <w:highlight w:val="none"/>
        </w:rPr>
        <w:t>万元，执行率</w:t>
      </w:r>
      <w:r>
        <w:rPr>
          <w:rFonts w:hint="eastAsia" w:cs="仿宋_GB2312"/>
          <w:b w:val="0"/>
          <w:bCs w:val="0"/>
          <w:color w:val="auto"/>
          <w:sz w:val="32"/>
          <w:szCs w:val="32"/>
          <w:highlight w:val="none"/>
          <w:lang w:val="en-US" w:eastAsia="zh-CN"/>
        </w:rPr>
        <w:t>35.65</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塔地财农[2022]46号-提前下达2023年中央水利发展资金预算（小型水库维修养护项目）项目，</w:t>
      </w:r>
      <w:r>
        <w:rPr>
          <w:rFonts w:hint="eastAsia" w:ascii="仿宋_GB2312" w:hAnsi="仿宋_GB2312" w:eastAsia="仿宋_GB2312" w:cs="仿宋_GB2312"/>
          <w:color w:val="auto"/>
          <w:sz w:val="32"/>
          <w:szCs w:val="32"/>
          <w:highlight w:val="none"/>
        </w:rPr>
        <w:t>预算金额</w:t>
      </w:r>
      <w:r>
        <w:rPr>
          <w:rFonts w:hint="eastAsia" w:ascii="仿宋_GB2312" w:hAnsi="仿宋_GB2312" w:eastAsia="仿宋_GB2312" w:cs="仿宋_GB2312"/>
          <w:color w:val="auto"/>
          <w:sz w:val="32"/>
          <w:szCs w:val="32"/>
          <w:highlight w:val="none"/>
          <w:lang w:val="en-US" w:eastAsia="zh-CN"/>
        </w:rPr>
        <w:t>52</w:t>
      </w:r>
      <w:r>
        <w:rPr>
          <w:rFonts w:hint="eastAsia" w:ascii="仿宋_GB2312" w:hAnsi="仿宋_GB2312" w:eastAsia="仿宋_GB2312" w:cs="仿宋_GB2312"/>
          <w:color w:val="auto"/>
          <w:sz w:val="32"/>
          <w:szCs w:val="32"/>
          <w:highlight w:val="none"/>
        </w:rPr>
        <w:t>万元，执行金额</w:t>
      </w:r>
      <w:r>
        <w:rPr>
          <w:rFonts w:hint="eastAsia" w:ascii="仿宋_GB2312" w:hAnsi="仿宋_GB2312" w:eastAsia="仿宋_GB2312" w:cs="仿宋_GB2312"/>
          <w:color w:val="auto"/>
          <w:sz w:val="32"/>
          <w:szCs w:val="32"/>
          <w:highlight w:val="none"/>
          <w:lang w:val="en-US" w:eastAsia="zh-CN"/>
        </w:rPr>
        <w:t>52</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项目已全部实施完成，并经验收合格；项目各项任务指标均已完成。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市域节水型社会节水补助项目、小型水库维修养护、地下水超采治理、</w:t>
      </w:r>
      <w:r>
        <w:rPr>
          <w:rFonts w:hint="eastAsia" w:ascii="仿宋_GB2312" w:hAnsi="仿宋_GB2312" w:eastAsia="仿宋_GB2312" w:cs="仿宋_GB2312"/>
          <w:b w:val="0"/>
          <w:bCs w:val="0"/>
          <w:color w:val="auto"/>
          <w:sz w:val="32"/>
          <w:szCs w:val="32"/>
          <w:highlight w:val="none"/>
          <w:lang w:val="en-US" w:eastAsia="zh-CN"/>
        </w:rPr>
        <w:t>取水口取水检测计量</w:t>
      </w:r>
      <w:r>
        <w:rPr>
          <w:rFonts w:hint="eastAsia" w:ascii="仿宋_GB2312" w:hAnsi="仿宋_GB2312" w:eastAsia="仿宋_GB2312" w:cs="仿宋_GB2312"/>
          <w:color w:val="auto"/>
          <w:sz w:val="32"/>
          <w:szCs w:val="32"/>
          <w:highlight w:val="none"/>
          <w:lang w:val="en-US" w:eastAsia="zh-CN"/>
        </w:rPr>
        <w:t>项目目前已完成100%，</w:t>
      </w:r>
      <w:r>
        <w:rPr>
          <w:rFonts w:hint="eastAsia" w:ascii="仿宋_GB2312" w:hAnsi="仿宋_GB2312" w:eastAsia="仿宋_GB2312" w:cs="仿宋_GB2312"/>
          <w:b w:val="0"/>
          <w:bCs w:val="0"/>
          <w:color w:val="auto"/>
          <w:sz w:val="32"/>
          <w:szCs w:val="32"/>
          <w:highlight w:val="none"/>
          <w:lang w:val="en-US" w:eastAsia="zh-CN"/>
        </w:rPr>
        <w:t>中型灌区改造</w:t>
      </w:r>
      <w:r>
        <w:rPr>
          <w:rFonts w:hint="eastAsia" w:ascii="仿宋_GB2312" w:hAnsi="仿宋_GB2312" w:eastAsia="仿宋_GB2312" w:cs="仿宋_GB2312"/>
          <w:color w:val="auto"/>
          <w:sz w:val="32"/>
          <w:szCs w:val="32"/>
          <w:highlight w:val="none"/>
          <w:lang w:val="en-US" w:eastAsia="zh-CN"/>
        </w:rPr>
        <w:t>目前因工程开工较晚等原因未能完成。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塔地财农[2023]9号-关于提前下达2023年中央水利发展资金预算的通知[地下水超采治理]项目，</w:t>
      </w:r>
      <w:r>
        <w:rPr>
          <w:rFonts w:hint="eastAsia" w:ascii="仿宋_GB2312" w:hAnsi="仿宋_GB2312" w:eastAsia="仿宋_GB2312" w:cs="仿宋_GB2312"/>
          <w:b w:val="0"/>
          <w:bCs w:val="0"/>
          <w:color w:val="auto"/>
          <w:sz w:val="32"/>
          <w:szCs w:val="32"/>
          <w:highlight w:val="none"/>
        </w:rPr>
        <w:t>预算金额</w:t>
      </w:r>
      <w:r>
        <w:rPr>
          <w:rFonts w:hint="eastAsia" w:cs="仿宋_GB2312"/>
          <w:b w:val="0"/>
          <w:bCs w:val="0"/>
          <w:color w:val="auto"/>
          <w:sz w:val="32"/>
          <w:szCs w:val="32"/>
          <w:highlight w:val="none"/>
          <w:lang w:val="en-US" w:eastAsia="zh-CN"/>
        </w:rPr>
        <w:t>124.1</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val="en-US" w:eastAsia="zh-CN"/>
        </w:rPr>
        <w:t>全年</w:t>
      </w:r>
      <w:r>
        <w:rPr>
          <w:rFonts w:hint="eastAsia" w:ascii="仿宋_GB2312" w:hAnsi="仿宋_GB2312" w:eastAsia="仿宋_GB2312" w:cs="仿宋_GB2312"/>
          <w:b w:val="0"/>
          <w:bCs w:val="0"/>
          <w:color w:val="auto"/>
          <w:sz w:val="32"/>
          <w:szCs w:val="32"/>
          <w:highlight w:val="none"/>
        </w:rPr>
        <w:t>执行金额</w:t>
      </w:r>
      <w:r>
        <w:rPr>
          <w:rFonts w:hint="eastAsia" w:cs="仿宋_GB2312"/>
          <w:b w:val="0"/>
          <w:bCs w:val="0"/>
          <w:color w:val="auto"/>
          <w:sz w:val="32"/>
          <w:szCs w:val="32"/>
          <w:highlight w:val="none"/>
          <w:lang w:val="en-US" w:eastAsia="zh-CN"/>
        </w:rPr>
        <w:t>124.1</w:t>
      </w:r>
      <w:r>
        <w:rPr>
          <w:rFonts w:hint="eastAsia" w:ascii="仿宋_GB2312" w:hAnsi="仿宋_GB2312" w:eastAsia="仿宋_GB2312" w:cs="仿宋_GB2312"/>
          <w:b w:val="0"/>
          <w:bCs w:val="0"/>
          <w:color w:val="auto"/>
          <w:sz w:val="32"/>
          <w:szCs w:val="32"/>
          <w:highlight w:val="none"/>
        </w:rPr>
        <w:t>万元，执行率</w:t>
      </w:r>
      <w:r>
        <w:rPr>
          <w:rFonts w:hint="eastAsia"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项目</w:t>
      </w:r>
      <w:r>
        <w:rPr>
          <w:rFonts w:hint="eastAsia" w:cs="仿宋_GB2312"/>
          <w:b w:val="0"/>
          <w:bCs w:val="0"/>
          <w:color w:val="auto"/>
          <w:sz w:val="32"/>
          <w:szCs w:val="32"/>
          <w:highlight w:val="none"/>
          <w:lang w:val="en-US" w:eastAsia="zh-CN"/>
        </w:rPr>
        <w:t>为跨年项目，因2023年开工较晚，导致当年未完成工程任务</w:t>
      </w:r>
      <w:r>
        <w:rPr>
          <w:rFonts w:hint="eastAsia" w:ascii="仿宋_GB2312" w:hAnsi="仿宋_GB2312" w:eastAsia="仿宋_GB2312" w:cs="仿宋_GB2312"/>
          <w:b w:val="0"/>
          <w:bCs w:val="0"/>
          <w:color w:val="auto"/>
          <w:sz w:val="32"/>
          <w:szCs w:val="32"/>
          <w:highlight w:val="none"/>
          <w:lang w:val="en-US" w:eastAsia="zh-CN"/>
        </w:rPr>
        <w:t>。</w:t>
      </w:r>
    </w:p>
    <w:p>
      <w:pPr>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塔地财农[2021]61号-沙湾市宁家河东湾镇四道班至张家庄村段中小河流治理工程</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预算金额</w:t>
      </w:r>
      <w:r>
        <w:rPr>
          <w:rFonts w:hint="eastAsia" w:ascii="仿宋_GB2312" w:hAnsi="仿宋_GB2312" w:eastAsia="仿宋_GB2312" w:cs="仿宋_GB2312"/>
          <w:b w:val="0"/>
          <w:bCs w:val="0"/>
          <w:color w:val="auto"/>
          <w:sz w:val="32"/>
          <w:szCs w:val="32"/>
          <w:highlight w:val="none"/>
          <w:lang w:val="en-US" w:eastAsia="zh-CN"/>
        </w:rPr>
        <w:t>100.97</w:t>
      </w:r>
      <w:r>
        <w:rPr>
          <w:rFonts w:hint="eastAsia" w:ascii="仿宋_GB2312" w:hAnsi="仿宋_GB2312" w:eastAsia="仿宋_GB2312" w:cs="仿宋_GB2312"/>
          <w:b w:val="0"/>
          <w:bCs w:val="0"/>
          <w:color w:val="auto"/>
          <w:sz w:val="32"/>
          <w:szCs w:val="32"/>
          <w:highlight w:val="none"/>
        </w:rPr>
        <w:t>万元，执行金额</w:t>
      </w:r>
      <w:r>
        <w:rPr>
          <w:rFonts w:hint="eastAsia" w:ascii="仿宋_GB2312" w:hAnsi="仿宋_GB2312" w:eastAsia="仿宋_GB2312" w:cs="仿宋_GB2312"/>
          <w:b w:val="0"/>
          <w:bCs w:val="0"/>
          <w:color w:val="auto"/>
          <w:sz w:val="32"/>
          <w:szCs w:val="32"/>
          <w:highlight w:val="none"/>
          <w:lang w:val="en-US" w:eastAsia="zh-CN"/>
        </w:rPr>
        <w:t>100.97</w:t>
      </w:r>
      <w:r>
        <w:rPr>
          <w:rFonts w:hint="eastAsia" w:ascii="仿宋_GB2312" w:hAnsi="仿宋_GB2312" w:eastAsia="仿宋_GB2312" w:cs="仿宋_GB2312"/>
          <w:b w:val="0"/>
          <w:bCs w:val="0"/>
          <w:color w:val="auto"/>
          <w:sz w:val="32"/>
          <w:szCs w:val="32"/>
          <w:highlight w:val="none"/>
        </w:rPr>
        <w:t>万元，执行率</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项目已全部实施完成，并经验收合格；项目各项任务指标均已完成。</w:t>
      </w:r>
    </w:p>
    <w:p>
      <w:pPr>
        <w:rPr>
          <w:rFonts w:hint="eastAsia" w:ascii="仿宋_GB2312" w:hAnsi="仿宋_GB2312" w:eastAsia="仿宋_GB2312" w:cs="仿宋_GB2312"/>
          <w:b w:val="0"/>
          <w:bCs w:val="0"/>
          <w:color w:val="auto"/>
          <w:sz w:val="32"/>
          <w:szCs w:val="32"/>
          <w:highlight w:val="none"/>
          <w:lang w:val="en-US" w:eastAsia="zh-CN"/>
        </w:rPr>
      </w:pPr>
      <w:r>
        <w:rPr>
          <w:rFonts w:hint="default" w:ascii="仿宋_GB2312" w:hAnsi="仿宋_GB2312" w:eastAsia="仿宋_GB2312" w:cs="仿宋_GB2312"/>
          <w:b w:val="0"/>
          <w:bCs w:val="0"/>
          <w:color w:val="auto"/>
          <w:kern w:val="2"/>
          <w:sz w:val="32"/>
          <w:szCs w:val="32"/>
          <w:highlight w:val="none"/>
          <w:lang w:val="en-US" w:eastAsia="zh-CN" w:bidi="ar-SA"/>
        </w:rPr>
        <w:t>塔地财农[2022]51号-2022年农业生产和水利救灾资金（第九批）</w:t>
      </w:r>
      <w:r>
        <w:rPr>
          <w:rFonts w:hint="eastAsia" w:ascii="仿宋_GB2312" w:hAnsi="仿宋_GB2312" w:eastAsia="仿宋_GB2312" w:cs="仿宋_GB2312"/>
          <w:b w:val="0"/>
          <w:bCs w:val="0"/>
          <w:color w:val="auto"/>
          <w:kern w:val="2"/>
          <w:sz w:val="32"/>
          <w:szCs w:val="32"/>
          <w:highlight w:val="none"/>
          <w:lang w:val="en-US" w:eastAsia="zh-CN" w:bidi="ar-SA"/>
        </w:rPr>
        <w:t>项目，</w:t>
      </w:r>
      <w:r>
        <w:rPr>
          <w:rFonts w:hint="eastAsia" w:ascii="仿宋_GB2312" w:hAnsi="仿宋_GB2312" w:eastAsia="仿宋_GB2312" w:cs="仿宋_GB2312"/>
          <w:b w:val="0"/>
          <w:bCs w:val="0"/>
          <w:color w:val="auto"/>
          <w:sz w:val="32"/>
          <w:szCs w:val="32"/>
          <w:highlight w:val="none"/>
        </w:rPr>
        <w:t>预算金额</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万元，执行金额</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万元，执行率</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项目已全部实施完成，并经验收合格；项目各项任务指标均已完成。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cs="仿宋_GB2312"/>
          <w:b w:val="0"/>
          <w:bCs w:val="0"/>
          <w:color w:val="auto"/>
          <w:sz w:val="32"/>
          <w:szCs w:val="32"/>
          <w:highlight w:val="none"/>
          <w:lang w:val="en-US" w:eastAsia="zh-CN"/>
        </w:rPr>
        <w:t>2022年、2023年“为民办实事”工作专项经费</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预算金额</w:t>
      </w:r>
      <w:r>
        <w:rPr>
          <w:rFonts w:hint="eastAsia" w:cs="仿宋_GB2312"/>
          <w:b w:val="0"/>
          <w:bCs w:val="0"/>
          <w:color w:val="auto"/>
          <w:sz w:val="32"/>
          <w:szCs w:val="32"/>
          <w:highlight w:val="none"/>
          <w:lang w:val="en-US" w:eastAsia="zh-CN"/>
        </w:rPr>
        <w:t>130</w:t>
      </w:r>
      <w:r>
        <w:rPr>
          <w:rFonts w:hint="eastAsia" w:ascii="仿宋_GB2312" w:hAnsi="仿宋_GB2312" w:eastAsia="仿宋_GB2312" w:cs="仿宋_GB2312"/>
          <w:b w:val="0"/>
          <w:bCs w:val="0"/>
          <w:color w:val="auto"/>
          <w:sz w:val="32"/>
          <w:szCs w:val="32"/>
          <w:highlight w:val="none"/>
        </w:rPr>
        <w:t>万元，执行金额</w:t>
      </w:r>
      <w:r>
        <w:rPr>
          <w:rFonts w:hint="eastAsia" w:cs="仿宋_GB2312"/>
          <w:b w:val="0"/>
          <w:bCs w:val="0"/>
          <w:color w:val="auto"/>
          <w:sz w:val="32"/>
          <w:szCs w:val="32"/>
          <w:highlight w:val="none"/>
          <w:lang w:val="en-US" w:eastAsia="zh-CN"/>
        </w:rPr>
        <w:t>120</w:t>
      </w:r>
      <w:r>
        <w:rPr>
          <w:rFonts w:hint="eastAsia" w:ascii="仿宋_GB2312" w:hAnsi="仿宋_GB2312" w:eastAsia="仿宋_GB2312" w:cs="仿宋_GB2312"/>
          <w:b w:val="0"/>
          <w:bCs w:val="0"/>
          <w:color w:val="auto"/>
          <w:sz w:val="32"/>
          <w:szCs w:val="32"/>
          <w:highlight w:val="none"/>
        </w:rPr>
        <w:t>万元，执行率</w:t>
      </w:r>
      <w:r>
        <w:rPr>
          <w:rFonts w:hint="eastAsia" w:ascii="仿宋_GB2312" w:hAnsi="仿宋_GB2312" w:eastAsia="仿宋_GB2312" w:cs="仿宋_GB2312"/>
          <w:b w:val="0"/>
          <w:bCs w:val="0"/>
          <w:color w:val="auto"/>
          <w:sz w:val="32"/>
          <w:szCs w:val="32"/>
          <w:highlight w:val="none"/>
          <w:lang w:val="en-US" w:eastAsia="zh-CN"/>
        </w:rPr>
        <w:t>92.31</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项目已部分实施完成。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以上项目是本单位2023年度实施的中央、自治区及地区</w:t>
      </w:r>
      <w:r>
        <w:rPr>
          <w:rFonts w:hint="eastAsia" w:ascii="仿宋_GB2312" w:hAnsi="仿宋_GB2312" w:eastAsia="仿宋_GB2312" w:cs="仿宋_GB2312"/>
          <w:color w:val="auto"/>
          <w:sz w:val="32"/>
          <w:szCs w:val="32"/>
          <w:highlight w:val="none"/>
        </w:rPr>
        <w:t>专项项目。</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本级项目：</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水利管理站2023年项目待摊投资费用项目，</w:t>
      </w:r>
      <w:r>
        <w:rPr>
          <w:rFonts w:hint="eastAsia" w:ascii="仿宋_GB2312" w:hAnsi="仿宋_GB2312" w:eastAsia="仿宋_GB2312" w:cs="仿宋_GB2312"/>
          <w:color w:val="auto"/>
          <w:sz w:val="32"/>
          <w:szCs w:val="32"/>
          <w:highlight w:val="none"/>
        </w:rPr>
        <w:t>预算金额</w:t>
      </w:r>
      <w:r>
        <w:rPr>
          <w:rFonts w:hint="eastAsia" w:ascii="仿宋_GB2312" w:hAnsi="仿宋_GB2312" w:eastAsia="仿宋_GB2312" w:cs="仿宋_GB2312"/>
          <w:color w:val="auto"/>
          <w:sz w:val="32"/>
          <w:szCs w:val="32"/>
          <w:highlight w:val="none"/>
          <w:lang w:val="en-US" w:eastAsia="zh-CN"/>
        </w:rPr>
        <w:t>243.24</w:t>
      </w:r>
      <w:r>
        <w:rPr>
          <w:rFonts w:hint="eastAsia" w:ascii="仿宋_GB2312" w:hAnsi="仿宋_GB2312" w:eastAsia="仿宋_GB2312" w:cs="仿宋_GB2312"/>
          <w:color w:val="auto"/>
          <w:sz w:val="32"/>
          <w:szCs w:val="32"/>
          <w:highlight w:val="none"/>
        </w:rPr>
        <w:t>万元，执行金额</w:t>
      </w:r>
      <w:r>
        <w:rPr>
          <w:rFonts w:hint="eastAsia" w:ascii="仿宋_GB2312" w:hAnsi="仿宋_GB2312" w:eastAsia="仿宋_GB2312" w:cs="仿宋_GB2312"/>
          <w:color w:val="auto"/>
          <w:sz w:val="32"/>
          <w:szCs w:val="32"/>
          <w:highlight w:val="none"/>
          <w:lang w:val="en-US" w:eastAsia="zh-CN"/>
        </w:rPr>
        <w:t>243.24</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项目已部分实施完成。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市级配套井电双控建设项目一期、二期、调度中心、鑫科兴商贸有限公司、翠山绿化项目尾款，</w:t>
      </w:r>
      <w:r>
        <w:rPr>
          <w:rFonts w:hint="eastAsia" w:ascii="仿宋_GB2312" w:hAnsi="仿宋_GB2312" w:eastAsia="仿宋_GB2312" w:cs="仿宋_GB2312"/>
          <w:color w:val="auto"/>
          <w:sz w:val="32"/>
          <w:szCs w:val="32"/>
          <w:highlight w:val="none"/>
        </w:rPr>
        <w:t>预算金额</w:t>
      </w:r>
      <w:r>
        <w:rPr>
          <w:rFonts w:hint="eastAsia" w:ascii="仿宋_GB2312" w:hAnsi="仿宋_GB2312" w:eastAsia="仿宋_GB2312" w:cs="仿宋_GB2312"/>
          <w:color w:val="auto"/>
          <w:sz w:val="32"/>
          <w:szCs w:val="32"/>
          <w:highlight w:val="none"/>
          <w:lang w:val="en-US" w:eastAsia="zh-CN"/>
        </w:rPr>
        <w:t>234.91</w:t>
      </w:r>
      <w:r>
        <w:rPr>
          <w:rFonts w:hint="eastAsia" w:ascii="仿宋_GB2312" w:hAnsi="仿宋_GB2312" w:eastAsia="仿宋_GB2312" w:cs="仿宋_GB2312"/>
          <w:color w:val="auto"/>
          <w:sz w:val="32"/>
          <w:szCs w:val="32"/>
          <w:highlight w:val="none"/>
        </w:rPr>
        <w:t>万元，执行金额</w:t>
      </w:r>
      <w:r>
        <w:rPr>
          <w:rFonts w:hint="eastAsia" w:ascii="仿宋_GB2312" w:hAnsi="仿宋_GB2312" w:eastAsia="仿宋_GB2312" w:cs="仿宋_GB2312"/>
          <w:color w:val="auto"/>
          <w:sz w:val="32"/>
          <w:szCs w:val="32"/>
          <w:highlight w:val="none"/>
          <w:lang w:val="en-US" w:eastAsia="zh-CN"/>
        </w:rPr>
        <w:t>234.91</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项目已全部实施完成。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沙财字[2023]6号-沙湾市2023年农田灌溉测算分析项目工程款，</w:t>
      </w:r>
      <w:r>
        <w:rPr>
          <w:rFonts w:hint="eastAsia" w:ascii="仿宋_GB2312" w:hAnsi="仿宋_GB2312" w:eastAsia="仿宋_GB2312" w:cs="仿宋_GB2312"/>
          <w:color w:val="auto"/>
          <w:sz w:val="32"/>
          <w:szCs w:val="32"/>
          <w:highlight w:val="none"/>
        </w:rPr>
        <w:t>预算金额</w:t>
      </w:r>
      <w:r>
        <w:rPr>
          <w:rFonts w:hint="eastAsia" w:ascii="仿宋_GB2312" w:hAnsi="仿宋_GB2312" w:eastAsia="仿宋_GB2312" w:cs="仿宋_GB2312"/>
          <w:color w:val="auto"/>
          <w:sz w:val="32"/>
          <w:szCs w:val="32"/>
          <w:highlight w:val="none"/>
          <w:lang w:val="en-US" w:eastAsia="zh-CN"/>
        </w:rPr>
        <w:t>24.75</w:t>
      </w:r>
      <w:r>
        <w:rPr>
          <w:rFonts w:hint="eastAsia" w:ascii="仿宋_GB2312" w:hAnsi="仿宋_GB2312" w:eastAsia="仿宋_GB2312" w:cs="仿宋_GB2312"/>
          <w:color w:val="auto"/>
          <w:sz w:val="32"/>
          <w:szCs w:val="32"/>
          <w:highlight w:val="none"/>
        </w:rPr>
        <w:t>万元，执行金额</w:t>
      </w:r>
      <w:r>
        <w:rPr>
          <w:rFonts w:hint="eastAsia" w:ascii="仿宋_GB2312" w:hAnsi="仿宋_GB2312" w:eastAsia="仿宋_GB2312" w:cs="仿宋_GB2312"/>
          <w:color w:val="auto"/>
          <w:sz w:val="32"/>
          <w:szCs w:val="32"/>
          <w:highlight w:val="none"/>
          <w:lang w:val="en-US" w:eastAsia="zh-CN"/>
        </w:rPr>
        <w:t>24.75</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项目已全部实施完成。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沙湾市水利管理站2023年各站所冬季取暖费，</w:t>
      </w:r>
      <w:r>
        <w:rPr>
          <w:rFonts w:hint="eastAsia" w:ascii="仿宋_GB2312" w:hAnsi="仿宋_GB2312" w:eastAsia="仿宋_GB2312" w:cs="仿宋_GB2312"/>
          <w:color w:val="auto"/>
          <w:sz w:val="32"/>
          <w:szCs w:val="32"/>
          <w:highlight w:val="none"/>
        </w:rPr>
        <w:t>预算金额</w:t>
      </w:r>
      <w:r>
        <w:rPr>
          <w:rFonts w:hint="eastAsia" w:ascii="仿宋_GB2312" w:hAnsi="仿宋_GB2312" w:eastAsia="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万元，执行金额</w:t>
      </w:r>
      <w:r>
        <w:rPr>
          <w:rFonts w:hint="eastAsia" w:ascii="仿宋_GB2312" w:hAnsi="仿宋_GB2312" w:eastAsia="仿宋_GB2312" w:cs="仿宋_GB2312"/>
          <w:color w:val="auto"/>
          <w:sz w:val="32"/>
          <w:szCs w:val="32"/>
          <w:highlight w:val="none"/>
          <w:lang w:val="en-US" w:eastAsia="zh-CN"/>
        </w:rPr>
        <w:t>10.49</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项目已全部实施完成。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沙湾市水利管理站2023年日协贷款项目，</w:t>
      </w:r>
      <w:r>
        <w:rPr>
          <w:rFonts w:hint="eastAsia" w:ascii="仿宋_GB2312" w:hAnsi="仿宋_GB2312" w:eastAsia="仿宋_GB2312" w:cs="仿宋_GB2312"/>
          <w:color w:val="auto"/>
          <w:sz w:val="32"/>
          <w:szCs w:val="32"/>
          <w:highlight w:val="none"/>
        </w:rPr>
        <w:t>预算金额</w:t>
      </w:r>
      <w:r>
        <w:rPr>
          <w:rFonts w:hint="eastAsia" w:ascii="仿宋_GB2312" w:hAnsi="仿宋_GB2312" w:eastAsia="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rPr>
        <w:t>万元，执行金额</w:t>
      </w:r>
      <w:r>
        <w:rPr>
          <w:rFonts w:hint="eastAsia" w:ascii="仿宋_GB2312" w:hAnsi="仿宋_GB2312" w:eastAsia="仿宋_GB2312" w:cs="仿宋_GB2312"/>
          <w:color w:val="auto"/>
          <w:sz w:val="32"/>
          <w:szCs w:val="32"/>
          <w:highlight w:val="none"/>
          <w:lang w:val="en-US" w:eastAsia="zh-CN"/>
        </w:rPr>
        <w:t>85.56</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项目已全部实施完成。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沙湾市水利管理站2023年网络通讯费，</w:t>
      </w:r>
      <w:r>
        <w:rPr>
          <w:rFonts w:hint="eastAsia" w:ascii="仿宋_GB2312" w:hAnsi="仿宋_GB2312" w:eastAsia="仿宋_GB2312" w:cs="仿宋_GB2312"/>
          <w:color w:val="auto"/>
          <w:sz w:val="32"/>
          <w:szCs w:val="32"/>
          <w:highlight w:val="none"/>
        </w:rPr>
        <w:t>预算金额</w:t>
      </w:r>
      <w:r>
        <w:rPr>
          <w:rFonts w:hint="eastAsia" w:ascii="仿宋_GB2312" w:hAnsi="仿宋_GB2312" w:eastAsia="仿宋_GB2312" w:cs="仿宋_GB2312"/>
          <w:color w:val="auto"/>
          <w:sz w:val="32"/>
          <w:szCs w:val="32"/>
          <w:highlight w:val="none"/>
          <w:lang w:val="en-US" w:eastAsia="zh-CN"/>
        </w:rPr>
        <w:t>9.16</w:t>
      </w:r>
      <w:r>
        <w:rPr>
          <w:rFonts w:hint="eastAsia" w:ascii="仿宋_GB2312" w:hAnsi="仿宋_GB2312" w:eastAsia="仿宋_GB2312" w:cs="仿宋_GB2312"/>
          <w:color w:val="auto"/>
          <w:sz w:val="32"/>
          <w:szCs w:val="32"/>
          <w:highlight w:val="none"/>
        </w:rPr>
        <w:t>万元，执行金额</w:t>
      </w:r>
      <w:r>
        <w:rPr>
          <w:rFonts w:hint="eastAsia" w:ascii="仿宋_GB2312" w:hAnsi="仿宋_GB2312" w:eastAsia="仿宋_GB2312" w:cs="仿宋_GB2312"/>
          <w:color w:val="auto"/>
          <w:sz w:val="32"/>
          <w:szCs w:val="32"/>
          <w:highlight w:val="none"/>
          <w:lang w:val="en-US" w:eastAsia="zh-CN"/>
        </w:rPr>
        <w:t>5.94</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64.85</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项目已部分实施完成。</w:t>
      </w:r>
    </w:p>
    <w:p>
      <w:pPr>
        <w:bidi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以上项目是本单位2023年度实施的本级</w:t>
      </w:r>
      <w:r>
        <w:rPr>
          <w:rFonts w:hint="eastAsia" w:ascii="仿宋_GB2312" w:hAnsi="仿宋_GB2312" w:eastAsia="仿宋_GB2312" w:cs="仿宋_GB2312"/>
          <w:color w:val="auto"/>
          <w:sz w:val="32"/>
          <w:szCs w:val="32"/>
          <w:highlight w:val="none"/>
        </w:rPr>
        <w:t>专项项目。</w:t>
      </w:r>
    </w:p>
    <w:p>
      <w:pPr>
        <w:ind w:firstLine="643"/>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lang w:val="en-US" w:eastAsia="zh-CN"/>
        </w:rPr>
        <w:t>2.</w:t>
      </w:r>
      <w:r>
        <w:rPr>
          <w:rFonts w:hint="eastAsia" w:ascii="仿宋_GB2312" w:eastAsia="仿宋_GB2312"/>
          <w:b/>
          <w:bCs/>
          <w:color w:val="auto"/>
          <w:sz w:val="32"/>
          <w:szCs w:val="32"/>
          <w:highlight w:val="none"/>
        </w:rPr>
        <w:t>专项资金总投入及实际使用情况分析</w:t>
      </w:r>
    </w:p>
    <w:p>
      <w:pPr>
        <w:pStyle w:val="10"/>
        <w:widowControl/>
        <w:spacing w:before="0" w:beforeAutospacing="0" w:after="0" w:afterAutospacing="0" w:line="570" w:lineRule="exact"/>
        <w:ind w:firstLine="640"/>
        <w:jc w:val="both"/>
        <w:rPr>
          <w:rFonts w:ascii="仿宋_GB2312" w:eastAsia="仿宋_GB2312" w:cs="仿宋"/>
          <w:color w:val="auto"/>
          <w:sz w:val="32"/>
          <w:szCs w:val="32"/>
          <w:highlight w:val="none"/>
        </w:rPr>
      </w:pPr>
      <w:r>
        <w:rPr>
          <w:rFonts w:hint="eastAsia" w:ascii="仿宋_GB2312" w:eastAsia="仿宋_GB2312" w:cs="仿宋"/>
          <w:color w:val="auto"/>
          <w:sz w:val="32"/>
          <w:szCs w:val="32"/>
          <w:highlight w:val="none"/>
          <w:lang w:eastAsia="zh-CN"/>
        </w:rPr>
        <w:t>2023</w:t>
      </w:r>
      <w:r>
        <w:rPr>
          <w:rFonts w:hint="eastAsia" w:ascii="仿宋_GB2312" w:eastAsia="仿宋_GB2312" w:cs="仿宋"/>
          <w:color w:val="auto"/>
          <w:sz w:val="32"/>
          <w:szCs w:val="32"/>
          <w:highlight w:val="none"/>
        </w:rPr>
        <w:t>年，中央和自治区专项转移支付预算安排专项资金</w:t>
      </w:r>
      <w:r>
        <w:rPr>
          <w:rFonts w:hint="eastAsia" w:ascii="仿宋_GB2312" w:eastAsia="仿宋_GB2312"/>
          <w:color w:val="auto"/>
          <w:sz w:val="32"/>
          <w:szCs w:val="32"/>
          <w:highlight w:val="none"/>
          <w:lang w:val="en-US" w:eastAsia="zh-CN"/>
        </w:rPr>
        <w:t>5868</w:t>
      </w:r>
      <w:r>
        <w:rPr>
          <w:rFonts w:hint="eastAsia" w:ascii="仿宋_GB2312" w:eastAsia="仿宋_GB2312" w:cs="仿宋"/>
          <w:color w:val="auto"/>
          <w:sz w:val="32"/>
          <w:szCs w:val="32"/>
          <w:highlight w:val="none"/>
        </w:rPr>
        <w:t>万元，实际使用</w:t>
      </w:r>
      <w:r>
        <w:rPr>
          <w:rFonts w:hint="eastAsia" w:ascii="仿宋_GB2312" w:eastAsia="仿宋_GB2312"/>
          <w:color w:val="auto"/>
          <w:sz w:val="32"/>
          <w:szCs w:val="32"/>
          <w:highlight w:val="none"/>
          <w:lang w:val="en-US" w:eastAsia="zh-CN"/>
        </w:rPr>
        <w:t>1548.81</w:t>
      </w:r>
      <w:r>
        <w:rPr>
          <w:rFonts w:hint="eastAsia" w:ascii="仿宋_GB2312" w:eastAsia="仿宋_GB2312" w:cs="仿宋"/>
          <w:color w:val="auto"/>
          <w:sz w:val="32"/>
          <w:szCs w:val="32"/>
          <w:highlight w:val="none"/>
        </w:rPr>
        <w:t>万元</w:t>
      </w:r>
      <w:r>
        <w:rPr>
          <w:rFonts w:hint="eastAsia" w:ascii="仿宋_GB2312" w:eastAsia="仿宋_GB2312" w:cs="仿宋"/>
          <w:color w:val="auto"/>
          <w:sz w:val="32"/>
          <w:szCs w:val="32"/>
          <w:highlight w:val="none"/>
          <w:lang w:eastAsia="zh-CN"/>
        </w:rPr>
        <w:t>，</w:t>
      </w:r>
      <w:r>
        <w:rPr>
          <w:rFonts w:hint="eastAsia" w:ascii="仿宋_GB2312" w:eastAsia="仿宋_GB2312" w:cs="仿宋"/>
          <w:color w:val="auto"/>
          <w:sz w:val="32"/>
          <w:szCs w:val="32"/>
          <w:highlight w:val="none"/>
        </w:rPr>
        <w:t>结转</w:t>
      </w:r>
      <w:r>
        <w:rPr>
          <w:rFonts w:hint="eastAsia" w:ascii="仿宋_GB2312" w:eastAsia="仿宋_GB2312"/>
          <w:color w:val="auto"/>
          <w:sz w:val="32"/>
          <w:szCs w:val="32"/>
          <w:highlight w:val="none"/>
          <w:lang w:val="en-US" w:eastAsia="zh-CN"/>
        </w:rPr>
        <w:t>4319.19</w:t>
      </w:r>
      <w:r>
        <w:rPr>
          <w:rFonts w:hint="eastAsia" w:ascii="仿宋_GB2312" w:eastAsia="仿宋_GB2312" w:cs="仿宋"/>
          <w:color w:val="auto"/>
          <w:sz w:val="32"/>
          <w:szCs w:val="32"/>
          <w:highlight w:val="none"/>
        </w:rPr>
        <w:t>万元。结转项目主要为</w:t>
      </w:r>
      <w:r>
        <w:rPr>
          <w:rFonts w:hint="eastAsia" w:ascii="仿宋_GB2312" w:eastAsia="仿宋_GB2312" w:cs="仿宋"/>
          <w:color w:val="auto"/>
          <w:sz w:val="32"/>
          <w:szCs w:val="32"/>
          <w:highlight w:val="none"/>
          <w:lang w:eastAsia="zh-CN"/>
        </w:rPr>
        <w:t>：</w:t>
      </w:r>
    </w:p>
    <w:p>
      <w:pPr>
        <w:pStyle w:val="10"/>
        <w:widowControl/>
        <w:spacing w:before="0" w:beforeAutospacing="0" w:after="0" w:afterAutospacing="0" w:line="570" w:lineRule="exact"/>
        <w:ind w:firstLine="640"/>
        <w:jc w:val="both"/>
        <w:rPr>
          <w:rFonts w:ascii="仿宋_GB2312" w:eastAsia="仿宋_GB2312" w:cs="仿宋"/>
          <w:color w:val="auto"/>
          <w:sz w:val="32"/>
          <w:szCs w:val="32"/>
          <w:highlight w:val="none"/>
        </w:rPr>
      </w:pPr>
      <w:r>
        <w:rPr>
          <w:rFonts w:ascii="仿宋_GB2312" w:eastAsia="仿宋_GB2312" w:cs="仿宋"/>
          <w:color w:val="auto"/>
          <w:sz w:val="32"/>
          <w:szCs w:val="32"/>
          <w:highlight w:val="none"/>
        </w:rPr>
        <w:t>1.</w:t>
      </w:r>
      <w:r>
        <w:rPr>
          <w:rFonts w:hint="eastAsia" w:ascii="仿宋_GB2312" w:eastAsia="仿宋_GB2312" w:cs="仿宋"/>
          <w:color w:val="auto"/>
          <w:sz w:val="32"/>
          <w:szCs w:val="32"/>
          <w:highlight w:val="none"/>
        </w:rPr>
        <w:t>提前下达2023年中央水利发展资金预算项目结转资金</w:t>
      </w:r>
      <w:r>
        <w:rPr>
          <w:rFonts w:hint="eastAsia" w:ascii="仿宋_GB2312" w:eastAsia="仿宋_GB2312"/>
          <w:color w:val="auto"/>
          <w:sz w:val="32"/>
          <w:szCs w:val="32"/>
          <w:highlight w:val="none"/>
          <w:lang w:val="en-US" w:eastAsia="zh-CN"/>
        </w:rPr>
        <w:t>2429.29</w:t>
      </w:r>
      <w:r>
        <w:rPr>
          <w:rFonts w:hint="eastAsia" w:ascii="仿宋_GB2312" w:eastAsia="仿宋_GB2312" w:cs="仿宋"/>
          <w:color w:val="auto"/>
          <w:sz w:val="32"/>
          <w:szCs w:val="32"/>
          <w:highlight w:val="none"/>
        </w:rPr>
        <w:t>万元，结转原因为</w:t>
      </w:r>
      <w:r>
        <w:rPr>
          <w:rFonts w:hint="eastAsia" w:ascii="仿宋_GB2312" w:eastAsia="仿宋_GB2312" w:cs="仿宋"/>
          <w:color w:val="auto"/>
          <w:sz w:val="32"/>
          <w:szCs w:val="32"/>
          <w:highlight w:val="none"/>
          <w:lang w:val="en-US" w:eastAsia="zh-CN"/>
        </w:rPr>
        <w:t>项目招标时间较晚，2023年工程未完工</w:t>
      </w:r>
      <w:r>
        <w:rPr>
          <w:rFonts w:hint="eastAsia" w:ascii="仿宋_GB2312" w:eastAsia="仿宋_GB2312" w:cs="仿宋"/>
          <w:color w:val="auto"/>
          <w:sz w:val="32"/>
          <w:szCs w:val="32"/>
          <w:highlight w:val="none"/>
        </w:rPr>
        <w:t>；</w:t>
      </w:r>
    </w:p>
    <w:p>
      <w:pPr>
        <w:pStyle w:val="10"/>
        <w:widowControl/>
        <w:spacing w:before="0" w:beforeAutospacing="0" w:after="0" w:afterAutospacing="0" w:line="570" w:lineRule="exact"/>
        <w:ind w:firstLine="640"/>
        <w:jc w:val="both"/>
        <w:rPr>
          <w:rFonts w:hint="eastAsia" w:ascii="仿宋_GB2312" w:eastAsia="仿宋_GB2312" w:cs="仿宋"/>
          <w:color w:val="auto"/>
          <w:sz w:val="32"/>
          <w:szCs w:val="32"/>
          <w:highlight w:val="none"/>
        </w:rPr>
      </w:pPr>
      <w:r>
        <w:rPr>
          <w:rFonts w:ascii="仿宋_GB2312" w:eastAsia="仿宋_GB2312" w:cs="仿宋"/>
          <w:color w:val="auto"/>
          <w:sz w:val="32"/>
          <w:szCs w:val="32"/>
          <w:highlight w:val="none"/>
        </w:rPr>
        <w:t>2.</w:t>
      </w:r>
      <w:r>
        <w:rPr>
          <w:rFonts w:hint="eastAsia" w:ascii="仿宋_GB2312" w:eastAsia="仿宋_GB2312" w:cs="仿宋"/>
          <w:color w:val="auto"/>
          <w:sz w:val="32"/>
          <w:szCs w:val="32"/>
          <w:highlight w:val="none"/>
        </w:rPr>
        <w:t>2023年中央水利发展资金预算项目结转资金</w:t>
      </w:r>
      <w:r>
        <w:rPr>
          <w:rFonts w:hint="eastAsia" w:ascii="仿宋_GB2312" w:eastAsia="仿宋_GB2312"/>
          <w:color w:val="auto"/>
          <w:sz w:val="32"/>
          <w:szCs w:val="32"/>
          <w:highlight w:val="none"/>
          <w:lang w:val="en-US" w:eastAsia="zh-CN"/>
        </w:rPr>
        <w:t>1689.9</w:t>
      </w:r>
      <w:r>
        <w:rPr>
          <w:rFonts w:hint="eastAsia" w:ascii="仿宋_GB2312" w:eastAsia="仿宋_GB2312" w:cs="仿宋"/>
          <w:color w:val="auto"/>
          <w:sz w:val="32"/>
          <w:szCs w:val="32"/>
          <w:highlight w:val="none"/>
        </w:rPr>
        <w:t>万元，结转原因为</w:t>
      </w:r>
      <w:r>
        <w:rPr>
          <w:rFonts w:hint="eastAsia" w:ascii="仿宋_GB2312" w:eastAsia="仿宋_GB2312" w:cs="仿宋"/>
          <w:color w:val="auto"/>
          <w:sz w:val="32"/>
          <w:szCs w:val="32"/>
          <w:highlight w:val="none"/>
          <w:lang w:val="en-US" w:eastAsia="zh-CN"/>
        </w:rPr>
        <w:t>项目招标时间较晚，2023年未开工</w:t>
      </w:r>
      <w:r>
        <w:rPr>
          <w:rFonts w:hint="eastAsia" w:ascii="仿宋_GB2312" w:eastAsia="仿宋_GB2312" w:cs="仿宋"/>
          <w:color w:val="auto"/>
          <w:sz w:val="32"/>
          <w:szCs w:val="32"/>
          <w:highlight w:val="none"/>
        </w:rPr>
        <w:t>。</w:t>
      </w:r>
    </w:p>
    <w:p>
      <w:pPr>
        <w:pStyle w:val="10"/>
        <w:widowControl/>
        <w:numPr>
          <w:ilvl w:val="0"/>
          <w:numId w:val="4"/>
        </w:numPr>
        <w:spacing w:before="0" w:beforeAutospacing="0" w:after="0" w:afterAutospacing="0" w:line="570" w:lineRule="exact"/>
        <w:ind w:firstLine="640"/>
        <w:jc w:val="both"/>
        <w:rPr>
          <w:rFonts w:hint="default" w:ascii="楷体_GB2312" w:eastAsia="楷体_GB2312"/>
          <w:b/>
          <w:bCs w:val="0"/>
          <w:color w:val="auto"/>
          <w:szCs w:val="32"/>
          <w:highlight w:val="none"/>
          <w:lang w:val="en-US" w:eastAsia="zh-CN"/>
        </w:rPr>
      </w:pPr>
      <w:r>
        <w:rPr>
          <w:rFonts w:hint="eastAsia" w:ascii="黑体" w:hAnsi="黑体"/>
          <w:b w:val="0"/>
          <w:color w:val="auto"/>
          <w:sz w:val="32"/>
          <w:szCs w:val="32"/>
          <w:highlight w:val="none"/>
        </w:rPr>
        <w:t>部门单位整体支出</w:t>
      </w:r>
      <w:r>
        <w:rPr>
          <w:rFonts w:hint="eastAsia" w:ascii="黑体" w:hAnsi="黑体"/>
          <w:b w:val="0"/>
          <w:color w:val="auto"/>
          <w:sz w:val="32"/>
          <w:szCs w:val="32"/>
          <w:highlight w:val="none"/>
          <w:lang w:val="en-US" w:eastAsia="zh-CN"/>
        </w:rPr>
        <w:t>绩效分析</w:t>
      </w:r>
    </w:p>
    <w:p>
      <w:pPr>
        <w:pStyle w:val="10"/>
        <w:widowControl/>
        <w:numPr>
          <w:ilvl w:val="0"/>
          <w:numId w:val="0"/>
        </w:numPr>
        <w:spacing w:before="0" w:beforeAutospacing="0" w:after="0" w:afterAutospacing="0" w:line="570" w:lineRule="exact"/>
        <w:ind w:firstLine="562" w:firstLineChars="200"/>
        <w:jc w:val="both"/>
        <w:rPr>
          <w:rFonts w:hint="default" w:ascii="楷体_GB2312" w:eastAsia="楷体_GB2312"/>
          <w:b/>
          <w:bCs w:val="0"/>
          <w:color w:val="auto"/>
          <w:sz w:val="28"/>
          <w:szCs w:val="36"/>
          <w:highlight w:val="none"/>
          <w:lang w:val="en-US" w:eastAsia="zh-CN"/>
        </w:rPr>
      </w:pPr>
      <w:r>
        <w:rPr>
          <w:rFonts w:hint="eastAsia" w:ascii="楷体_GB2312" w:eastAsia="楷体_GB2312"/>
          <w:b/>
          <w:bCs w:val="0"/>
          <w:color w:val="auto"/>
          <w:sz w:val="28"/>
          <w:szCs w:val="36"/>
          <w:highlight w:val="none"/>
          <w:lang w:val="en-US" w:eastAsia="zh-CN"/>
        </w:rPr>
        <w:t>（一）指标一：</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“宁家河灌区渠道改造长度”指标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预期指标值为“&gt;=48.23千米”，</w:t>
      </w:r>
      <w:r>
        <w:rPr>
          <w:rFonts w:hint="eastAsia" w:ascii="仿宋_GB2312" w:eastAsia="仿宋_GB2312"/>
          <w:color w:val="auto"/>
          <w:sz w:val="32"/>
          <w:szCs w:val="32"/>
          <w:highlight w:val="none"/>
          <w:lang w:val="en-US" w:eastAsia="zh-CN"/>
        </w:rPr>
        <w:t>年中绩效运行监控完成值为“38.6</w:t>
      </w:r>
      <w:r>
        <w:rPr>
          <w:rFonts w:hint="eastAsia" w:ascii="仿宋_GB2312" w:eastAsia="仿宋_GB2312"/>
          <w:color w:val="auto"/>
          <w:sz w:val="32"/>
          <w:szCs w:val="32"/>
          <w:highlight w:val="none"/>
        </w:rPr>
        <w:t>千米</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实际完成指标值为“48.23千米”，</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80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年中绩效运行监控完成值与全年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值均不存在偏差。全年本单位履职尽责，严格保障水资源的合理开发利用，指导水利行业供水和乡镇供水工作。通过</w:t>
      </w:r>
      <w:r>
        <w:rPr>
          <w:rFonts w:hint="eastAsia" w:ascii="仿宋_GB2312" w:eastAsia="仿宋_GB2312"/>
          <w:color w:val="auto"/>
          <w:sz w:val="32"/>
          <w:szCs w:val="32"/>
          <w:highlight w:val="none"/>
        </w:rPr>
        <w:t>宁家河灌区渠道改造</w:t>
      </w:r>
      <w:r>
        <w:rPr>
          <w:rFonts w:hint="eastAsia" w:ascii="仿宋_GB2312" w:eastAsia="仿宋_GB2312"/>
          <w:color w:val="auto"/>
          <w:sz w:val="32"/>
          <w:szCs w:val="32"/>
          <w:highlight w:val="none"/>
          <w:lang w:val="en-US" w:eastAsia="zh-CN"/>
        </w:rPr>
        <w:t>工作的有效完成，进一步完善灌区管理体系建设，促进灌区可持续发展和水资源高效利用。</w:t>
      </w:r>
    </w:p>
    <w:p>
      <w:pPr>
        <w:spacing w:line="570" w:lineRule="exact"/>
        <w:ind w:firstLine="64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综上，该指标分值18分，得14.4分。</w:t>
      </w:r>
    </w:p>
    <w:p>
      <w:pPr>
        <w:pStyle w:val="4"/>
        <w:numPr>
          <w:ilvl w:val="0"/>
          <w:numId w:val="0"/>
        </w:numPr>
        <w:tabs>
          <w:tab w:val="left" w:pos="1602"/>
        </w:tabs>
        <w:spacing w:line="570" w:lineRule="exact"/>
        <w:ind w:firstLine="643" w:firstLineChars="200"/>
        <w:rPr>
          <w:rFonts w:hint="eastAsia" w:ascii="楷体_GB2312" w:eastAsia="楷体_GB2312"/>
          <w:b/>
          <w:bCs w:val="0"/>
          <w:color w:val="auto"/>
          <w:szCs w:val="32"/>
          <w:highlight w:val="none"/>
          <w:lang w:val="en-US" w:eastAsia="zh-CN"/>
        </w:rPr>
      </w:pPr>
      <w:r>
        <w:rPr>
          <w:rFonts w:hint="eastAsia" w:ascii="楷体_GB2312" w:eastAsia="楷体_GB2312"/>
          <w:b/>
          <w:bCs w:val="0"/>
          <w:color w:val="auto"/>
          <w:szCs w:val="32"/>
          <w:highlight w:val="none"/>
          <w:lang w:val="en-US" w:eastAsia="zh-CN"/>
        </w:rPr>
        <w:t>（二）指标二：</w:t>
      </w:r>
    </w:p>
    <w:p>
      <w:pPr>
        <w:spacing w:line="570" w:lineRule="exact"/>
        <w:ind w:firstLine="640"/>
        <w:rPr>
          <w:rFonts w:hint="eastAsia" w:ascii="仿宋_GB2312" w:eastAsia="仿宋_GB2312"/>
          <w:color w:val="auto"/>
          <w:sz w:val="32"/>
          <w:szCs w:val="32"/>
          <w:highlight w:val="none"/>
          <w:lang w:val="en-US" w:eastAsia="zh-CN"/>
        </w:rPr>
      </w:pPr>
      <w:r>
        <w:rPr>
          <w:rFonts w:hint="eastAsia"/>
          <w:color w:val="auto"/>
          <w:highlight w:val="none"/>
          <w:lang w:val="en-US" w:eastAsia="zh-CN"/>
        </w:rPr>
        <w:t xml:space="preserve">  </w:t>
      </w:r>
      <w:r>
        <w:rPr>
          <w:rFonts w:hint="eastAsia" w:ascii="仿宋_GB2312" w:eastAsia="仿宋_GB2312"/>
          <w:color w:val="auto"/>
          <w:sz w:val="32"/>
          <w:szCs w:val="32"/>
          <w:highlight w:val="none"/>
        </w:rPr>
        <w:t>“改造渠系建筑物”指标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val="en-US" w:eastAsia="zh-CN"/>
        </w:rPr>
        <w:t>32</w:t>
      </w:r>
      <w:r>
        <w:rPr>
          <w:rFonts w:hint="eastAsia" w:ascii="仿宋_GB2312" w:eastAsia="仿宋_GB2312"/>
          <w:color w:val="auto"/>
          <w:sz w:val="32"/>
          <w:szCs w:val="32"/>
          <w:highlight w:val="none"/>
        </w:rPr>
        <w:t>座”，</w:t>
      </w:r>
      <w:r>
        <w:rPr>
          <w:rFonts w:hint="eastAsia" w:ascii="仿宋_GB2312" w:eastAsia="仿宋_GB2312"/>
          <w:color w:val="auto"/>
          <w:sz w:val="32"/>
          <w:szCs w:val="32"/>
          <w:highlight w:val="none"/>
          <w:lang w:val="en-US" w:eastAsia="zh-CN"/>
        </w:rPr>
        <w:t>年中绩效运行监控完成值为“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25</w:t>
      </w:r>
      <w:r>
        <w:rPr>
          <w:rFonts w:hint="eastAsia" w:ascii="仿宋_GB2312" w:eastAsia="仿宋_GB2312"/>
          <w:color w:val="auto"/>
          <w:sz w:val="32"/>
          <w:szCs w:val="32"/>
          <w:highlight w:val="none"/>
        </w:rPr>
        <w:t>座</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25</w:t>
      </w:r>
      <w:r>
        <w:rPr>
          <w:rFonts w:hint="eastAsia" w:ascii="仿宋_GB2312" w:eastAsia="仿宋_GB2312"/>
          <w:color w:val="auto"/>
          <w:sz w:val="32"/>
          <w:szCs w:val="32"/>
          <w:highlight w:val="none"/>
        </w:rPr>
        <w:t>座”，</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80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年中绩效运行监控完成值与全年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值均不存在偏差。全年本单位履职尽责，严格保障水资源的合理开发利用，指导水利行业供水和乡镇供水工作。通过</w:t>
      </w:r>
      <w:r>
        <w:rPr>
          <w:rFonts w:hint="eastAsia" w:ascii="仿宋_GB2312" w:eastAsia="仿宋_GB2312"/>
          <w:color w:val="auto"/>
          <w:sz w:val="32"/>
          <w:szCs w:val="32"/>
          <w:highlight w:val="none"/>
        </w:rPr>
        <w:t>宁家河灌区渠道改造</w:t>
      </w:r>
      <w:r>
        <w:rPr>
          <w:rFonts w:hint="eastAsia" w:ascii="仿宋_GB2312" w:eastAsia="仿宋_GB2312"/>
          <w:color w:val="auto"/>
          <w:sz w:val="32"/>
          <w:szCs w:val="32"/>
          <w:highlight w:val="none"/>
          <w:lang w:val="en-US" w:eastAsia="zh-CN"/>
        </w:rPr>
        <w:t>工作的有效完成，进一步完善灌区管理体系建设，促进灌区可持续发展和水资源高效利用。</w:t>
      </w:r>
    </w:p>
    <w:p>
      <w:pPr>
        <w:spacing w:line="570" w:lineRule="exact"/>
        <w:ind w:firstLine="640"/>
        <w:rPr>
          <w:rFonts w:hint="default"/>
          <w:color w:val="auto"/>
          <w:highlight w:val="none"/>
          <w:lang w:val="en-US" w:eastAsia="zh-CN"/>
        </w:rPr>
      </w:pPr>
      <w:r>
        <w:rPr>
          <w:rFonts w:hint="eastAsia" w:ascii="仿宋_GB2312" w:eastAsia="仿宋_GB2312"/>
          <w:color w:val="auto"/>
          <w:sz w:val="32"/>
          <w:szCs w:val="32"/>
          <w:highlight w:val="none"/>
          <w:lang w:val="en-US" w:eastAsia="zh-CN"/>
        </w:rPr>
        <w:t>综上，该指标分值18分，得14.4分。</w:t>
      </w:r>
    </w:p>
    <w:p>
      <w:pPr>
        <w:pStyle w:val="4"/>
        <w:numPr>
          <w:ilvl w:val="0"/>
          <w:numId w:val="0"/>
        </w:numPr>
        <w:spacing w:line="570" w:lineRule="exact"/>
        <w:ind w:firstLine="643" w:firstLineChars="200"/>
        <w:rPr>
          <w:rFonts w:hint="eastAsia" w:ascii="仿宋_GB2312" w:eastAsia="仿宋_GB2312"/>
          <w:b/>
          <w:bCs w:val="0"/>
          <w:color w:val="auto"/>
          <w:sz w:val="32"/>
          <w:szCs w:val="32"/>
          <w:highlight w:val="none"/>
        </w:rPr>
      </w:pPr>
      <w:r>
        <w:rPr>
          <w:rFonts w:hint="eastAsia" w:ascii="楷体_GB2312" w:eastAsia="楷体_GB2312"/>
          <w:b/>
          <w:bCs w:val="0"/>
          <w:color w:val="auto"/>
          <w:szCs w:val="32"/>
          <w:highlight w:val="none"/>
          <w:lang w:val="en-US" w:eastAsia="zh-CN"/>
        </w:rPr>
        <w:t>（三）指标三：</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Style w:val="14"/>
          <w:rFonts w:hint="eastAsia" w:ascii="仿宋_GB2312" w:hAnsi="仿宋_GB2312" w:eastAsia="仿宋_GB2312" w:cs="仿宋_GB2312"/>
          <w:b w:val="0"/>
          <w:color w:val="auto"/>
          <w:sz w:val="32"/>
          <w:szCs w:val="32"/>
          <w:highlight w:val="none"/>
          <w:lang w:eastAsia="zh-CN" w:bidi="ar"/>
        </w:rPr>
      </w:pPr>
      <w:r>
        <w:rPr>
          <w:rFonts w:hint="eastAsia" w:ascii="仿宋_GB2312" w:eastAsia="仿宋_GB2312"/>
          <w:color w:val="auto"/>
          <w:sz w:val="32"/>
          <w:szCs w:val="32"/>
          <w:highlight w:val="none"/>
        </w:rPr>
        <w:t>“完成小水库维修养护”指标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val="en-US" w:eastAsia="zh-CN"/>
        </w:rPr>
        <w:t>=4座</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年中绩效运行监控完成值为“4座”，全年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4座</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。通过</w:t>
      </w:r>
      <w:r>
        <w:rPr>
          <w:rStyle w:val="14"/>
          <w:rFonts w:hint="eastAsia" w:ascii="仿宋_GB2312" w:hAnsi="仿宋_GB2312" w:eastAsia="仿宋_GB2312" w:cs="仿宋_GB2312"/>
          <w:b w:val="0"/>
          <w:color w:val="auto"/>
          <w:sz w:val="32"/>
          <w:szCs w:val="32"/>
          <w:highlight w:val="none"/>
          <w:lang w:eastAsia="zh-Hans" w:bidi="ar"/>
        </w:rPr>
        <w:t>加强水库安全运行管理，加强与各流域管理单位联系，</w:t>
      </w:r>
      <w:r>
        <w:rPr>
          <w:rStyle w:val="14"/>
          <w:rFonts w:hint="eastAsia" w:ascii="仿宋_GB2312" w:hAnsi="仿宋_GB2312" w:eastAsia="仿宋_GB2312" w:cs="仿宋_GB2312"/>
          <w:b w:val="0"/>
          <w:color w:val="auto"/>
          <w:sz w:val="32"/>
          <w:szCs w:val="32"/>
          <w:highlight w:val="none"/>
          <w:lang w:val="en-US" w:eastAsia="zh-CN" w:bidi="ar"/>
        </w:rPr>
        <w:t>达到</w:t>
      </w:r>
      <w:r>
        <w:rPr>
          <w:rStyle w:val="14"/>
          <w:rFonts w:hint="eastAsia" w:ascii="仿宋_GB2312" w:hAnsi="仿宋_GB2312" w:eastAsia="仿宋_GB2312" w:cs="仿宋_GB2312"/>
          <w:b w:val="0"/>
          <w:color w:val="auto"/>
          <w:sz w:val="32"/>
          <w:szCs w:val="32"/>
          <w:highlight w:val="none"/>
          <w:lang w:eastAsia="zh-Hans" w:bidi="ar"/>
        </w:rPr>
        <w:t>及早做好防汛抗旱各项准备工作</w:t>
      </w:r>
      <w:r>
        <w:rPr>
          <w:rStyle w:val="14"/>
          <w:rFonts w:hint="eastAsia" w:ascii="仿宋_GB2312" w:hAnsi="仿宋_GB2312" w:eastAsia="仿宋_GB2312" w:cs="仿宋_GB2312"/>
          <w:b w:val="0"/>
          <w:color w:val="auto"/>
          <w:sz w:val="32"/>
          <w:szCs w:val="32"/>
          <w:highlight w:val="none"/>
          <w:lang w:val="en-US" w:eastAsia="zh-CN" w:bidi="ar"/>
        </w:rPr>
        <w:t>的目的</w:t>
      </w:r>
      <w:r>
        <w:rPr>
          <w:rStyle w:val="14"/>
          <w:rFonts w:hint="eastAsia" w:ascii="仿宋_GB2312" w:hAnsi="仿宋_GB2312" w:eastAsia="仿宋_GB2312" w:cs="仿宋_GB2312"/>
          <w:b w:val="0"/>
          <w:color w:val="auto"/>
          <w:sz w:val="32"/>
          <w:szCs w:val="32"/>
          <w:highlight w:val="none"/>
          <w:lang w:eastAsia="zh-Hans" w:bidi="ar"/>
        </w:rPr>
        <w:t>，对水库及易洪易灾部位加强巡查，及时消除各类安全隐患</w:t>
      </w:r>
      <w:r>
        <w:rPr>
          <w:rStyle w:val="14"/>
          <w:rFonts w:hint="eastAsia" w:ascii="仿宋_GB2312" w:hAnsi="仿宋_GB2312" w:eastAsia="仿宋_GB2312" w:cs="仿宋_GB2312"/>
          <w:b w:val="0"/>
          <w:color w:val="auto"/>
          <w:sz w:val="32"/>
          <w:szCs w:val="32"/>
          <w:highlight w:val="none"/>
          <w:lang w:eastAsia="zh-CN" w:bidi="ar"/>
        </w:rPr>
        <w:t>。</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b w:val="0"/>
          <w:bCs/>
          <w:color w:val="auto"/>
          <w:highlight w:val="none"/>
          <w:lang w:val="en-US" w:eastAsia="zh-CN"/>
        </w:rPr>
      </w:pPr>
      <w:r>
        <w:rPr>
          <w:rFonts w:hint="eastAsia" w:ascii="楷体_GB2312" w:eastAsia="楷体_GB2312"/>
          <w:b/>
          <w:bCs w:val="0"/>
          <w:color w:val="auto"/>
          <w:szCs w:val="32"/>
          <w:highlight w:val="none"/>
          <w:lang w:val="en-US" w:eastAsia="zh-CN"/>
        </w:rPr>
        <w:t>（四）指标四：</w:t>
      </w:r>
      <w:r>
        <w:rPr>
          <w:rFonts w:hint="eastAsia" w:ascii="仿宋_GB2312" w:eastAsia="仿宋_GB2312"/>
          <w:b w:val="0"/>
          <w:bCs/>
          <w:color w:val="auto"/>
          <w:sz w:val="32"/>
          <w:szCs w:val="32"/>
          <w:highlight w:val="none"/>
        </w:rPr>
        <w:t>“高效节水灌溉率”指标</w:t>
      </w:r>
      <w:r>
        <w:rPr>
          <w:rFonts w:ascii="仿宋_GB2312" w:eastAsia="仿宋_GB2312"/>
          <w:b w:val="0"/>
          <w:bCs/>
          <w:color w:val="auto"/>
          <w:sz w:val="32"/>
          <w:szCs w:val="32"/>
          <w:highlight w:val="none"/>
        </w:rPr>
        <w:t>，</w:t>
      </w:r>
      <w:r>
        <w:rPr>
          <w:rFonts w:hint="eastAsia" w:ascii="仿宋_GB2312" w:eastAsia="仿宋_GB2312"/>
          <w:b w:val="0"/>
          <w:bCs/>
          <w:color w:val="auto"/>
          <w:sz w:val="32"/>
          <w:szCs w:val="32"/>
          <w:highlight w:val="none"/>
        </w:rPr>
        <w:t>预期指标值为“</w:t>
      </w:r>
      <w:r>
        <w:rPr>
          <w:rFonts w:hint="eastAsia" w:ascii="仿宋_GB2312" w:eastAsia="仿宋_GB2312"/>
          <w:b w:val="0"/>
          <w:bCs/>
          <w:color w:val="auto"/>
          <w:sz w:val="32"/>
          <w:szCs w:val="32"/>
          <w:highlight w:val="none"/>
          <w:lang w:val="en-US" w:eastAsia="zh-CN"/>
        </w:rPr>
        <w:t>=</w:t>
      </w:r>
      <w:r>
        <w:rPr>
          <w:rFonts w:hint="eastAsia"/>
          <w:b w:val="0"/>
          <w:bCs/>
          <w:color w:val="auto"/>
          <w:sz w:val="32"/>
          <w:szCs w:val="32"/>
          <w:highlight w:val="none"/>
          <w:lang w:val="en-US" w:eastAsia="zh-CN"/>
        </w:rPr>
        <w:t>40%</w:t>
      </w:r>
      <w:r>
        <w:rPr>
          <w:rFonts w:hint="eastAsia" w:ascii="仿宋_GB2312" w:eastAsia="仿宋_GB2312"/>
          <w:b w:val="0"/>
          <w:bCs/>
          <w:color w:val="auto"/>
          <w:sz w:val="32"/>
          <w:szCs w:val="32"/>
          <w:highlight w:val="none"/>
        </w:rPr>
        <w:t>”，</w:t>
      </w:r>
      <w:r>
        <w:rPr>
          <w:rFonts w:hint="eastAsia" w:ascii="仿宋_GB2312" w:eastAsia="仿宋_GB2312"/>
          <w:b w:val="0"/>
          <w:bCs/>
          <w:color w:val="auto"/>
          <w:sz w:val="32"/>
          <w:szCs w:val="32"/>
          <w:highlight w:val="none"/>
          <w:lang w:val="en-US" w:eastAsia="zh-CN"/>
        </w:rPr>
        <w:t>年中绩效运行监控完成值为“</w:t>
      </w:r>
      <w:r>
        <w:rPr>
          <w:rFonts w:hint="eastAsia"/>
          <w:b w:val="0"/>
          <w:bCs/>
          <w:color w:val="auto"/>
          <w:sz w:val="32"/>
          <w:szCs w:val="32"/>
          <w:highlight w:val="none"/>
          <w:lang w:val="en-US" w:eastAsia="zh-CN"/>
        </w:rPr>
        <w:t>40%</w:t>
      </w:r>
      <w:r>
        <w:rPr>
          <w:rFonts w:hint="eastAsia" w:ascii="仿宋_GB2312" w:eastAsia="仿宋_GB2312"/>
          <w:b w:val="0"/>
          <w:bCs/>
          <w:color w:val="auto"/>
          <w:sz w:val="32"/>
          <w:szCs w:val="32"/>
          <w:highlight w:val="none"/>
          <w:lang w:val="en-US" w:eastAsia="zh-CN"/>
        </w:rPr>
        <w:t>”，全年</w:t>
      </w:r>
      <w:r>
        <w:rPr>
          <w:rFonts w:hint="eastAsia" w:ascii="仿宋_GB2312" w:eastAsia="仿宋_GB2312"/>
          <w:b w:val="0"/>
          <w:bCs/>
          <w:color w:val="auto"/>
          <w:sz w:val="32"/>
          <w:szCs w:val="32"/>
          <w:highlight w:val="none"/>
        </w:rPr>
        <w:t>实际完成指标值为“</w:t>
      </w:r>
      <w:r>
        <w:rPr>
          <w:rFonts w:hint="eastAsia"/>
          <w:b w:val="0"/>
          <w:bCs/>
          <w:color w:val="auto"/>
          <w:sz w:val="32"/>
          <w:szCs w:val="32"/>
          <w:highlight w:val="none"/>
          <w:lang w:val="en-US" w:eastAsia="zh-CN"/>
        </w:rPr>
        <w:t>40%</w:t>
      </w:r>
      <w:r>
        <w:rPr>
          <w:rFonts w:hint="eastAsia" w:ascii="仿宋_GB2312" w:eastAsia="仿宋_GB2312"/>
          <w:b w:val="0"/>
          <w:bCs/>
          <w:color w:val="auto"/>
          <w:sz w:val="32"/>
          <w:szCs w:val="32"/>
          <w:highlight w:val="none"/>
        </w:rPr>
        <w:t>”，</w:t>
      </w:r>
      <w:r>
        <w:rPr>
          <w:rFonts w:hint="eastAsia" w:ascii="仿宋_GB2312" w:eastAsia="仿宋_GB2312"/>
          <w:b w:val="0"/>
          <w:bCs/>
          <w:color w:val="auto"/>
          <w:sz w:val="32"/>
          <w:szCs w:val="32"/>
          <w:highlight w:val="none"/>
          <w:lang w:val="en-US" w:eastAsia="zh-CN"/>
        </w:rPr>
        <w:t>全年</w:t>
      </w:r>
      <w:r>
        <w:rPr>
          <w:rFonts w:hint="eastAsia" w:ascii="仿宋_GB2312" w:eastAsia="仿宋_GB2312"/>
          <w:b w:val="0"/>
          <w:bCs/>
          <w:color w:val="auto"/>
          <w:sz w:val="32"/>
          <w:szCs w:val="32"/>
          <w:highlight w:val="none"/>
        </w:rPr>
        <w:t>指标完成率为</w:t>
      </w:r>
      <w:r>
        <w:rPr>
          <w:rFonts w:hint="eastAsia" w:ascii="仿宋_GB2312" w:eastAsia="仿宋_GB2312"/>
          <w:b w:val="0"/>
          <w:bCs/>
          <w:color w:val="auto"/>
          <w:spacing w:val="-4"/>
          <w:sz w:val="32"/>
          <w:szCs w:val="32"/>
          <w:highlight w:val="none"/>
          <w:lang w:val="en-US" w:eastAsia="zh-CN"/>
        </w:rPr>
        <w:t>100</w:t>
      </w:r>
      <w:r>
        <w:rPr>
          <w:rFonts w:hint="eastAsia" w:ascii="仿宋_GB2312" w:eastAsia="仿宋_GB2312"/>
          <w:b w:val="0"/>
          <w:bCs/>
          <w:color w:val="auto"/>
          <w:sz w:val="32"/>
          <w:szCs w:val="32"/>
          <w:highlight w:val="none"/>
        </w:rPr>
        <w:t>%</w:t>
      </w:r>
      <w:r>
        <w:rPr>
          <w:rFonts w:hint="eastAsia" w:ascii="仿宋_GB2312" w:eastAsia="仿宋_GB2312"/>
          <w:b w:val="0"/>
          <w:bCs/>
          <w:color w:val="auto"/>
          <w:sz w:val="32"/>
          <w:szCs w:val="32"/>
          <w:highlight w:val="none"/>
          <w:lang w:val="en-US" w:eastAsia="zh-CN"/>
        </w:rPr>
        <w:t>。通过</w:t>
      </w:r>
      <w:r>
        <w:rPr>
          <w:rStyle w:val="14"/>
          <w:rFonts w:hint="eastAsia" w:ascii="仿宋_GB2312" w:hAnsi="仿宋_GB2312" w:eastAsia="仿宋_GB2312" w:cs="仿宋_GB2312"/>
          <w:b w:val="0"/>
          <w:bCs/>
          <w:color w:val="auto"/>
          <w:sz w:val="32"/>
          <w:szCs w:val="32"/>
          <w:highlight w:val="none"/>
          <w:lang w:eastAsia="zh-Hans" w:bidi="ar"/>
        </w:rPr>
        <w:t>加强水库安全运行管理，加强与各流域管理单位联系，</w:t>
      </w:r>
      <w:r>
        <w:rPr>
          <w:rStyle w:val="14"/>
          <w:rFonts w:hint="eastAsia" w:ascii="仿宋_GB2312" w:hAnsi="仿宋_GB2312" w:eastAsia="仿宋_GB2312" w:cs="仿宋_GB2312"/>
          <w:b w:val="0"/>
          <w:bCs/>
          <w:color w:val="auto"/>
          <w:sz w:val="32"/>
          <w:szCs w:val="32"/>
          <w:highlight w:val="none"/>
          <w:lang w:val="en-US" w:eastAsia="zh-CN" w:bidi="ar"/>
        </w:rPr>
        <w:t>达到</w:t>
      </w:r>
      <w:r>
        <w:rPr>
          <w:rStyle w:val="14"/>
          <w:rFonts w:hint="eastAsia" w:ascii="仿宋_GB2312" w:hAnsi="仿宋_GB2312" w:eastAsia="仿宋_GB2312" w:cs="仿宋_GB2312"/>
          <w:b w:val="0"/>
          <w:bCs/>
          <w:color w:val="auto"/>
          <w:sz w:val="32"/>
          <w:szCs w:val="32"/>
          <w:highlight w:val="none"/>
          <w:lang w:eastAsia="zh-Hans" w:bidi="ar"/>
        </w:rPr>
        <w:t>及早做好防汛抗旱各项准备工作</w:t>
      </w:r>
      <w:r>
        <w:rPr>
          <w:rStyle w:val="14"/>
          <w:rFonts w:hint="eastAsia" w:ascii="仿宋_GB2312" w:hAnsi="仿宋_GB2312" w:eastAsia="仿宋_GB2312" w:cs="仿宋_GB2312"/>
          <w:b w:val="0"/>
          <w:bCs/>
          <w:color w:val="auto"/>
          <w:sz w:val="32"/>
          <w:szCs w:val="32"/>
          <w:highlight w:val="none"/>
          <w:lang w:val="en-US" w:eastAsia="zh-CN" w:bidi="ar"/>
        </w:rPr>
        <w:t>的目的</w:t>
      </w:r>
      <w:r>
        <w:rPr>
          <w:rStyle w:val="14"/>
          <w:rFonts w:hint="eastAsia" w:ascii="仿宋_GB2312" w:hAnsi="仿宋_GB2312" w:eastAsia="仿宋_GB2312" w:cs="仿宋_GB2312"/>
          <w:b w:val="0"/>
          <w:bCs/>
          <w:color w:val="auto"/>
          <w:sz w:val="32"/>
          <w:szCs w:val="32"/>
          <w:highlight w:val="none"/>
          <w:lang w:eastAsia="zh-Hans" w:bidi="ar"/>
        </w:rPr>
        <w:t>，对水库及易洪易灾部位加强巡查，及时消除各类安全隐患</w:t>
      </w:r>
      <w:r>
        <w:rPr>
          <w:rStyle w:val="14"/>
          <w:rFonts w:hint="eastAsia" w:ascii="仿宋_GB2312" w:hAnsi="仿宋_GB2312" w:eastAsia="仿宋_GB2312" w:cs="仿宋_GB2312"/>
          <w:b w:val="0"/>
          <w:bCs/>
          <w:color w:val="auto"/>
          <w:sz w:val="32"/>
          <w:szCs w:val="32"/>
          <w:highlight w:val="none"/>
          <w:lang w:eastAsia="zh-CN" w:bidi="ar"/>
        </w:rPr>
        <w:t>。</w:t>
      </w:r>
    </w:p>
    <w:p>
      <w:pPr>
        <w:pStyle w:val="16"/>
        <w:snapToGrid w:val="0"/>
        <w:spacing w:line="570" w:lineRule="exact"/>
        <w:ind w:firstLine="624"/>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综上，该指标分值18分，得18分。</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指标五：</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“维护的机井数”指标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val="en-US" w:eastAsia="zh-CN"/>
        </w:rPr>
        <w:t>140座</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年中绩效运行监控完成值为“140”，全年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140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达到</w:t>
      </w:r>
      <w:r>
        <w:rPr>
          <w:rFonts w:hint="eastAsia" w:ascii="仿宋_GB2312" w:eastAsia="仿宋_GB2312"/>
          <w:color w:val="auto"/>
          <w:sz w:val="32"/>
          <w:szCs w:val="32"/>
          <w:highlight w:val="none"/>
        </w:rPr>
        <w:t>提高监测计量覆盖面、提升监测计量数据质量、加强监测计量成果应用</w:t>
      </w:r>
      <w:r>
        <w:rPr>
          <w:rFonts w:hint="eastAsia" w:ascii="仿宋_GB2312" w:eastAsia="仿宋_GB2312"/>
          <w:color w:val="auto"/>
          <w:sz w:val="32"/>
          <w:szCs w:val="32"/>
          <w:highlight w:val="none"/>
          <w:lang w:val="en-US" w:eastAsia="zh-CN"/>
        </w:rPr>
        <w:t>的目的</w:t>
      </w:r>
      <w:r>
        <w:rPr>
          <w:rFonts w:hint="eastAsia" w:ascii="仿宋_GB2312" w:eastAsia="仿宋_GB2312"/>
          <w:color w:val="auto"/>
          <w:sz w:val="32"/>
          <w:szCs w:val="32"/>
          <w:highlight w:val="none"/>
        </w:rPr>
        <w:t>，为实施水资源刚性约束制度，促进生态文明建设和高质量发展提供有力支撑。</w:t>
      </w:r>
    </w:p>
    <w:p>
      <w:pPr>
        <w:spacing w:line="570" w:lineRule="exact"/>
        <w:ind w:firstLine="640"/>
        <w:rPr>
          <w:rFonts w:hint="eastAsia"/>
          <w:color w:val="auto"/>
          <w:highlight w:val="none"/>
          <w:lang w:val="en-US" w:eastAsia="zh-CN"/>
        </w:rPr>
      </w:pPr>
      <w:r>
        <w:rPr>
          <w:rFonts w:hint="eastAsia" w:ascii="仿宋_GB2312" w:eastAsia="仿宋_GB2312"/>
          <w:color w:val="auto"/>
          <w:sz w:val="32"/>
          <w:szCs w:val="32"/>
          <w:highlight w:val="none"/>
          <w:lang w:val="en-US" w:eastAsia="zh-CN"/>
        </w:rPr>
        <w:t>综上，该指标分值18分，得18分。</w:t>
      </w:r>
    </w:p>
    <w:p>
      <w:pPr>
        <w:pStyle w:val="3"/>
        <w:numPr>
          <w:ilvl w:val="0"/>
          <w:numId w:val="5"/>
        </w:numPr>
        <w:spacing w:line="570" w:lineRule="exact"/>
        <w:ind w:firstLine="640"/>
        <w:rPr>
          <w:rFonts w:hint="eastAsia" w:ascii="黑体" w:hAnsi="黑体"/>
          <w:b w:val="0"/>
          <w:color w:val="auto"/>
          <w:sz w:val="32"/>
          <w:szCs w:val="32"/>
          <w:highlight w:val="none"/>
          <w:lang w:val="en-US" w:eastAsia="zh-CN"/>
        </w:rPr>
      </w:pPr>
      <w:r>
        <w:rPr>
          <w:rFonts w:hint="eastAsia" w:ascii="黑体" w:hAnsi="黑体"/>
          <w:b w:val="0"/>
          <w:color w:val="auto"/>
          <w:sz w:val="32"/>
          <w:szCs w:val="32"/>
          <w:highlight w:val="none"/>
          <w:lang w:val="en-US" w:eastAsia="zh-CN"/>
        </w:rPr>
        <w:t>评价结论</w:t>
      </w:r>
    </w:p>
    <w:p>
      <w:pPr>
        <w:spacing w:line="570" w:lineRule="exact"/>
        <w:ind w:firstLine="64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2023年度沙湾市水利管理站部门整体支出绩效自评综合得分82.8分</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评价结果为“良”。</w:t>
      </w:r>
    </w:p>
    <w:p>
      <w:pPr>
        <w:pStyle w:val="3"/>
        <w:numPr>
          <w:ilvl w:val="0"/>
          <w:numId w:val="5"/>
        </w:numPr>
        <w:spacing w:line="570" w:lineRule="exact"/>
        <w:ind w:firstLine="640"/>
        <w:rPr>
          <w:rFonts w:hint="eastAsia" w:ascii="黑体" w:hAnsi="黑体"/>
          <w:b w:val="0"/>
          <w:color w:val="auto"/>
          <w:sz w:val="32"/>
          <w:szCs w:val="32"/>
          <w:highlight w:val="none"/>
          <w:lang w:val="en-US" w:eastAsia="zh-CN"/>
        </w:rPr>
      </w:pPr>
      <w:r>
        <w:rPr>
          <w:rFonts w:hint="eastAsia" w:ascii="黑体" w:hAnsi="黑体"/>
          <w:b w:val="0"/>
          <w:color w:val="auto"/>
          <w:sz w:val="32"/>
          <w:szCs w:val="32"/>
          <w:highlight w:val="none"/>
          <w:lang w:val="en-US" w:eastAsia="zh-CN"/>
        </w:rPr>
        <w:t>存在的主要问题及原因分析</w:t>
      </w:r>
    </w:p>
    <w:p>
      <w:pPr>
        <w:numPr>
          <w:ilvl w:val="0"/>
          <w:numId w:val="0"/>
        </w:numPr>
        <w:spacing w:line="570" w:lineRule="exact"/>
        <w:ind w:firstLine="624" w:firstLineChars="200"/>
        <w:rPr>
          <w:rFonts w:hint="eastAsia" w:ascii="仿宋_GB2312" w:eastAsia="仿宋_GB2312"/>
          <w:b w:val="0"/>
          <w:bCs/>
          <w:color w:val="auto"/>
          <w:spacing w:val="-4"/>
          <w:sz w:val="32"/>
          <w:szCs w:val="32"/>
          <w:highlight w:val="none"/>
          <w:lang w:eastAsia="zh-CN"/>
        </w:rPr>
      </w:pPr>
      <w:r>
        <w:rPr>
          <w:rFonts w:hint="eastAsia" w:ascii="仿宋_GB2312" w:eastAsia="仿宋_GB2312"/>
          <w:b w:val="0"/>
          <w:bCs/>
          <w:color w:val="auto"/>
          <w:spacing w:val="-4"/>
          <w:sz w:val="32"/>
          <w:szCs w:val="32"/>
          <w:highlight w:val="none"/>
          <w:lang w:eastAsia="zh-CN"/>
        </w:rPr>
        <w:t>年初预算</w:t>
      </w:r>
      <w:r>
        <w:rPr>
          <w:rFonts w:hint="eastAsia" w:ascii="仿宋_GB2312" w:eastAsia="仿宋_GB2312"/>
          <w:b w:val="0"/>
          <w:bCs/>
          <w:color w:val="auto"/>
          <w:spacing w:val="-4"/>
          <w:sz w:val="32"/>
          <w:szCs w:val="32"/>
          <w:highlight w:val="none"/>
          <w:lang w:val="en-US" w:eastAsia="zh-CN"/>
        </w:rPr>
        <w:t>规划</w:t>
      </w:r>
      <w:r>
        <w:rPr>
          <w:rFonts w:hint="eastAsia" w:ascii="仿宋_GB2312" w:eastAsia="仿宋_GB2312"/>
          <w:b w:val="0"/>
          <w:bCs/>
          <w:color w:val="auto"/>
          <w:spacing w:val="-4"/>
          <w:sz w:val="32"/>
          <w:szCs w:val="32"/>
          <w:highlight w:val="none"/>
          <w:lang w:eastAsia="zh-CN"/>
        </w:rPr>
        <w:t>的车辆运行维护费，不能满足实际公用车辆运行维护费支出，</w:t>
      </w:r>
      <w:r>
        <w:rPr>
          <w:rFonts w:hint="eastAsia" w:ascii="仿宋_GB2312" w:eastAsia="仿宋_GB2312"/>
          <w:b w:val="0"/>
          <w:bCs/>
          <w:color w:val="auto"/>
          <w:spacing w:val="-4"/>
          <w:sz w:val="32"/>
          <w:szCs w:val="32"/>
          <w:highlight w:val="none"/>
          <w:lang w:val="en-US" w:eastAsia="zh-CN"/>
        </w:rPr>
        <w:t>导致年末</w:t>
      </w:r>
      <w:r>
        <w:rPr>
          <w:rFonts w:hint="eastAsia" w:ascii="仿宋_GB2312" w:eastAsia="仿宋_GB2312"/>
          <w:b w:val="0"/>
          <w:bCs/>
          <w:color w:val="auto"/>
          <w:spacing w:val="-4"/>
          <w:sz w:val="32"/>
          <w:szCs w:val="32"/>
          <w:highlight w:val="none"/>
          <w:lang w:eastAsia="zh-CN"/>
        </w:rPr>
        <w:t>车辆运行维护费</w:t>
      </w:r>
      <w:r>
        <w:rPr>
          <w:rFonts w:hint="eastAsia" w:ascii="仿宋_GB2312" w:eastAsia="仿宋_GB2312"/>
          <w:b w:val="0"/>
          <w:bCs/>
          <w:color w:val="auto"/>
          <w:spacing w:val="-4"/>
          <w:sz w:val="32"/>
          <w:szCs w:val="32"/>
          <w:highlight w:val="none"/>
          <w:lang w:val="en-US" w:eastAsia="zh-CN"/>
        </w:rPr>
        <w:t>金额有所短缺</w:t>
      </w:r>
      <w:r>
        <w:rPr>
          <w:rFonts w:hint="eastAsia" w:ascii="仿宋_GB2312" w:eastAsia="仿宋_GB2312"/>
          <w:b w:val="0"/>
          <w:bCs/>
          <w:color w:val="auto"/>
          <w:spacing w:val="-4"/>
          <w:sz w:val="32"/>
          <w:szCs w:val="32"/>
          <w:highlight w:val="none"/>
          <w:lang w:eastAsia="zh-CN"/>
        </w:rPr>
        <w:t>。连年增加的办公要求，现有的办公经费远远不能满足，办公场所、办公设备更是老旧，影响办公质量。</w:t>
      </w:r>
    </w:p>
    <w:p>
      <w:pPr>
        <w:numPr>
          <w:ilvl w:val="0"/>
          <w:numId w:val="0"/>
        </w:numPr>
        <w:spacing w:line="570" w:lineRule="exact"/>
        <w:ind w:firstLine="624" w:firstLineChars="200"/>
        <w:rPr>
          <w:rFonts w:hint="eastAsia" w:ascii="仿宋_GB2312" w:eastAsia="仿宋_GB2312"/>
          <w:b w:val="0"/>
          <w:bCs/>
          <w:color w:val="auto"/>
          <w:spacing w:val="-4"/>
          <w:sz w:val="32"/>
          <w:szCs w:val="32"/>
          <w:highlight w:val="none"/>
          <w:lang w:eastAsia="zh-CN"/>
        </w:rPr>
      </w:pPr>
      <w:r>
        <w:rPr>
          <w:rFonts w:hint="eastAsia" w:ascii="仿宋_GB2312" w:eastAsia="仿宋_GB2312"/>
          <w:b w:val="0"/>
          <w:bCs/>
          <w:color w:val="auto"/>
          <w:spacing w:val="-4"/>
          <w:sz w:val="32"/>
          <w:szCs w:val="32"/>
          <w:highlight w:val="none"/>
          <w:lang w:eastAsia="zh-CN"/>
        </w:rPr>
        <w:t>目前对各项工作的宣传不到位，只重视了量化工作，忽视了基础管理、基础服务工作。</w:t>
      </w:r>
    </w:p>
    <w:p>
      <w:pPr>
        <w:pStyle w:val="4"/>
        <w:spacing w:line="570" w:lineRule="exact"/>
        <w:ind w:firstLine="643"/>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（一）绩效管理方面</w:t>
      </w:r>
    </w:p>
    <w:p>
      <w:pPr>
        <w:numPr>
          <w:ilvl w:val="0"/>
          <w:numId w:val="6"/>
        </w:num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预算绩效管理工作时间紧、任务重、专业性强，我单位的预算绩效存在一些不足之处需要完善。</w:t>
      </w:r>
    </w:p>
    <w:p>
      <w:pPr>
        <w:numPr>
          <w:ilvl w:val="0"/>
          <w:numId w:val="6"/>
        </w:numPr>
        <w:spacing w:line="570" w:lineRule="exact"/>
        <w:ind w:firstLine="640"/>
        <w:rPr>
          <w:rFonts w:hint="eastAsia" w:ascii="仿宋_GB2312" w:eastAsia="仿宋_GB2312"/>
          <w:b w:val="0"/>
          <w:bCs/>
          <w:color w:val="auto"/>
          <w:sz w:val="32"/>
          <w:szCs w:val="32"/>
          <w:highlight w:val="none"/>
          <w:lang w:val="en-US" w:eastAsia="zh-CN"/>
        </w:rPr>
      </w:pPr>
      <w:r>
        <w:rPr>
          <w:rFonts w:hint="eastAsia" w:ascii="仿宋_GB2312" w:eastAsia="仿宋_GB2312"/>
          <w:color w:val="auto"/>
          <w:sz w:val="32"/>
          <w:szCs w:val="32"/>
          <w:highlight w:val="none"/>
          <w:lang w:val="en-US" w:eastAsia="zh-CN"/>
        </w:rPr>
        <w:t>预算绩效管理缺乏系统的培训，造成预算绩效管理指导不到位、认识不到位，理解不充分，对预算绩效管理工作重点把握不到位。</w:t>
      </w:r>
    </w:p>
    <w:p>
      <w:pPr>
        <w:pStyle w:val="4"/>
        <w:spacing w:line="570" w:lineRule="exact"/>
        <w:ind w:firstLine="643"/>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（二）资产管理方面</w:t>
      </w:r>
    </w:p>
    <w:p>
      <w:pPr>
        <w:numPr>
          <w:ilvl w:val="0"/>
          <w:numId w:val="0"/>
        </w:numPr>
        <w:spacing w:line="570" w:lineRule="exact"/>
        <w:ind w:firstLine="640" w:firstLineChars="200"/>
        <w:rPr>
          <w:rFonts w:hint="eastAsia"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highlight w:val="none"/>
          <w:lang w:val="en-US" w:eastAsia="zh-CN"/>
        </w:rPr>
        <w:t>1、资产管理制度不规范、不完整。例如资产出租出借资产未履行报批手续、未委托第三方中介机构进行租金评估、未通过合法的交易机构进行公开招租。</w:t>
      </w:r>
    </w:p>
    <w:p>
      <w:pPr>
        <w:numPr>
          <w:ilvl w:val="0"/>
          <w:numId w:val="0"/>
        </w:numPr>
        <w:spacing w:line="570" w:lineRule="exact"/>
        <w:ind w:firstLine="640" w:firstLineChars="200"/>
        <w:rPr>
          <w:rFonts w:hint="eastAsia" w:ascii="仿宋_GB2312" w:hAnsi="Arial" w:eastAsia="仿宋_GB2312" w:cs="Times New Roman"/>
          <w:b w:val="0"/>
          <w:bCs/>
          <w:color w:val="auto"/>
          <w:kern w:val="2"/>
          <w:sz w:val="32"/>
          <w:szCs w:val="32"/>
          <w:highlight w:val="none"/>
          <w:lang w:val="en-US" w:eastAsia="zh-CN" w:bidi="ar-SA"/>
        </w:rPr>
      </w:pPr>
      <w:r>
        <w:rPr>
          <w:rFonts w:hint="eastAsia" w:ascii="仿宋_GB2312" w:hAnsi="Arial" w:eastAsia="仿宋_GB2312" w:cs="Times New Roman"/>
          <w:b w:val="0"/>
          <w:bCs/>
          <w:color w:val="auto"/>
          <w:kern w:val="2"/>
          <w:sz w:val="32"/>
          <w:szCs w:val="32"/>
          <w:highlight w:val="none"/>
          <w:lang w:val="en-US" w:eastAsia="zh-CN" w:bidi="ar-SA"/>
        </w:rPr>
        <w:t>2、固定资产日常管理不够规范。未能及时按照《行政事业单位内部控制规范（试行）》（财会</w:t>
      </w:r>
      <w:r>
        <w:rPr>
          <w:rFonts w:hint="eastAsia" w:ascii="仿宋_GB2312" w:hAnsi="宋体" w:eastAsia="仿宋_GB2312" w:cs="宋体"/>
          <w:b w:val="0"/>
          <w:bCs/>
          <w:color w:val="auto"/>
          <w:kern w:val="0"/>
          <w:sz w:val="32"/>
          <w:szCs w:val="32"/>
          <w:highlight w:val="none"/>
          <w:lang w:val="en-US" w:eastAsia="zh-CN" w:bidi="ar"/>
        </w:rPr>
        <w:t>〔2012〕21号</w:t>
      </w:r>
      <w:r>
        <w:rPr>
          <w:rFonts w:hint="eastAsia" w:ascii="仿宋_GB2312" w:hAnsi="Arial" w:eastAsia="仿宋_GB2312" w:cs="Times New Roman"/>
          <w:b w:val="0"/>
          <w:bCs/>
          <w:color w:val="auto"/>
          <w:kern w:val="2"/>
          <w:sz w:val="32"/>
          <w:szCs w:val="32"/>
          <w:highlight w:val="none"/>
          <w:lang w:val="en-US" w:eastAsia="zh-CN" w:bidi="ar-SA"/>
        </w:rPr>
        <w:t>）文件规定定期对固定资产进行盘点。未按《行政事业单位资产清查核实管理办法》（财资</w:t>
      </w:r>
      <w:r>
        <w:rPr>
          <w:rFonts w:hint="eastAsia" w:ascii="仿宋_GB2312" w:hAnsi="宋体" w:eastAsia="仿宋_GB2312" w:cs="宋体"/>
          <w:b w:val="0"/>
          <w:bCs/>
          <w:color w:val="auto"/>
          <w:kern w:val="0"/>
          <w:sz w:val="32"/>
          <w:szCs w:val="32"/>
          <w:highlight w:val="none"/>
          <w:lang w:val="en-US" w:eastAsia="zh-CN" w:bidi="ar"/>
        </w:rPr>
        <w:t>〔2016〕1号</w:t>
      </w:r>
      <w:r>
        <w:rPr>
          <w:rFonts w:hint="eastAsia" w:ascii="仿宋_GB2312" w:hAnsi="Arial" w:eastAsia="仿宋_GB2312" w:cs="Times New Roman"/>
          <w:b w:val="0"/>
          <w:bCs/>
          <w:color w:val="auto"/>
          <w:kern w:val="2"/>
          <w:sz w:val="32"/>
          <w:szCs w:val="32"/>
          <w:highlight w:val="none"/>
          <w:lang w:val="en-US" w:eastAsia="zh-CN" w:bidi="ar-SA"/>
        </w:rPr>
        <w:t>）文件规定对固定资产进行卡片管理。导致固定资产财务报表与决算报表数据有一定误差。</w:t>
      </w:r>
    </w:p>
    <w:p>
      <w:pPr>
        <w:pStyle w:val="4"/>
        <w:spacing w:line="570" w:lineRule="exact"/>
        <w:ind w:firstLine="643"/>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（三）业务管理方面</w:t>
      </w:r>
    </w:p>
    <w:p>
      <w:pPr>
        <w:numPr>
          <w:ilvl w:val="0"/>
          <w:numId w:val="0"/>
        </w:numPr>
        <w:spacing w:line="570" w:lineRule="exact"/>
        <w:ind w:firstLine="640" w:firstLineChars="200"/>
        <w:rPr>
          <w:rFonts w:hint="eastAsia"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highlight w:val="none"/>
          <w:lang w:val="en-US" w:eastAsia="zh-CN"/>
        </w:rPr>
        <w:t>1、单位部分项目完成不及时。按照《关于下达2023年中央水利发展资金预算》（塔地财农〔2013〕9号），本单位实施的地下水超采项目和中小河流项目，因工程招标时间较晚，未能及时开工实施，导致完工不及时。</w:t>
      </w:r>
    </w:p>
    <w:p>
      <w:pPr>
        <w:numPr>
          <w:ilvl w:val="0"/>
          <w:numId w:val="0"/>
        </w:numPr>
        <w:spacing w:line="570" w:lineRule="exact"/>
        <w:ind w:firstLine="640" w:firstLineChars="200"/>
        <w:rPr>
          <w:rFonts w:hint="eastAsia"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highlight w:val="none"/>
          <w:lang w:val="en-US" w:eastAsia="zh-CN"/>
        </w:rPr>
        <w:t>2、项目管理制度不健全。</w:t>
      </w:r>
    </w:p>
    <w:p>
      <w:pPr>
        <w:pStyle w:val="4"/>
        <w:spacing w:line="570" w:lineRule="exact"/>
        <w:ind w:firstLine="643"/>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（四）预算管理方面</w:t>
      </w:r>
    </w:p>
    <w:p>
      <w:pPr>
        <w:numPr>
          <w:ilvl w:val="0"/>
          <w:numId w:val="0"/>
        </w:numPr>
        <w:spacing w:line="570" w:lineRule="exact"/>
        <w:ind w:firstLine="640" w:firstLineChars="200"/>
        <w:rPr>
          <w:rFonts w:hint="eastAsia"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highlight w:val="none"/>
          <w:lang w:val="en-US" w:eastAsia="zh-CN"/>
        </w:rPr>
        <w:t>1、经费预算编制精准度有待提高。由于预算执行中的不确定性，实际经费核算的科目、支出内容与预算会出现一定偏差。</w:t>
      </w:r>
    </w:p>
    <w:p>
      <w:pPr>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Arial" w:eastAsia="仿宋_GB2312" w:cs="Times New Roman"/>
          <w:b w:val="0"/>
          <w:bCs/>
          <w:color w:val="auto"/>
          <w:kern w:val="2"/>
          <w:sz w:val="32"/>
          <w:szCs w:val="32"/>
          <w:highlight w:val="none"/>
          <w:lang w:val="en-US" w:eastAsia="zh-CN" w:bidi="ar-SA"/>
        </w:rPr>
      </w:pPr>
      <w:r>
        <w:rPr>
          <w:rFonts w:hint="eastAsia" w:ascii="仿宋_GB2312" w:eastAsia="仿宋_GB2312"/>
          <w:b w:val="0"/>
          <w:bCs/>
          <w:color w:val="auto"/>
          <w:sz w:val="32"/>
          <w:szCs w:val="32"/>
          <w:highlight w:val="none"/>
          <w:lang w:val="en-US" w:eastAsia="zh-CN"/>
        </w:rPr>
        <w:t>2、财务人员业务素质有待进一步提高。由于缺乏系统学习，财务人员对预算绩效管理认识不到位、理解不充分，对预算绩效管理业务不了解、不熟悉，对工作重点把握不到位，由此造成绩效评价工作还未摆脱财务考评或验收的影响。</w:t>
      </w:r>
    </w:p>
    <w:p>
      <w:pPr>
        <w:pStyle w:val="3"/>
        <w:spacing w:line="570" w:lineRule="exact"/>
        <w:ind w:firstLine="640"/>
        <w:rPr>
          <w:rFonts w:ascii="仿宋_GB2312" w:eastAsia="仿宋_GB2312"/>
          <w:color w:val="auto"/>
          <w:spacing w:val="-4"/>
          <w:sz w:val="32"/>
          <w:szCs w:val="32"/>
          <w:highlight w:val="none"/>
          <w:lang w:eastAsia="zh-Hans"/>
        </w:rPr>
      </w:pPr>
      <w:r>
        <w:rPr>
          <w:rFonts w:hint="eastAsia" w:ascii="黑体" w:hAnsi="黑体"/>
          <w:b w:val="0"/>
          <w:color w:val="auto"/>
          <w:sz w:val="32"/>
          <w:szCs w:val="32"/>
          <w:highlight w:val="none"/>
          <w:lang w:val="en-US" w:eastAsia="zh-CN"/>
        </w:rPr>
        <w:t>六</w:t>
      </w:r>
      <w:r>
        <w:rPr>
          <w:rFonts w:hint="eastAsia" w:ascii="黑体" w:hAnsi="黑体"/>
          <w:b w:val="0"/>
          <w:color w:val="auto"/>
          <w:sz w:val="32"/>
          <w:szCs w:val="32"/>
          <w:highlight w:val="none"/>
        </w:rPr>
        <w:t>、改进措施和建议</w:t>
      </w:r>
    </w:p>
    <w:p>
      <w:pPr>
        <w:adjustRightInd w:val="0"/>
        <w:snapToGrid w:val="0"/>
        <w:spacing w:line="570" w:lineRule="exact"/>
        <w:ind w:firstLine="624"/>
        <w:rPr>
          <w:rFonts w:hint="eastAsia" w:ascii="仿宋_GB2312" w:eastAsia="仿宋_GB2312"/>
          <w:bCs/>
          <w:color w:val="auto"/>
          <w:spacing w:val="-4"/>
          <w:sz w:val="32"/>
          <w:szCs w:val="32"/>
          <w:highlight w:val="none"/>
        </w:rPr>
      </w:pPr>
      <w:r>
        <w:rPr>
          <w:rFonts w:hint="eastAsia" w:ascii="仿宋_GB2312" w:eastAsia="仿宋_GB2312"/>
          <w:bCs/>
          <w:color w:val="auto"/>
          <w:spacing w:val="-4"/>
          <w:sz w:val="32"/>
          <w:szCs w:val="32"/>
          <w:highlight w:val="none"/>
        </w:rPr>
        <w:t>1.高度重视财政预决算工作，加强预算的约束力</w:t>
      </w:r>
      <w:r>
        <w:rPr>
          <w:rFonts w:hint="eastAsia" w:ascii="仿宋_GB2312" w:eastAsia="仿宋_GB2312"/>
          <w:bCs/>
          <w:color w:val="auto"/>
          <w:spacing w:val="-4"/>
          <w:sz w:val="32"/>
          <w:szCs w:val="32"/>
          <w:highlight w:val="none"/>
          <w:lang w:eastAsia="zh-CN"/>
        </w:rPr>
        <w:t>，</w:t>
      </w:r>
      <w:r>
        <w:rPr>
          <w:rStyle w:val="14"/>
          <w:rFonts w:hint="eastAsia" w:ascii="仿宋_GB2312" w:hAnsi="仿宋_GB2312" w:eastAsia="仿宋_GB2312" w:cs="仿宋_GB2312"/>
          <w:b w:val="0"/>
          <w:bCs w:val="0"/>
          <w:color w:val="auto"/>
          <w:spacing w:val="-4"/>
          <w:sz w:val="32"/>
          <w:szCs w:val="32"/>
          <w:highlight w:val="none"/>
        </w:rPr>
        <w:t>做好事前审批、事中管理和事后监督工作，不断加快预算执行进度，</w:t>
      </w:r>
      <w:r>
        <w:rPr>
          <w:rFonts w:hint="eastAsia" w:ascii="仿宋_GB2312" w:eastAsia="仿宋_GB2312"/>
          <w:bCs/>
          <w:color w:val="auto"/>
          <w:spacing w:val="-4"/>
          <w:sz w:val="32"/>
          <w:szCs w:val="32"/>
          <w:highlight w:val="none"/>
        </w:rPr>
        <w:t>。</w:t>
      </w:r>
    </w:p>
    <w:p>
      <w:pPr>
        <w:adjustRightInd w:val="0"/>
        <w:snapToGrid w:val="0"/>
        <w:spacing w:line="570" w:lineRule="exact"/>
        <w:ind w:firstLine="624"/>
        <w:rPr>
          <w:rFonts w:hint="eastAsia" w:ascii="仿宋_GB2312" w:eastAsia="仿宋_GB2312"/>
          <w:bCs/>
          <w:color w:val="auto"/>
          <w:spacing w:val="-4"/>
          <w:sz w:val="32"/>
          <w:szCs w:val="32"/>
          <w:highlight w:val="none"/>
        </w:rPr>
      </w:pPr>
      <w:r>
        <w:rPr>
          <w:rFonts w:hint="eastAsia" w:ascii="仿宋_GB2312" w:eastAsia="仿宋_GB2312"/>
          <w:bCs/>
          <w:color w:val="auto"/>
          <w:spacing w:val="-4"/>
          <w:sz w:val="32"/>
          <w:szCs w:val="32"/>
          <w:highlight w:val="none"/>
        </w:rPr>
        <w:t>2.加强内部管理，严格执行预算，坚持厉行节约，进一步降低</w:t>
      </w:r>
      <w:r>
        <w:rPr>
          <w:rFonts w:hint="eastAsia" w:ascii="仿宋_GB2312" w:eastAsia="仿宋_GB2312"/>
          <w:bCs/>
          <w:color w:val="auto"/>
          <w:spacing w:val="-4"/>
          <w:sz w:val="32"/>
          <w:szCs w:val="32"/>
          <w:highlight w:val="none"/>
          <w:lang w:val="en-US" w:eastAsia="zh-CN"/>
        </w:rPr>
        <w:t>财政</w:t>
      </w:r>
      <w:r>
        <w:rPr>
          <w:rFonts w:hint="eastAsia" w:ascii="仿宋_GB2312" w:eastAsia="仿宋_GB2312"/>
          <w:bCs/>
          <w:color w:val="auto"/>
          <w:spacing w:val="-4"/>
          <w:sz w:val="32"/>
          <w:szCs w:val="32"/>
          <w:highlight w:val="none"/>
        </w:rPr>
        <w:t>支出。</w:t>
      </w:r>
    </w:p>
    <w:p>
      <w:pPr>
        <w:adjustRightInd w:val="0"/>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rPr>
      </w:pPr>
      <w:r>
        <w:rPr>
          <w:rFonts w:hint="eastAsia" w:ascii="仿宋_GB2312" w:eastAsia="仿宋_GB2312"/>
          <w:bCs/>
          <w:color w:val="auto"/>
          <w:spacing w:val="-4"/>
          <w:sz w:val="32"/>
          <w:szCs w:val="32"/>
          <w:highlight w:val="none"/>
        </w:rPr>
        <w:t>3.严格财务管理，提高工作效率</w:t>
      </w:r>
      <w:r>
        <w:rPr>
          <w:rFonts w:hint="eastAsia" w:ascii="仿宋_GB2312" w:eastAsia="仿宋_GB2312"/>
          <w:bCs/>
          <w:color w:val="auto"/>
          <w:spacing w:val="-4"/>
          <w:sz w:val="32"/>
          <w:szCs w:val="32"/>
          <w:highlight w:val="none"/>
          <w:lang w:eastAsia="zh-CN"/>
        </w:rPr>
        <w:t>，</w:t>
      </w:r>
      <w:r>
        <w:rPr>
          <w:rStyle w:val="14"/>
          <w:rFonts w:hint="eastAsia" w:ascii="仿宋_GB2312" w:hAnsi="仿宋_GB2312" w:eastAsia="仿宋_GB2312" w:cs="仿宋_GB2312"/>
          <w:b w:val="0"/>
          <w:bCs w:val="0"/>
          <w:color w:val="auto"/>
          <w:spacing w:val="-4"/>
          <w:sz w:val="32"/>
          <w:szCs w:val="32"/>
          <w:highlight w:val="none"/>
        </w:rPr>
        <w:t>在保证资金安全的前提下加快资金支出进度，支出条件已经成熟的项目，抓紧报销，尽快形成有效支出。</w:t>
      </w:r>
    </w:p>
    <w:p>
      <w:pPr>
        <w:adjustRightInd w:val="0"/>
        <w:snapToGrid w:val="0"/>
        <w:spacing w:line="570" w:lineRule="exact"/>
        <w:ind w:firstLine="624"/>
        <w:rPr>
          <w:rFonts w:hint="eastAsia" w:ascii="仿宋_GB2312" w:eastAsia="仿宋_GB2312"/>
          <w:bCs/>
          <w:color w:val="auto"/>
          <w:spacing w:val="-4"/>
          <w:sz w:val="32"/>
          <w:szCs w:val="32"/>
          <w:highlight w:val="none"/>
        </w:rPr>
      </w:pPr>
      <w:r>
        <w:rPr>
          <w:rFonts w:hint="eastAsia" w:ascii="仿宋_GB2312" w:eastAsia="仿宋_GB2312"/>
          <w:bCs/>
          <w:color w:val="auto"/>
          <w:spacing w:val="-4"/>
          <w:sz w:val="32"/>
          <w:szCs w:val="32"/>
          <w:highlight w:val="none"/>
        </w:rPr>
        <w:t>4.</w:t>
      </w:r>
      <w:r>
        <w:rPr>
          <w:rStyle w:val="14"/>
          <w:rFonts w:hint="eastAsia" w:ascii="仿宋_GB2312" w:hAnsi="仿宋_GB2312" w:eastAsia="仿宋_GB2312" w:cs="仿宋_GB2312"/>
          <w:b w:val="0"/>
          <w:bCs w:val="0"/>
          <w:color w:val="auto"/>
          <w:spacing w:val="-4"/>
          <w:sz w:val="32"/>
          <w:szCs w:val="32"/>
          <w:highlight w:val="none"/>
        </w:rPr>
        <w:t>强化责任意识。通过绩效评价，考核各处室绩效目标实际完成情况和取得的成效，</w:t>
      </w:r>
      <w:r>
        <w:rPr>
          <w:rFonts w:hint="eastAsia" w:ascii="仿宋_GB2312" w:eastAsia="仿宋_GB2312"/>
          <w:bCs/>
          <w:color w:val="auto"/>
          <w:spacing w:val="-4"/>
          <w:sz w:val="32"/>
          <w:szCs w:val="32"/>
          <w:highlight w:val="none"/>
        </w:rPr>
        <w:t>对于硬性指标的考核，每月由财务部门核定数据后给各部门，部门依据硬性指标的达成率核算。</w:t>
      </w:r>
    </w:p>
    <w:p>
      <w:pPr>
        <w:adjustRightInd w:val="0"/>
        <w:snapToGrid w:val="0"/>
        <w:spacing w:line="570" w:lineRule="exact"/>
        <w:ind w:firstLine="624"/>
        <w:rPr>
          <w:rStyle w:val="14"/>
          <w:rFonts w:hint="default" w:ascii="仿宋_GB2312" w:hAnsi="仿宋_GB2312" w:eastAsia="仿宋_GB2312" w:cs="仿宋_GB2312"/>
          <w:b w:val="0"/>
          <w:bCs w:val="0"/>
          <w:color w:val="auto"/>
          <w:spacing w:val="-4"/>
          <w:sz w:val="32"/>
          <w:szCs w:val="32"/>
          <w:highlight w:val="none"/>
          <w:lang w:val="en-US" w:eastAsia="zh-CN"/>
        </w:rPr>
      </w:pPr>
      <w:r>
        <w:rPr>
          <w:rFonts w:hint="eastAsia" w:ascii="仿宋_GB2312" w:eastAsia="仿宋_GB2312"/>
          <w:bCs/>
          <w:color w:val="auto"/>
          <w:spacing w:val="-4"/>
          <w:sz w:val="32"/>
          <w:szCs w:val="32"/>
          <w:highlight w:val="none"/>
        </w:rPr>
        <w:t>5.财务人员加强对专业知识和相关政策法规的培训</w:t>
      </w:r>
      <w:r>
        <w:rPr>
          <w:rFonts w:hint="eastAsia" w:ascii="仿宋_GB2312" w:eastAsia="仿宋_GB2312"/>
          <w:bCs/>
          <w:color w:val="auto"/>
          <w:spacing w:val="-4"/>
          <w:sz w:val="32"/>
          <w:szCs w:val="32"/>
          <w:highlight w:val="none"/>
          <w:lang w:eastAsia="zh-CN"/>
        </w:rPr>
        <w:t>，</w:t>
      </w:r>
      <w:r>
        <w:rPr>
          <w:rStyle w:val="14"/>
          <w:rFonts w:hint="eastAsia" w:ascii="仿宋_GB2312" w:hAnsi="仿宋_GB2312" w:eastAsia="仿宋_GB2312" w:cs="仿宋_GB2312"/>
          <w:b w:val="0"/>
          <w:bCs w:val="0"/>
          <w:color w:val="auto"/>
          <w:spacing w:val="-4"/>
          <w:sz w:val="32"/>
          <w:szCs w:val="32"/>
          <w:highlight w:val="none"/>
          <w:lang w:val="en-US" w:eastAsia="zh-CN"/>
        </w:rPr>
        <w:t>组织开展法律法规、职业道德及会计相关知识等方面的培训</w:t>
      </w:r>
      <w:r>
        <w:rPr>
          <w:rFonts w:hint="eastAsia" w:ascii="仿宋_GB2312" w:eastAsia="仿宋_GB2312"/>
          <w:bCs/>
          <w:color w:val="auto"/>
          <w:spacing w:val="-4"/>
          <w:sz w:val="32"/>
          <w:szCs w:val="32"/>
          <w:highlight w:val="none"/>
        </w:rPr>
        <w:t>。</w:t>
      </w:r>
    </w:p>
    <w:p>
      <w:pPr>
        <w:pStyle w:val="3"/>
        <w:spacing w:line="570" w:lineRule="exact"/>
        <w:rPr>
          <w:rFonts w:ascii="黑体" w:hAnsi="黑体"/>
          <w:b w:val="0"/>
          <w:color w:val="auto"/>
          <w:sz w:val="32"/>
          <w:szCs w:val="32"/>
          <w:highlight w:val="none"/>
        </w:rPr>
      </w:pPr>
      <w:r>
        <w:rPr>
          <w:rFonts w:hint="eastAsia" w:ascii="黑体" w:hAnsi="黑体"/>
          <w:b w:val="0"/>
          <w:color w:val="auto"/>
          <w:sz w:val="32"/>
          <w:szCs w:val="32"/>
          <w:highlight w:val="none"/>
          <w:lang w:val="en-US" w:eastAsia="zh-CN"/>
        </w:rPr>
        <w:t>七</w:t>
      </w:r>
      <w:r>
        <w:rPr>
          <w:rFonts w:hint="eastAsia" w:ascii="黑体" w:hAnsi="黑体"/>
          <w:b w:val="0"/>
          <w:color w:val="auto"/>
          <w:sz w:val="32"/>
          <w:szCs w:val="32"/>
          <w:highlight w:val="none"/>
        </w:rPr>
        <w:t>、附表</w:t>
      </w:r>
    </w:p>
    <w:p>
      <w:pPr>
        <w:spacing w:line="57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《部门整体支出绩效目标自评表》</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851" w:footer="992" w:gutter="0"/>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Malgun Gothic Semilight">
    <w:altName w:val="宋体"/>
    <w:panose1 w:val="020B0502040204020203"/>
    <w:charset w:val="86"/>
    <w:family w:val="swiss"/>
    <w:pitch w:val="default"/>
    <w:sig w:usb0="00000000" w:usb1="00000000" w:usb2="00000012" w:usb3="00000000" w:csb0="203E01BD" w:csb1="D7FF0000"/>
  </w:font>
  <w:font w:name="楷体_GB2312">
    <w:altName w:val="楷体"/>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94959"/>
      <w:showingPlcHdr/>
    </w:sdtPr>
    <w:sdtContent>
      <w:p>
        <w:pPr>
          <w:pStyle w:val="8"/>
          <w:ind w:firstLine="360"/>
          <w:jc w:val="right"/>
        </w:pPr>
        <w:r>
          <w:t xml:space="preserve">     </w:t>
        </w:r>
      </w:p>
    </w:sdtContent>
  </w:sdt>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28373"/>
    <w:multiLevelType w:val="singleLevel"/>
    <w:tmpl w:val="EBF28373"/>
    <w:lvl w:ilvl="0" w:tentative="0">
      <w:start w:val="1"/>
      <w:numFmt w:val="decimal"/>
      <w:suff w:val="nothing"/>
      <w:lvlText w:val="%1、"/>
      <w:lvlJc w:val="left"/>
    </w:lvl>
  </w:abstractNum>
  <w:abstractNum w:abstractNumId="1">
    <w:nsid w:val="EFFE516D"/>
    <w:multiLevelType w:val="singleLevel"/>
    <w:tmpl w:val="EFFE516D"/>
    <w:lvl w:ilvl="0" w:tentative="0">
      <w:start w:val="2"/>
      <w:numFmt w:val="chineseCounting"/>
      <w:suff w:val="nothing"/>
      <w:lvlText w:val="（%1）"/>
      <w:lvlJc w:val="left"/>
      <w:rPr>
        <w:rFonts w:hint="eastAsia"/>
      </w:rPr>
    </w:lvl>
  </w:abstractNum>
  <w:abstractNum w:abstractNumId="2">
    <w:nsid w:val="21532462"/>
    <w:multiLevelType w:val="singleLevel"/>
    <w:tmpl w:val="21532462"/>
    <w:lvl w:ilvl="0" w:tentative="0">
      <w:start w:val="1"/>
      <w:numFmt w:val="decimal"/>
      <w:suff w:val="nothing"/>
      <w:lvlText w:val="（%1）"/>
      <w:lvlJc w:val="left"/>
    </w:lvl>
  </w:abstractNum>
  <w:abstractNum w:abstractNumId="3">
    <w:nsid w:val="2424A133"/>
    <w:multiLevelType w:val="singleLevel"/>
    <w:tmpl w:val="2424A133"/>
    <w:lvl w:ilvl="0" w:tentative="0">
      <w:start w:val="3"/>
      <w:numFmt w:val="chineseCounting"/>
      <w:suff w:val="nothing"/>
      <w:lvlText w:val="%1、"/>
      <w:lvlJc w:val="left"/>
      <w:rPr>
        <w:rFonts w:hint="eastAsia"/>
      </w:rPr>
    </w:lvl>
  </w:abstractNum>
  <w:abstractNum w:abstractNumId="4">
    <w:nsid w:val="2DF647DA"/>
    <w:multiLevelType w:val="singleLevel"/>
    <w:tmpl w:val="2DF647DA"/>
    <w:lvl w:ilvl="0" w:tentative="0">
      <w:start w:val="1"/>
      <w:numFmt w:val="chineseCounting"/>
      <w:suff w:val="nothing"/>
      <w:lvlText w:val="（%1）"/>
      <w:lvlJc w:val="left"/>
      <w:pPr>
        <w:ind w:left="0" w:firstLine="420"/>
      </w:pPr>
      <w:rPr>
        <w:rFonts w:hint="eastAsia"/>
      </w:rPr>
    </w:lvl>
  </w:abstractNum>
  <w:abstractNum w:abstractNumId="5">
    <w:nsid w:val="3F3F91C3"/>
    <w:multiLevelType w:val="singleLevel"/>
    <w:tmpl w:val="3F3F91C3"/>
    <w:lvl w:ilvl="0" w:tentative="0">
      <w:start w:val="4"/>
      <w:numFmt w:val="chineseCounting"/>
      <w:suff w:val="nothing"/>
      <w:lvlText w:val="%1、"/>
      <w:lvlJc w:val="left"/>
      <w:rPr>
        <w:rFonts w:hint="eastAsia"/>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1OWFmZWJhNzRlYzhjZjgyMjY3OGE4YTAzY2Q4NTIifQ=="/>
  </w:docVars>
  <w:rsids>
    <w:rsidRoot w:val="005736CA"/>
    <w:rsid w:val="000127F0"/>
    <w:rsid w:val="00012F5F"/>
    <w:rsid w:val="00117D29"/>
    <w:rsid w:val="00164618"/>
    <w:rsid w:val="001F423C"/>
    <w:rsid w:val="00201A4A"/>
    <w:rsid w:val="002153DD"/>
    <w:rsid w:val="002640E4"/>
    <w:rsid w:val="00284F01"/>
    <w:rsid w:val="002C034A"/>
    <w:rsid w:val="00346A15"/>
    <w:rsid w:val="003B184C"/>
    <w:rsid w:val="003F473D"/>
    <w:rsid w:val="00455E2F"/>
    <w:rsid w:val="004D4927"/>
    <w:rsid w:val="00523705"/>
    <w:rsid w:val="005736CA"/>
    <w:rsid w:val="005D3F17"/>
    <w:rsid w:val="005E5D6E"/>
    <w:rsid w:val="005F7A93"/>
    <w:rsid w:val="00617C63"/>
    <w:rsid w:val="006421F8"/>
    <w:rsid w:val="00722410"/>
    <w:rsid w:val="0077571A"/>
    <w:rsid w:val="007B6305"/>
    <w:rsid w:val="00831326"/>
    <w:rsid w:val="008A1C5E"/>
    <w:rsid w:val="008C7713"/>
    <w:rsid w:val="008D5E7B"/>
    <w:rsid w:val="00931A42"/>
    <w:rsid w:val="009443DA"/>
    <w:rsid w:val="00961F8B"/>
    <w:rsid w:val="009C6EE2"/>
    <w:rsid w:val="009D6347"/>
    <w:rsid w:val="009E68A2"/>
    <w:rsid w:val="00A06AAB"/>
    <w:rsid w:val="00A7110C"/>
    <w:rsid w:val="00A720BD"/>
    <w:rsid w:val="00A87301"/>
    <w:rsid w:val="00A95478"/>
    <w:rsid w:val="00AE0359"/>
    <w:rsid w:val="00B00384"/>
    <w:rsid w:val="00BC7E1D"/>
    <w:rsid w:val="00C11C70"/>
    <w:rsid w:val="00C20D12"/>
    <w:rsid w:val="00C459C8"/>
    <w:rsid w:val="00C5695F"/>
    <w:rsid w:val="00CA0283"/>
    <w:rsid w:val="00CD147B"/>
    <w:rsid w:val="00D2747D"/>
    <w:rsid w:val="00D34758"/>
    <w:rsid w:val="00D81057"/>
    <w:rsid w:val="00D816FD"/>
    <w:rsid w:val="00D8792A"/>
    <w:rsid w:val="00DB3723"/>
    <w:rsid w:val="00DC7874"/>
    <w:rsid w:val="00E122EB"/>
    <w:rsid w:val="00E65EF1"/>
    <w:rsid w:val="00E76F6F"/>
    <w:rsid w:val="00EA0F2D"/>
    <w:rsid w:val="00FD4A54"/>
    <w:rsid w:val="010D63A2"/>
    <w:rsid w:val="012D3D63"/>
    <w:rsid w:val="01330A6C"/>
    <w:rsid w:val="01487A18"/>
    <w:rsid w:val="01720865"/>
    <w:rsid w:val="0189003F"/>
    <w:rsid w:val="01C42D66"/>
    <w:rsid w:val="02C15BF6"/>
    <w:rsid w:val="032E4C8E"/>
    <w:rsid w:val="0334789D"/>
    <w:rsid w:val="033A749B"/>
    <w:rsid w:val="03673532"/>
    <w:rsid w:val="0379691F"/>
    <w:rsid w:val="03BE7262"/>
    <w:rsid w:val="04313FCA"/>
    <w:rsid w:val="043B4C5B"/>
    <w:rsid w:val="044203C3"/>
    <w:rsid w:val="045E1BB5"/>
    <w:rsid w:val="046072C6"/>
    <w:rsid w:val="048C34B8"/>
    <w:rsid w:val="04993586"/>
    <w:rsid w:val="049D20FD"/>
    <w:rsid w:val="04C42719"/>
    <w:rsid w:val="04DF6C0B"/>
    <w:rsid w:val="050D0377"/>
    <w:rsid w:val="05560765"/>
    <w:rsid w:val="058D51FF"/>
    <w:rsid w:val="06222B2B"/>
    <w:rsid w:val="06401D70"/>
    <w:rsid w:val="06586D46"/>
    <w:rsid w:val="065A4860"/>
    <w:rsid w:val="06662B98"/>
    <w:rsid w:val="067565EE"/>
    <w:rsid w:val="067716E0"/>
    <w:rsid w:val="06C060E1"/>
    <w:rsid w:val="06DE0B3E"/>
    <w:rsid w:val="06F301EC"/>
    <w:rsid w:val="06F61BCB"/>
    <w:rsid w:val="07012CA8"/>
    <w:rsid w:val="07014925"/>
    <w:rsid w:val="0732C09B"/>
    <w:rsid w:val="073C28DF"/>
    <w:rsid w:val="073D47DD"/>
    <w:rsid w:val="074474CA"/>
    <w:rsid w:val="07CA63EE"/>
    <w:rsid w:val="07D07530"/>
    <w:rsid w:val="08170519"/>
    <w:rsid w:val="08436556"/>
    <w:rsid w:val="0856616F"/>
    <w:rsid w:val="08622524"/>
    <w:rsid w:val="086A7EAD"/>
    <w:rsid w:val="08881A41"/>
    <w:rsid w:val="08A06421"/>
    <w:rsid w:val="08E604A1"/>
    <w:rsid w:val="08EF03CC"/>
    <w:rsid w:val="092D6339"/>
    <w:rsid w:val="097A0CA3"/>
    <w:rsid w:val="09DA2AA5"/>
    <w:rsid w:val="0A2A7C4B"/>
    <w:rsid w:val="0A570F00"/>
    <w:rsid w:val="0AD23979"/>
    <w:rsid w:val="0ADE3278"/>
    <w:rsid w:val="0AE14729"/>
    <w:rsid w:val="0B4635B9"/>
    <w:rsid w:val="0B693A91"/>
    <w:rsid w:val="0B6C582B"/>
    <w:rsid w:val="0B735A1E"/>
    <w:rsid w:val="0B927CE4"/>
    <w:rsid w:val="0BB6664C"/>
    <w:rsid w:val="0BCC05A7"/>
    <w:rsid w:val="0BE23060"/>
    <w:rsid w:val="0C1D3D6A"/>
    <w:rsid w:val="0C605AD8"/>
    <w:rsid w:val="0C8959A0"/>
    <w:rsid w:val="0C9B591B"/>
    <w:rsid w:val="0CC024A2"/>
    <w:rsid w:val="0CDD02FC"/>
    <w:rsid w:val="0CE67E95"/>
    <w:rsid w:val="0D2C01B6"/>
    <w:rsid w:val="0D5973A7"/>
    <w:rsid w:val="0D703DA4"/>
    <w:rsid w:val="0D706869"/>
    <w:rsid w:val="0D7C06D5"/>
    <w:rsid w:val="0D7C2CF2"/>
    <w:rsid w:val="0DD643ED"/>
    <w:rsid w:val="0DF75868"/>
    <w:rsid w:val="0E1400AD"/>
    <w:rsid w:val="0E343D9E"/>
    <w:rsid w:val="0E9E33B0"/>
    <w:rsid w:val="0EF905AA"/>
    <w:rsid w:val="0F140AC0"/>
    <w:rsid w:val="0F14215B"/>
    <w:rsid w:val="0F15109B"/>
    <w:rsid w:val="0F3B5348"/>
    <w:rsid w:val="0F3C74C6"/>
    <w:rsid w:val="0FD6236E"/>
    <w:rsid w:val="0FE06440"/>
    <w:rsid w:val="1049193F"/>
    <w:rsid w:val="10566744"/>
    <w:rsid w:val="10625CF9"/>
    <w:rsid w:val="10950DBA"/>
    <w:rsid w:val="10B52A92"/>
    <w:rsid w:val="10D40475"/>
    <w:rsid w:val="113051CE"/>
    <w:rsid w:val="114E5553"/>
    <w:rsid w:val="11612DE7"/>
    <w:rsid w:val="1193547A"/>
    <w:rsid w:val="1199679A"/>
    <w:rsid w:val="11B513B1"/>
    <w:rsid w:val="11C51460"/>
    <w:rsid w:val="12160F32"/>
    <w:rsid w:val="129C5FBF"/>
    <w:rsid w:val="132A631E"/>
    <w:rsid w:val="13332723"/>
    <w:rsid w:val="13336BAF"/>
    <w:rsid w:val="134D7FF4"/>
    <w:rsid w:val="13A27094"/>
    <w:rsid w:val="13B42D72"/>
    <w:rsid w:val="13D06674"/>
    <w:rsid w:val="13D44D7F"/>
    <w:rsid w:val="14120FE1"/>
    <w:rsid w:val="142C48EB"/>
    <w:rsid w:val="143E5526"/>
    <w:rsid w:val="14703A03"/>
    <w:rsid w:val="1493153C"/>
    <w:rsid w:val="14B33F8F"/>
    <w:rsid w:val="14D965F4"/>
    <w:rsid w:val="14F81E1D"/>
    <w:rsid w:val="15343BE6"/>
    <w:rsid w:val="15357338"/>
    <w:rsid w:val="153612FD"/>
    <w:rsid w:val="154136C6"/>
    <w:rsid w:val="15530DDD"/>
    <w:rsid w:val="156F1B1C"/>
    <w:rsid w:val="16050D98"/>
    <w:rsid w:val="164D645C"/>
    <w:rsid w:val="167B52F3"/>
    <w:rsid w:val="16811A70"/>
    <w:rsid w:val="169F678C"/>
    <w:rsid w:val="16D97F04"/>
    <w:rsid w:val="16DC79A8"/>
    <w:rsid w:val="16F4505A"/>
    <w:rsid w:val="17136C0E"/>
    <w:rsid w:val="17383D5F"/>
    <w:rsid w:val="17471DBF"/>
    <w:rsid w:val="177D3D5F"/>
    <w:rsid w:val="17885FB1"/>
    <w:rsid w:val="17C573FD"/>
    <w:rsid w:val="18142FD5"/>
    <w:rsid w:val="185C0C7B"/>
    <w:rsid w:val="18647115"/>
    <w:rsid w:val="187B711C"/>
    <w:rsid w:val="18B44DAA"/>
    <w:rsid w:val="18C44CD5"/>
    <w:rsid w:val="191D76ED"/>
    <w:rsid w:val="193D3C42"/>
    <w:rsid w:val="195864BB"/>
    <w:rsid w:val="19720CC7"/>
    <w:rsid w:val="19B05D52"/>
    <w:rsid w:val="19CD042B"/>
    <w:rsid w:val="19FC0A98"/>
    <w:rsid w:val="1A0D43A0"/>
    <w:rsid w:val="1A50150C"/>
    <w:rsid w:val="1AE12836"/>
    <w:rsid w:val="1AE925F4"/>
    <w:rsid w:val="1B234950"/>
    <w:rsid w:val="1B2706B9"/>
    <w:rsid w:val="1B421E7E"/>
    <w:rsid w:val="1B64461F"/>
    <w:rsid w:val="1B6B7B31"/>
    <w:rsid w:val="1B9C3AE1"/>
    <w:rsid w:val="1C0E12CD"/>
    <w:rsid w:val="1C3C0819"/>
    <w:rsid w:val="1C5021BD"/>
    <w:rsid w:val="1C5A6A79"/>
    <w:rsid w:val="1C603202"/>
    <w:rsid w:val="1C733C2F"/>
    <w:rsid w:val="1C9A0200"/>
    <w:rsid w:val="1CCE5055"/>
    <w:rsid w:val="1CD529D6"/>
    <w:rsid w:val="1CD92947"/>
    <w:rsid w:val="1D980EC1"/>
    <w:rsid w:val="1DEB6607"/>
    <w:rsid w:val="1DED007E"/>
    <w:rsid w:val="1DFB6F14"/>
    <w:rsid w:val="1E47773B"/>
    <w:rsid w:val="1E4B6E86"/>
    <w:rsid w:val="1F0539AE"/>
    <w:rsid w:val="1F7D50C8"/>
    <w:rsid w:val="1F893367"/>
    <w:rsid w:val="1FCB3375"/>
    <w:rsid w:val="1FD2732F"/>
    <w:rsid w:val="1FE173B4"/>
    <w:rsid w:val="1FE72E58"/>
    <w:rsid w:val="200667A3"/>
    <w:rsid w:val="20173A7C"/>
    <w:rsid w:val="203B1607"/>
    <w:rsid w:val="20783813"/>
    <w:rsid w:val="20992F40"/>
    <w:rsid w:val="20F25F2A"/>
    <w:rsid w:val="20F27184"/>
    <w:rsid w:val="212F5EEF"/>
    <w:rsid w:val="213A4AC2"/>
    <w:rsid w:val="218738BE"/>
    <w:rsid w:val="2194029A"/>
    <w:rsid w:val="21B21339"/>
    <w:rsid w:val="21BF20AD"/>
    <w:rsid w:val="21C43928"/>
    <w:rsid w:val="21F330F9"/>
    <w:rsid w:val="22235E02"/>
    <w:rsid w:val="228C2437"/>
    <w:rsid w:val="22AA70CA"/>
    <w:rsid w:val="22EFF4E2"/>
    <w:rsid w:val="23541118"/>
    <w:rsid w:val="23585C4E"/>
    <w:rsid w:val="236A7EFE"/>
    <w:rsid w:val="23765811"/>
    <w:rsid w:val="23805685"/>
    <w:rsid w:val="23880F1A"/>
    <w:rsid w:val="23A43F46"/>
    <w:rsid w:val="23BA6588"/>
    <w:rsid w:val="23DC635E"/>
    <w:rsid w:val="23DF7B59"/>
    <w:rsid w:val="24727DCD"/>
    <w:rsid w:val="248879F4"/>
    <w:rsid w:val="24A97FDF"/>
    <w:rsid w:val="24BC01CD"/>
    <w:rsid w:val="24C25CD7"/>
    <w:rsid w:val="24D73DEE"/>
    <w:rsid w:val="24D96D65"/>
    <w:rsid w:val="24E04C2E"/>
    <w:rsid w:val="25452366"/>
    <w:rsid w:val="256E5D87"/>
    <w:rsid w:val="258917A9"/>
    <w:rsid w:val="25A82154"/>
    <w:rsid w:val="25FC1269"/>
    <w:rsid w:val="2608337D"/>
    <w:rsid w:val="260C06F0"/>
    <w:rsid w:val="2620433E"/>
    <w:rsid w:val="26536E6E"/>
    <w:rsid w:val="269D5137"/>
    <w:rsid w:val="26BD3A0A"/>
    <w:rsid w:val="26BE70D6"/>
    <w:rsid w:val="26C301BC"/>
    <w:rsid w:val="26D424C1"/>
    <w:rsid w:val="26E81C8F"/>
    <w:rsid w:val="26F02D0C"/>
    <w:rsid w:val="26FD226B"/>
    <w:rsid w:val="27006B49"/>
    <w:rsid w:val="27367DFA"/>
    <w:rsid w:val="273C2CA3"/>
    <w:rsid w:val="273FB1AE"/>
    <w:rsid w:val="277371F3"/>
    <w:rsid w:val="278E79B1"/>
    <w:rsid w:val="27C51152"/>
    <w:rsid w:val="27F80531"/>
    <w:rsid w:val="280447C3"/>
    <w:rsid w:val="284171EC"/>
    <w:rsid w:val="286B4689"/>
    <w:rsid w:val="289F2164"/>
    <w:rsid w:val="28B60026"/>
    <w:rsid w:val="29350CD3"/>
    <w:rsid w:val="29784CA5"/>
    <w:rsid w:val="29B80C93"/>
    <w:rsid w:val="29BB20D2"/>
    <w:rsid w:val="29C70504"/>
    <w:rsid w:val="29D44C7C"/>
    <w:rsid w:val="29F33C34"/>
    <w:rsid w:val="2A380298"/>
    <w:rsid w:val="2A7B46E1"/>
    <w:rsid w:val="2A886FA9"/>
    <w:rsid w:val="2AC64A60"/>
    <w:rsid w:val="2C085CD5"/>
    <w:rsid w:val="2C296C25"/>
    <w:rsid w:val="2C5033C5"/>
    <w:rsid w:val="2C5C6A3E"/>
    <w:rsid w:val="2C757BAF"/>
    <w:rsid w:val="2C8606C5"/>
    <w:rsid w:val="2C8C2E69"/>
    <w:rsid w:val="2C974E3D"/>
    <w:rsid w:val="2CA568CE"/>
    <w:rsid w:val="2D07338F"/>
    <w:rsid w:val="2D686211"/>
    <w:rsid w:val="2DB93477"/>
    <w:rsid w:val="2DF65048"/>
    <w:rsid w:val="2E165B2D"/>
    <w:rsid w:val="2E9C69DA"/>
    <w:rsid w:val="2EE84ED3"/>
    <w:rsid w:val="2F047E61"/>
    <w:rsid w:val="2F062134"/>
    <w:rsid w:val="2F21289E"/>
    <w:rsid w:val="2F8507EF"/>
    <w:rsid w:val="2F912F13"/>
    <w:rsid w:val="30315A18"/>
    <w:rsid w:val="303453BB"/>
    <w:rsid w:val="303F0333"/>
    <w:rsid w:val="308C4C8C"/>
    <w:rsid w:val="30A14448"/>
    <w:rsid w:val="30BD4A6D"/>
    <w:rsid w:val="30DA5678"/>
    <w:rsid w:val="31121DE6"/>
    <w:rsid w:val="315F1E36"/>
    <w:rsid w:val="31793EC1"/>
    <w:rsid w:val="31F242FB"/>
    <w:rsid w:val="31F82192"/>
    <w:rsid w:val="32025E0E"/>
    <w:rsid w:val="32031EA3"/>
    <w:rsid w:val="321C166B"/>
    <w:rsid w:val="3258379D"/>
    <w:rsid w:val="32805979"/>
    <w:rsid w:val="32E66065"/>
    <w:rsid w:val="331160AA"/>
    <w:rsid w:val="33436432"/>
    <w:rsid w:val="335D23DB"/>
    <w:rsid w:val="33952FEB"/>
    <w:rsid w:val="33A34B5F"/>
    <w:rsid w:val="33A764C0"/>
    <w:rsid w:val="33AE0918"/>
    <w:rsid w:val="34054358"/>
    <w:rsid w:val="3417608E"/>
    <w:rsid w:val="342E7F12"/>
    <w:rsid w:val="343E7569"/>
    <w:rsid w:val="34496D65"/>
    <w:rsid w:val="345459E1"/>
    <w:rsid w:val="346976B5"/>
    <w:rsid w:val="346B7F37"/>
    <w:rsid w:val="34A94CBA"/>
    <w:rsid w:val="34B92F28"/>
    <w:rsid w:val="35031EB5"/>
    <w:rsid w:val="35DE49C0"/>
    <w:rsid w:val="35FA7EA7"/>
    <w:rsid w:val="363B291C"/>
    <w:rsid w:val="363E1F63"/>
    <w:rsid w:val="363FC9C7"/>
    <w:rsid w:val="36652A35"/>
    <w:rsid w:val="37206D7C"/>
    <w:rsid w:val="375B421F"/>
    <w:rsid w:val="37905AF3"/>
    <w:rsid w:val="37A34800"/>
    <w:rsid w:val="37A8718F"/>
    <w:rsid w:val="37E02280"/>
    <w:rsid w:val="38026202"/>
    <w:rsid w:val="383B1C65"/>
    <w:rsid w:val="38764896"/>
    <w:rsid w:val="388D632D"/>
    <w:rsid w:val="38962C73"/>
    <w:rsid w:val="38C05FA5"/>
    <w:rsid w:val="38CD3EED"/>
    <w:rsid w:val="38DF1F43"/>
    <w:rsid w:val="390339EB"/>
    <w:rsid w:val="39164003"/>
    <w:rsid w:val="394D16E2"/>
    <w:rsid w:val="39D66640"/>
    <w:rsid w:val="3A3453FF"/>
    <w:rsid w:val="3A5C0A17"/>
    <w:rsid w:val="3A8248E0"/>
    <w:rsid w:val="3A833A1D"/>
    <w:rsid w:val="3ABF2E00"/>
    <w:rsid w:val="3AF76DD0"/>
    <w:rsid w:val="3AFB14C3"/>
    <w:rsid w:val="3B1D07BC"/>
    <w:rsid w:val="3B2129DF"/>
    <w:rsid w:val="3B447872"/>
    <w:rsid w:val="3B474B41"/>
    <w:rsid w:val="3B8D4322"/>
    <w:rsid w:val="3B9508B7"/>
    <w:rsid w:val="3BA46D05"/>
    <w:rsid w:val="3BCE13F3"/>
    <w:rsid w:val="3BD2350C"/>
    <w:rsid w:val="3C071D01"/>
    <w:rsid w:val="3C463454"/>
    <w:rsid w:val="3CDF1FAA"/>
    <w:rsid w:val="3CFC0EF8"/>
    <w:rsid w:val="3D0657A9"/>
    <w:rsid w:val="3D1026F3"/>
    <w:rsid w:val="3DB561A7"/>
    <w:rsid w:val="3DBA0327"/>
    <w:rsid w:val="3DF791BD"/>
    <w:rsid w:val="3E5049D6"/>
    <w:rsid w:val="3E5E057D"/>
    <w:rsid w:val="3E6F122B"/>
    <w:rsid w:val="3E7865FD"/>
    <w:rsid w:val="3E7F0D7D"/>
    <w:rsid w:val="3E880E32"/>
    <w:rsid w:val="3EC65777"/>
    <w:rsid w:val="3ECE25DA"/>
    <w:rsid w:val="3EFC517A"/>
    <w:rsid w:val="3F24659E"/>
    <w:rsid w:val="3F2E2C76"/>
    <w:rsid w:val="3F3B5C85"/>
    <w:rsid w:val="3F3E0088"/>
    <w:rsid w:val="3F6E51CB"/>
    <w:rsid w:val="3FEF5FA0"/>
    <w:rsid w:val="3FFBD47C"/>
    <w:rsid w:val="40006CAB"/>
    <w:rsid w:val="40085D42"/>
    <w:rsid w:val="402E562B"/>
    <w:rsid w:val="4046343E"/>
    <w:rsid w:val="40463EAA"/>
    <w:rsid w:val="405007A0"/>
    <w:rsid w:val="4061544C"/>
    <w:rsid w:val="4070478B"/>
    <w:rsid w:val="40710710"/>
    <w:rsid w:val="40F61FC7"/>
    <w:rsid w:val="410A06F9"/>
    <w:rsid w:val="4125037B"/>
    <w:rsid w:val="413357D7"/>
    <w:rsid w:val="41447D45"/>
    <w:rsid w:val="41977304"/>
    <w:rsid w:val="41CD393D"/>
    <w:rsid w:val="41F949FB"/>
    <w:rsid w:val="421630C6"/>
    <w:rsid w:val="422B5E31"/>
    <w:rsid w:val="4252595A"/>
    <w:rsid w:val="43826A74"/>
    <w:rsid w:val="4389139C"/>
    <w:rsid w:val="43B22635"/>
    <w:rsid w:val="43DC59FD"/>
    <w:rsid w:val="44016A8B"/>
    <w:rsid w:val="441B763D"/>
    <w:rsid w:val="443F0A8A"/>
    <w:rsid w:val="44483F56"/>
    <w:rsid w:val="444C0E2A"/>
    <w:rsid w:val="44703E7E"/>
    <w:rsid w:val="44867A3B"/>
    <w:rsid w:val="44986938"/>
    <w:rsid w:val="44FD5F6B"/>
    <w:rsid w:val="450C3B52"/>
    <w:rsid w:val="450F1ADE"/>
    <w:rsid w:val="45103FCB"/>
    <w:rsid w:val="4512666F"/>
    <w:rsid w:val="45601194"/>
    <w:rsid w:val="45675B9E"/>
    <w:rsid w:val="45852FD0"/>
    <w:rsid w:val="458E7F08"/>
    <w:rsid w:val="45B242B5"/>
    <w:rsid w:val="45E33D03"/>
    <w:rsid w:val="46751144"/>
    <w:rsid w:val="46D17A2C"/>
    <w:rsid w:val="470109B9"/>
    <w:rsid w:val="47067546"/>
    <w:rsid w:val="474801E9"/>
    <w:rsid w:val="477232C8"/>
    <w:rsid w:val="478C46CC"/>
    <w:rsid w:val="47AF67A7"/>
    <w:rsid w:val="47B339B4"/>
    <w:rsid w:val="47CB1091"/>
    <w:rsid w:val="47FE5CF2"/>
    <w:rsid w:val="48035F02"/>
    <w:rsid w:val="4860434A"/>
    <w:rsid w:val="48D908C8"/>
    <w:rsid w:val="490010A1"/>
    <w:rsid w:val="493537CF"/>
    <w:rsid w:val="49460D45"/>
    <w:rsid w:val="498A0CD2"/>
    <w:rsid w:val="4A3D2959"/>
    <w:rsid w:val="4A74195A"/>
    <w:rsid w:val="4A7A3D76"/>
    <w:rsid w:val="4A8B6AB4"/>
    <w:rsid w:val="4A9F3033"/>
    <w:rsid w:val="4AAE190E"/>
    <w:rsid w:val="4AE70AB8"/>
    <w:rsid w:val="4B7E595B"/>
    <w:rsid w:val="4BB07602"/>
    <w:rsid w:val="4BF32BD8"/>
    <w:rsid w:val="4C421049"/>
    <w:rsid w:val="4C5411D7"/>
    <w:rsid w:val="4C546F81"/>
    <w:rsid w:val="4C564361"/>
    <w:rsid w:val="4C5904F7"/>
    <w:rsid w:val="4C99363E"/>
    <w:rsid w:val="4C9C4F4D"/>
    <w:rsid w:val="4CB96723"/>
    <w:rsid w:val="4CE4471C"/>
    <w:rsid w:val="4D8C30FA"/>
    <w:rsid w:val="4D960495"/>
    <w:rsid w:val="4DD261B6"/>
    <w:rsid w:val="4E1A2AF8"/>
    <w:rsid w:val="4E3E44C6"/>
    <w:rsid w:val="4E9D6C5F"/>
    <w:rsid w:val="4ED065C7"/>
    <w:rsid w:val="4ED60D0E"/>
    <w:rsid w:val="4F2E5254"/>
    <w:rsid w:val="4F5E0911"/>
    <w:rsid w:val="4F6C7D95"/>
    <w:rsid w:val="4F7B7863"/>
    <w:rsid w:val="4FBC77EB"/>
    <w:rsid w:val="4FBD4AFA"/>
    <w:rsid w:val="50206576"/>
    <w:rsid w:val="50303A7C"/>
    <w:rsid w:val="50453781"/>
    <w:rsid w:val="50775F09"/>
    <w:rsid w:val="50A26FF3"/>
    <w:rsid w:val="50FD84BF"/>
    <w:rsid w:val="51525315"/>
    <w:rsid w:val="515C17D5"/>
    <w:rsid w:val="519223A8"/>
    <w:rsid w:val="51B45CF8"/>
    <w:rsid w:val="51CB5559"/>
    <w:rsid w:val="520F3713"/>
    <w:rsid w:val="52CF7054"/>
    <w:rsid w:val="52EA6EF6"/>
    <w:rsid w:val="52FD6971"/>
    <w:rsid w:val="53223E56"/>
    <w:rsid w:val="53275AB8"/>
    <w:rsid w:val="537D5DC6"/>
    <w:rsid w:val="5388089F"/>
    <w:rsid w:val="53AB6FD9"/>
    <w:rsid w:val="53B05A8D"/>
    <w:rsid w:val="53D745FA"/>
    <w:rsid w:val="53E24CC2"/>
    <w:rsid w:val="53E40714"/>
    <w:rsid w:val="53F702D1"/>
    <w:rsid w:val="53F771CD"/>
    <w:rsid w:val="53FD29C3"/>
    <w:rsid w:val="541F5ED8"/>
    <w:rsid w:val="54467244"/>
    <w:rsid w:val="54511C79"/>
    <w:rsid w:val="54520573"/>
    <w:rsid w:val="547D34B8"/>
    <w:rsid w:val="548D7C01"/>
    <w:rsid w:val="54942775"/>
    <w:rsid w:val="549C23F0"/>
    <w:rsid w:val="54B8713B"/>
    <w:rsid w:val="54D77B5C"/>
    <w:rsid w:val="55132799"/>
    <w:rsid w:val="559F1A9E"/>
    <w:rsid w:val="55A768F4"/>
    <w:rsid w:val="55AC71E4"/>
    <w:rsid w:val="55B62452"/>
    <w:rsid w:val="55FE78A0"/>
    <w:rsid w:val="56253786"/>
    <w:rsid w:val="562D3283"/>
    <w:rsid w:val="566C0CF7"/>
    <w:rsid w:val="569156EC"/>
    <w:rsid w:val="56CE2C6C"/>
    <w:rsid w:val="56E95104"/>
    <w:rsid w:val="571924B2"/>
    <w:rsid w:val="572109E0"/>
    <w:rsid w:val="5747400E"/>
    <w:rsid w:val="575751FD"/>
    <w:rsid w:val="578A3F51"/>
    <w:rsid w:val="57BFFF73"/>
    <w:rsid w:val="57CC6BA1"/>
    <w:rsid w:val="57CE3E29"/>
    <w:rsid w:val="581B6FA6"/>
    <w:rsid w:val="58F37117"/>
    <w:rsid w:val="594D3747"/>
    <w:rsid w:val="596F52DD"/>
    <w:rsid w:val="59783883"/>
    <w:rsid w:val="59BE14BB"/>
    <w:rsid w:val="59E91E58"/>
    <w:rsid w:val="5A0207F8"/>
    <w:rsid w:val="5A0F7C73"/>
    <w:rsid w:val="5A100CE1"/>
    <w:rsid w:val="5A1256F7"/>
    <w:rsid w:val="5A132397"/>
    <w:rsid w:val="5A2E42CD"/>
    <w:rsid w:val="5A7F37F9"/>
    <w:rsid w:val="5A837878"/>
    <w:rsid w:val="5A9E7D61"/>
    <w:rsid w:val="5AB5421F"/>
    <w:rsid w:val="5AFB5B71"/>
    <w:rsid w:val="5B0C31BE"/>
    <w:rsid w:val="5B425ED8"/>
    <w:rsid w:val="5B767297"/>
    <w:rsid w:val="5B887615"/>
    <w:rsid w:val="5B8E1FC1"/>
    <w:rsid w:val="5BBC41DB"/>
    <w:rsid w:val="5BF275B1"/>
    <w:rsid w:val="5BFF2AD9"/>
    <w:rsid w:val="5C016066"/>
    <w:rsid w:val="5C044AD5"/>
    <w:rsid w:val="5C1138CE"/>
    <w:rsid w:val="5C1459ED"/>
    <w:rsid w:val="5C41460B"/>
    <w:rsid w:val="5C57182F"/>
    <w:rsid w:val="5C73505B"/>
    <w:rsid w:val="5C890F37"/>
    <w:rsid w:val="5CBE1F4B"/>
    <w:rsid w:val="5CE65356"/>
    <w:rsid w:val="5CF72BB2"/>
    <w:rsid w:val="5D27565F"/>
    <w:rsid w:val="5D6A538C"/>
    <w:rsid w:val="5D8627AD"/>
    <w:rsid w:val="5DAA0B93"/>
    <w:rsid w:val="5DCE0E18"/>
    <w:rsid w:val="5E2A4BFC"/>
    <w:rsid w:val="5EAC236D"/>
    <w:rsid w:val="5EDB0D8B"/>
    <w:rsid w:val="5F3732A8"/>
    <w:rsid w:val="5F45D8FF"/>
    <w:rsid w:val="5F7B9748"/>
    <w:rsid w:val="5F7F5CDE"/>
    <w:rsid w:val="5FCC33D8"/>
    <w:rsid w:val="5FFFCD3B"/>
    <w:rsid w:val="60033350"/>
    <w:rsid w:val="602266C7"/>
    <w:rsid w:val="603B7C36"/>
    <w:rsid w:val="60534AA3"/>
    <w:rsid w:val="60680187"/>
    <w:rsid w:val="60832CD9"/>
    <w:rsid w:val="60CB1B4D"/>
    <w:rsid w:val="60DC42D6"/>
    <w:rsid w:val="61217D14"/>
    <w:rsid w:val="613172F2"/>
    <w:rsid w:val="6142313B"/>
    <w:rsid w:val="614D3BC8"/>
    <w:rsid w:val="618F1CE4"/>
    <w:rsid w:val="61B9511D"/>
    <w:rsid w:val="61CE240F"/>
    <w:rsid w:val="61D23BCD"/>
    <w:rsid w:val="61DA6F00"/>
    <w:rsid w:val="62302D5E"/>
    <w:rsid w:val="62A43EEF"/>
    <w:rsid w:val="63277530"/>
    <w:rsid w:val="6352384A"/>
    <w:rsid w:val="63C635C5"/>
    <w:rsid w:val="63CE6BC6"/>
    <w:rsid w:val="63EEBF49"/>
    <w:rsid w:val="63F5A38F"/>
    <w:rsid w:val="64340981"/>
    <w:rsid w:val="644B1C20"/>
    <w:rsid w:val="6471055F"/>
    <w:rsid w:val="64AE7D1C"/>
    <w:rsid w:val="64B97E4E"/>
    <w:rsid w:val="64C303D9"/>
    <w:rsid w:val="652B7127"/>
    <w:rsid w:val="656B579F"/>
    <w:rsid w:val="656E592B"/>
    <w:rsid w:val="65A165E9"/>
    <w:rsid w:val="65C14A06"/>
    <w:rsid w:val="65C15488"/>
    <w:rsid w:val="65FF5BB2"/>
    <w:rsid w:val="660D76B4"/>
    <w:rsid w:val="667136F9"/>
    <w:rsid w:val="66841ED9"/>
    <w:rsid w:val="66B24A2C"/>
    <w:rsid w:val="67024FEA"/>
    <w:rsid w:val="671073D1"/>
    <w:rsid w:val="678E06CE"/>
    <w:rsid w:val="679A602D"/>
    <w:rsid w:val="67E028BC"/>
    <w:rsid w:val="68537B47"/>
    <w:rsid w:val="68620DC9"/>
    <w:rsid w:val="68A9552D"/>
    <w:rsid w:val="68C330AE"/>
    <w:rsid w:val="68D52CCF"/>
    <w:rsid w:val="68E45DE3"/>
    <w:rsid w:val="691D1344"/>
    <w:rsid w:val="6934149F"/>
    <w:rsid w:val="6958671E"/>
    <w:rsid w:val="6A281A45"/>
    <w:rsid w:val="6A3B618C"/>
    <w:rsid w:val="6AA103CB"/>
    <w:rsid w:val="6AA75408"/>
    <w:rsid w:val="6AE30A31"/>
    <w:rsid w:val="6B182CCA"/>
    <w:rsid w:val="6B2560EF"/>
    <w:rsid w:val="6B3FDA0C"/>
    <w:rsid w:val="6B4D19C5"/>
    <w:rsid w:val="6B5F2BF8"/>
    <w:rsid w:val="6B737395"/>
    <w:rsid w:val="6BD55D0B"/>
    <w:rsid w:val="6BD83CC4"/>
    <w:rsid w:val="6BDC47ED"/>
    <w:rsid w:val="6BF1112B"/>
    <w:rsid w:val="6BF76F4D"/>
    <w:rsid w:val="6C0A4626"/>
    <w:rsid w:val="6C1B3303"/>
    <w:rsid w:val="6C1B55BA"/>
    <w:rsid w:val="6C3E28BF"/>
    <w:rsid w:val="6C3F33CD"/>
    <w:rsid w:val="6C7A7040"/>
    <w:rsid w:val="6C8132A9"/>
    <w:rsid w:val="6C9E6020"/>
    <w:rsid w:val="6CAA4D6A"/>
    <w:rsid w:val="6CC20BB5"/>
    <w:rsid w:val="6CC70826"/>
    <w:rsid w:val="6CD77821"/>
    <w:rsid w:val="6D0A6DBB"/>
    <w:rsid w:val="6D40311C"/>
    <w:rsid w:val="6D5E818C"/>
    <w:rsid w:val="6DB167DD"/>
    <w:rsid w:val="6DB43590"/>
    <w:rsid w:val="6DB84EBA"/>
    <w:rsid w:val="6E032E11"/>
    <w:rsid w:val="6E2D7393"/>
    <w:rsid w:val="6E6E6F1D"/>
    <w:rsid w:val="6E985F27"/>
    <w:rsid w:val="6EA63453"/>
    <w:rsid w:val="6ED1305E"/>
    <w:rsid w:val="6F1C4DB2"/>
    <w:rsid w:val="6F293DA9"/>
    <w:rsid w:val="6F6A53B1"/>
    <w:rsid w:val="6FC83C68"/>
    <w:rsid w:val="6FCE226C"/>
    <w:rsid w:val="6FD50C1F"/>
    <w:rsid w:val="6FD71BD5"/>
    <w:rsid w:val="6FF67EDB"/>
    <w:rsid w:val="706747BD"/>
    <w:rsid w:val="707165D4"/>
    <w:rsid w:val="70A93F9B"/>
    <w:rsid w:val="70BD158C"/>
    <w:rsid w:val="70BF78D7"/>
    <w:rsid w:val="70E95E6A"/>
    <w:rsid w:val="712F11E7"/>
    <w:rsid w:val="71790E9D"/>
    <w:rsid w:val="717A6C89"/>
    <w:rsid w:val="71AC1A5C"/>
    <w:rsid w:val="71CD17F6"/>
    <w:rsid w:val="71D4229F"/>
    <w:rsid w:val="71FFE643"/>
    <w:rsid w:val="72117E7E"/>
    <w:rsid w:val="723B41CF"/>
    <w:rsid w:val="726C3D28"/>
    <w:rsid w:val="728971FB"/>
    <w:rsid w:val="72D06024"/>
    <w:rsid w:val="733878DA"/>
    <w:rsid w:val="734779C2"/>
    <w:rsid w:val="7372294D"/>
    <w:rsid w:val="73BF73C1"/>
    <w:rsid w:val="73C23920"/>
    <w:rsid w:val="73DE8082"/>
    <w:rsid w:val="73F201AA"/>
    <w:rsid w:val="73F56F27"/>
    <w:rsid w:val="745E33A9"/>
    <w:rsid w:val="746F2C3F"/>
    <w:rsid w:val="74802249"/>
    <w:rsid w:val="74EB4810"/>
    <w:rsid w:val="75155729"/>
    <w:rsid w:val="75266207"/>
    <w:rsid w:val="75763149"/>
    <w:rsid w:val="75E75998"/>
    <w:rsid w:val="75F5233E"/>
    <w:rsid w:val="765D19FC"/>
    <w:rsid w:val="766F4077"/>
    <w:rsid w:val="769B14BB"/>
    <w:rsid w:val="76AA596C"/>
    <w:rsid w:val="76CF0956"/>
    <w:rsid w:val="76DF2EC8"/>
    <w:rsid w:val="76EB0D54"/>
    <w:rsid w:val="76FF89A3"/>
    <w:rsid w:val="77045F8B"/>
    <w:rsid w:val="771C6744"/>
    <w:rsid w:val="7771110B"/>
    <w:rsid w:val="77782D28"/>
    <w:rsid w:val="77AC905F"/>
    <w:rsid w:val="77C20123"/>
    <w:rsid w:val="77F538F8"/>
    <w:rsid w:val="77FEAC2B"/>
    <w:rsid w:val="78132F92"/>
    <w:rsid w:val="788159C2"/>
    <w:rsid w:val="788A3DEB"/>
    <w:rsid w:val="78D6469A"/>
    <w:rsid w:val="78D82626"/>
    <w:rsid w:val="79111AC7"/>
    <w:rsid w:val="794E098B"/>
    <w:rsid w:val="79550880"/>
    <w:rsid w:val="799E36F7"/>
    <w:rsid w:val="79DB2804"/>
    <w:rsid w:val="79F3334C"/>
    <w:rsid w:val="79FEB46D"/>
    <w:rsid w:val="79FF0C96"/>
    <w:rsid w:val="79FFAC04"/>
    <w:rsid w:val="7A150EF7"/>
    <w:rsid w:val="7A2E1812"/>
    <w:rsid w:val="7A7029D6"/>
    <w:rsid w:val="7A751437"/>
    <w:rsid w:val="7AB2209C"/>
    <w:rsid w:val="7ACB6E73"/>
    <w:rsid w:val="7B033D7C"/>
    <w:rsid w:val="7B233171"/>
    <w:rsid w:val="7B3943CF"/>
    <w:rsid w:val="7B3F5DC1"/>
    <w:rsid w:val="7B634CE1"/>
    <w:rsid w:val="7B7FD7CA"/>
    <w:rsid w:val="7B9C2512"/>
    <w:rsid w:val="7BBEA9F5"/>
    <w:rsid w:val="7BFB110F"/>
    <w:rsid w:val="7C09409A"/>
    <w:rsid w:val="7C287D7E"/>
    <w:rsid w:val="7C3825FA"/>
    <w:rsid w:val="7C768B93"/>
    <w:rsid w:val="7C8F52A5"/>
    <w:rsid w:val="7CDD6E09"/>
    <w:rsid w:val="7D4B33BB"/>
    <w:rsid w:val="7D7C4CEA"/>
    <w:rsid w:val="7D866779"/>
    <w:rsid w:val="7D9F3F02"/>
    <w:rsid w:val="7DD74F11"/>
    <w:rsid w:val="7DFD3DE8"/>
    <w:rsid w:val="7E23956E"/>
    <w:rsid w:val="7E5F0EE8"/>
    <w:rsid w:val="7E7506DB"/>
    <w:rsid w:val="7E851F96"/>
    <w:rsid w:val="7E9B2756"/>
    <w:rsid w:val="7EAB0E13"/>
    <w:rsid w:val="7EB2667C"/>
    <w:rsid w:val="7EBF5C5B"/>
    <w:rsid w:val="7EC854AC"/>
    <w:rsid w:val="7EDB5C14"/>
    <w:rsid w:val="7EF90802"/>
    <w:rsid w:val="7F191C23"/>
    <w:rsid w:val="7F240F41"/>
    <w:rsid w:val="7F2A03AF"/>
    <w:rsid w:val="7F2EB06B"/>
    <w:rsid w:val="7F961180"/>
    <w:rsid w:val="7F9D7CD8"/>
    <w:rsid w:val="7FBDECD8"/>
    <w:rsid w:val="7FD25BD3"/>
    <w:rsid w:val="7FD67C80"/>
    <w:rsid w:val="7FDC49AB"/>
    <w:rsid w:val="7FF27A86"/>
    <w:rsid w:val="7FF6E8B9"/>
    <w:rsid w:val="872DD8D1"/>
    <w:rsid w:val="8CFD7D71"/>
    <w:rsid w:val="98F6A217"/>
    <w:rsid w:val="9EF3C6D4"/>
    <w:rsid w:val="A6F608B5"/>
    <w:rsid w:val="A6FE92E3"/>
    <w:rsid w:val="AEFB3D80"/>
    <w:rsid w:val="AEFFC91D"/>
    <w:rsid w:val="AF7716E7"/>
    <w:rsid w:val="AFFDAD97"/>
    <w:rsid w:val="AFFF6202"/>
    <w:rsid w:val="BB7FE703"/>
    <w:rsid w:val="BDFF6CD3"/>
    <w:rsid w:val="BEFFE20C"/>
    <w:rsid w:val="BF5D7AAC"/>
    <w:rsid w:val="BFF9D9B7"/>
    <w:rsid w:val="C395EF0F"/>
    <w:rsid w:val="CFED3D00"/>
    <w:rsid w:val="DBBFC787"/>
    <w:rsid w:val="DBFDD1F6"/>
    <w:rsid w:val="DDEB6BB6"/>
    <w:rsid w:val="DFA32394"/>
    <w:rsid w:val="DFB75916"/>
    <w:rsid w:val="DFFD7882"/>
    <w:rsid w:val="ED37835A"/>
    <w:rsid w:val="EDEDE410"/>
    <w:rsid w:val="EDFF5F25"/>
    <w:rsid w:val="F1FB1DCE"/>
    <w:rsid w:val="F3FA1888"/>
    <w:rsid w:val="F5FBA58C"/>
    <w:rsid w:val="F68F753C"/>
    <w:rsid w:val="F737B226"/>
    <w:rsid w:val="F7FEB979"/>
    <w:rsid w:val="F8DD8E88"/>
    <w:rsid w:val="F9EF4DC4"/>
    <w:rsid w:val="FB7FD758"/>
    <w:rsid w:val="FBDE9D71"/>
    <w:rsid w:val="FC6F82DE"/>
    <w:rsid w:val="FC7D2E07"/>
    <w:rsid w:val="FDEFFE62"/>
    <w:rsid w:val="FE3F4E0A"/>
    <w:rsid w:val="FEFCCCB5"/>
    <w:rsid w:val="FEFF8AF8"/>
    <w:rsid w:val="FF8E68D3"/>
    <w:rsid w:val="FFBC7452"/>
    <w:rsid w:val="FFBD87E0"/>
    <w:rsid w:val="FFF7D2F7"/>
    <w:rsid w:val="FFF9762E"/>
    <w:rsid w:val="FFF9BA66"/>
    <w:rsid w:val="FFFB395B"/>
    <w:rsid w:val="FFFDC6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 w:hAnsi="仿宋" w:eastAsia="仿宋" w:cs="Times New Roman"/>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99"/>
    <w:pPr>
      <w:spacing w:after="120"/>
    </w:pPr>
    <w:rPr>
      <w:rFonts w:ascii="Times New Roman" w:hAnsi="Times New Roman" w:eastAsia="宋体"/>
    </w:rPr>
  </w:style>
  <w:style w:type="paragraph" w:styleId="7">
    <w:name w:val="Balloon Text"/>
    <w:basedOn w:val="1"/>
    <w:link w:val="24"/>
    <w:qFormat/>
    <w:uiPriority w:val="0"/>
    <w:pPr>
      <w:spacing w:line="240" w:lineRule="auto"/>
    </w:pPr>
    <w:rPr>
      <w:sz w:val="18"/>
      <w:szCs w:val="18"/>
    </w:rPr>
  </w:style>
  <w:style w:type="paragraph" w:styleId="8">
    <w:name w:val="footer"/>
    <w:basedOn w:val="1"/>
    <w:link w:val="22"/>
    <w:qFormat/>
    <w:uiPriority w:val="99"/>
    <w:pPr>
      <w:tabs>
        <w:tab w:val="center" w:pos="4153"/>
        <w:tab w:val="right" w:pos="8306"/>
      </w:tabs>
      <w:snapToGrid w:val="0"/>
      <w:jc w:val="left"/>
    </w:pPr>
    <w:rPr>
      <w:rFonts w:ascii="Times New Roman" w:hAnsi="Times New Roman"/>
      <w:sz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spacing w:before="100" w:beforeAutospacing="1" w:after="100" w:afterAutospacing="1"/>
      <w:jc w:val="left"/>
    </w:pPr>
    <w:rPr>
      <w:sz w:val="24"/>
    </w:rPr>
  </w:style>
  <w:style w:type="paragraph" w:styleId="11">
    <w:name w:val="Body Text First Indent"/>
    <w:basedOn w:val="6"/>
    <w:semiHidden/>
    <w:qFormat/>
    <w:uiPriority w:val="0"/>
    <w:pPr>
      <w:ind w:firstLine="420" w:firstLineChars="100"/>
    </w:pPr>
  </w:style>
  <w:style w:type="character" w:styleId="14">
    <w:name w:val="Strong"/>
    <w:basedOn w:val="13"/>
    <w:qFormat/>
    <w:uiPriority w:val="0"/>
    <w:rPr>
      <w:b/>
      <w:bCs/>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16">
    <w:name w:val="列表段落1"/>
    <w:basedOn w:val="1"/>
    <w:unhideWhenUsed/>
    <w:qFormat/>
    <w:uiPriority w:val="99"/>
    <w:pPr>
      <w:ind w:firstLine="420"/>
    </w:pPr>
  </w:style>
  <w:style w:type="paragraph" w:customStyle="1" w:styleId="17">
    <w:name w:val="样式1"/>
    <w:basedOn w:val="1"/>
    <w:link w:val="19"/>
    <w:qFormat/>
    <w:uiPriority w:val="0"/>
    <w:pPr>
      <w:ind w:firstLine="560"/>
    </w:pPr>
  </w:style>
  <w:style w:type="paragraph" w:customStyle="1" w:styleId="18">
    <w:name w:val="样式2"/>
    <w:basedOn w:val="9"/>
    <w:link w:val="21"/>
    <w:qFormat/>
    <w:uiPriority w:val="0"/>
    <w:pPr>
      <w:pBdr>
        <w:bottom w:val="none" w:color="auto" w:sz="0" w:space="0"/>
      </w:pBdr>
      <w:ind w:firstLine="360"/>
    </w:pPr>
  </w:style>
  <w:style w:type="character" w:customStyle="1" w:styleId="19">
    <w:name w:val="样式1 Char"/>
    <w:basedOn w:val="13"/>
    <w:link w:val="17"/>
    <w:qFormat/>
    <w:uiPriority w:val="0"/>
    <w:rPr>
      <w:rFonts w:ascii="仿宋" w:hAnsi="仿宋" w:eastAsia="仿宋"/>
      <w:kern w:val="2"/>
      <w:sz w:val="28"/>
      <w:szCs w:val="24"/>
    </w:rPr>
  </w:style>
  <w:style w:type="character" w:customStyle="1" w:styleId="20">
    <w:name w:val="页眉 字符"/>
    <w:basedOn w:val="13"/>
    <w:link w:val="9"/>
    <w:qFormat/>
    <w:uiPriority w:val="99"/>
    <w:rPr>
      <w:rFonts w:ascii="仿宋" w:hAnsi="仿宋" w:eastAsia="仿宋"/>
      <w:kern w:val="2"/>
      <w:sz w:val="18"/>
      <w:szCs w:val="18"/>
    </w:rPr>
  </w:style>
  <w:style w:type="character" w:customStyle="1" w:styleId="21">
    <w:name w:val="样式2 Char"/>
    <w:basedOn w:val="20"/>
    <w:link w:val="18"/>
    <w:qFormat/>
    <w:uiPriority w:val="0"/>
    <w:rPr>
      <w:rFonts w:ascii="仿宋" w:hAnsi="仿宋" w:eastAsia="仿宋"/>
      <w:kern w:val="2"/>
      <w:sz w:val="18"/>
      <w:szCs w:val="18"/>
    </w:rPr>
  </w:style>
  <w:style w:type="character" w:customStyle="1" w:styleId="22">
    <w:name w:val="页脚 字符"/>
    <w:basedOn w:val="13"/>
    <w:link w:val="8"/>
    <w:qFormat/>
    <w:uiPriority w:val="99"/>
    <w:rPr>
      <w:rFonts w:eastAsia="仿宋"/>
      <w:kern w:val="2"/>
      <w:sz w:val="18"/>
      <w:szCs w:val="24"/>
    </w:rPr>
  </w:style>
  <w:style w:type="paragraph" w:customStyle="1" w:styleId="23">
    <w:name w:val="闻政-正文段落文字"/>
    <w:basedOn w:val="1"/>
    <w:link w:val="25"/>
    <w:qFormat/>
    <w:uiPriority w:val="3"/>
    <w:pPr>
      <w:spacing w:line="500" w:lineRule="exact"/>
    </w:pPr>
    <w:rPr>
      <w:kern w:val="0"/>
      <w:szCs w:val="28"/>
    </w:rPr>
  </w:style>
  <w:style w:type="character" w:customStyle="1" w:styleId="24">
    <w:name w:val="批注框文本 字符"/>
    <w:basedOn w:val="13"/>
    <w:link w:val="7"/>
    <w:qFormat/>
    <w:uiPriority w:val="0"/>
    <w:rPr>
      <w:rFonts w:ascii="仿宋" w:hAnsi="仿宋" w:eastAsia="仿宋"/>
      <w:kern w:val="2"/>
      <w:sz w:val="18"/>
      <w:szCs w:val="18"/>
    </w:rPr>
  </w:style>
  <w:style w:type="character" w:customStyle="1" w:styleId="25">
    <w:name w:val="闻政-正文段落文字 Char"/>
    <w:link w:val="23"/>
    <w:qFormat/>
    <w:uiPriority w:val="3"/>
    <w:rPr>
      <w:rFonts w:ascii="仿宋" w:hAnsi="仿宋" w:eastAsia="仿宋"/>
      <w:sz w:val="28"/>
      <w:szCs w:val="28"/>
    </w:rPr>
  </w:style>
  <w:style w:type="paragraph" w:customStyle="1" w:styleId="26">
    <w:name w:val="List Paragraph"/>
    <w:basedOn w:val="1"/>
    <w:unhideWhenUsed/>
    <w:qFormat/>
    <w:uiPriority w:val="99"/>
    <w:pPr>
      <w:spacing w:line="240" w:lineRule="auto"/>
      <w:ind w:firstLine="420"/>
    </w:pPr>
    <w:rPr>
      <w:rFonts w:ascii="Calibri" w:hAnsi="Calibri" w:eastAsia="宋体" w:cs="Arial"/>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18</Pages>
  <Words>7954</Words>
  <Characters>8848</Characters>
  <Lines>67</Lines>
  <Paragraphs>19</Paragraphs>
  <TotalTime>1</TotalTime>
  <ScaleCrop>false</ScaleCrop>
  <LinksUpToDate>false</LinksUpToDate>
  <CharactersWithSpaces>8856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2014-11-04T20:08:00Z</dcterms:created>
  <dc:creator>Administrator</dc:creator>
  <cp:lastModifiedBy>Administrator</cp:lastModifiedBy>
  <dcterms:modified xsi:type="dcterms:W3CDTF">2025-02-24T04:46:31Z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6F8204887D6308FE9CA7B7650F36CEED_42</vt:lpwstr>
  </property>
</Properties>
</file>