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both"/>
        <w:textAlignment w:val="auto"/>
        <w:rPr>
          <w:rFonts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pPr>
      <w:r>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t>沙湾市水利管理站</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lang w:eastAsia="zh-CN"/>
          <w14:textFill>
            <w14:solidFill>
              <w14:schemeClr w14:val="tx1"/>
            </w14:solidFill>
          </w14:textFill>
        </w:rPr>
        <w:t>2023年度</w:t>
      </w:r>
      <w:r>
        <w:rPr>
          <w:rFonts w:hint="eastAsia" w:ascii="方正小标宋_GBK" w:hAnsi="宋体" w:eastAsia="方正小标宋_GBK"/>
          <w:color w:val="000000" w:themeColor="text1"/>
          <w:sz w:val="44"/>
          <w:szCs w:val="44"/>
          <w:highlight w:val="none"/>
          <w14:textFill>
            <w14:solidFill>
              <w14:schemeClr w14:val="tx1"/>
            </w14:solidFill>
          </w14:textFill>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14:textFill>
            <w14:solidFill>
              <w14:schemeClr w14:val="tx1"/>
            </w14:solidFill>
          </w14:textFill>
        </w:rPr>
        <w:t>公开说明</w:t>
      </w:r>
    </w:p>
    <w:p>
      <w:pPr>
        <w:jc w:val="both"/>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 w:val="0"/>
          <w:bCs/>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bCs w:val="0"/>
          <w:color w:val="000000" w:themeColor="text1"/>
          <w:kern w:val="0"/>
          <w:sz w:val="36"/>
          <w:szCs w:val="36"/>
          <w:highlight w:val="none"/>
          <w14:textFill>
            <w14:solidFill>
              <w14:schemeClr w14:val="tx1"/>
            </w14:solidFill>
          </w14:textFill>
        </w:rPr>
        <w:t>目录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TOC \o "1-3" \n  \h \u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_Toc32314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第一部分</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单位</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概况</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_Toc30567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一、主要职能</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_Toc2151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二、机构设置</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及人员</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_Toc29374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第二部分部门决算情况说明</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_Toc25314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一、收入支出决算总体情况说明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_Toc12142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二、</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收入</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决算</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_Toc13201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三、支出决算情况说明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_Toc26564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四、财政拨款收入支出决算总体情况说明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_Toc20360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五、一般公共预算财政拨款支出决算情况说明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_Toc30870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六、一般公共预算财政拨款基本支出决算情况说明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_Toc21518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七</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财政拨款</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“三公”经费支出</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决算</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_Toc5810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八、</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政府性基金预算财政拨款收入支出决算情况说明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jc w:val="both"/>
        <w:rPr>
          <w:rFonts w:hint="eastAsia"/>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_Toc5810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九</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、国有资本经营预算财政拨款收入支出决算情况说明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_Toc1235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十</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、其他重要事项的情况</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_Toc14519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（一）</w:t>
      </w:r>
      <w:r>
        <w:rPr>
          <w:rFonts w:hint="eastAsia" w:ascii="仿宋_GB2312" w:hAnsi="仿宋_GB2312" w:eastAsia="仿宋_GB2312" w:cs="仿宋_GB2312"/>
          <w:color w:val="000000" w:themeColor="text1"/>
          <w:sz w:val="32"/>
          <w:szCs w:val="32"/>
          <w:highlight w:val="none"/>
          <w14:textFill>
            <w14:solidFill>
              <w14:schemeClr w14:val="tx1"/>
            </w14:solidFill>
          </w14:textFill>
        </w:rPr>
        <w:t>机关运行经费支出情况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_Toc227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（二）政府采购情况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_Toc8391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（三）国有资产占用情况说明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_Toc11283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十</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一</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、预算绩效的情况说明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_Toc3250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第三部分专业名词解释</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_Toc22784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第四部分部门决算报表（见附表）</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_Toc2183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一、《收入支出决算总表》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_Toc24532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二、《收入决算表》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_Toc32434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三、《支出决算表》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_Toc28786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四、《财政拨款收入支出决算总表》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_Toc14869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五、《一般公共预算财政拨款支出决算表》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_Toc8884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六、《一般公共预算财政拨款基本支出决算表》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_Toc29106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七、《财政拨款“三公”经费支出决算表》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begin"/>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instrText xml:space="preserve"> HYPERLINK \l _Toc7643 </w:instrTex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八、</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《政府性基金预算财政拨款收入支出决算表》</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九</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、《国有资本经营</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预算财政拨款收入支出决算表</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jc w:val="both"/>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0" w:name="_Toc32314"/>
      <w:bookmarkStart w:id="1" w:name="_Toc24028"/>
      <w:r>
        <w:rPr>
          <w:rFonts w:hint="eastAsia" w:ascii="黑体" w:hAnsi="黑体" w:eastAsia="黑体"/>
          <w:color w:val="000000" w:themeColor="text1"/>
          <w:sz w:val="32"/>
          <w:szCs w:val="32"/>
          <w:highlight w:val="none"/>
          <w14:textFill>
            <w14:solidFill>
              <w14:schemeClr w14:val="tx1"/>
            </w14:solidFill>
          </w14:textFill>
        </w:rPr>
        <w:t>第一部分</w:t>
      </w:r>
      <w:r>
        <w:rPr>
          <w:rFonts w:hint="eastAsia" w:ascii="黑体" w:hAnsi="黑体" w:eastAsia="黑体"/>
          <w:color w:val="000000" w:themeColor="text1"/>
          <w:sz w:val="32"/>
          <w:szCs w:val="32"/>
          <w:highlight w:val="none"/>
          <w:lang w:eastAsia="zh-CN"/>
          <w14:textFill>
            <w14:solidFill>
              <w14:schemeClr w14:val="tx1"/>
            </w14:solidFill>
          </w14:textFill>
        </w:rPr>
        <w:t>单位</w:t>
      </w:r>
      <w:r>
        <w:rPr>
          <w:rFonts w:hint="eastAsia" w:ascii="黑体" w:hAnsi="黑体" w:eastAsia="黑体"/>
          <w:color w:val="000000" w:themeColor="text1"/>
          <w:sz w:val="32"/>
          <w:szCs w:val="32"/>
          <w:highlight w:val="none"/>
          <w14:textFill>
            <w14:solidFill>
              <w14:schemeClr w14:val="tx1"/>
            </w14:solidFill>
          </w14:textFill>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000000" w:themeColor="text1"/>
          <w:kern w:val="0"/>
          <w:sz w:val="32"/>
          <w:szCs w:val="32"/>
          <w:highlight w:val="none"/>
          <w14:textFill>
            <w14:solidFill>
              <w14:schemeClr w14:val="tx1"/>
            </w14:solidFill>
          </w14:textFill>
        </w:rPr>
      </w:pPr>
      <w:bookmarkStart w:id="2" w:name="_Toc30567"/>
      <w:bookmarkStart w:id="3" w:name="_Toc30738"/>
      <w:r>
        <w:rPr>
          <w:rFonts w:hint="eastAsia" w:ascii="黑体" w:hAnsi="黑体" w:eastAsia="黑体" w:cs="宋体"/>
          <w:bCs/>
          <w:color w:val="000000" w:themeColor="text1"/>
          <w:kern w:val="0"/>
          <w:sz w:val="32"/>
          <w:szCs w:val="32"/>
          <w:highlight w:val="none"/>
          <w14:textFill>
            <w14:solidFill>
              <w14:schemeClr w14:val="tx1"/>
            </w14:solidFill>
          </w14:textFill>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(1)负责保障水资源的合理开发利用。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(2)负责防洪论证制度</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指导水利行业供水和乡镇供水工作。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(3)负责水利设施、河系及其堤坝线的管理与保护。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(4)负责水利行业安全生产工作，组织、指导水库及大坝的安全监管，负责水利水电工程质量监督管理，指导水利建设</w:t>
      </w:r>
      <w:r>
        <w:rPr>
          <w:rFonts w:hint="eastAsia" w:ascii="仿宋_GB2312" w:eastAsia="仿宋_GB2312"/>
          <w:color w:val="000000" w:themeColor="text1"/>
          <w:sz w:val="32"/>
          <w:szCs w:val="32"/>
          <w:highlight w:val="none"/>
          <w:lang w:val="en-US" w:eastAsia="zh-CN"/>
          <w14:textFill>
            <w14:solidFill>
              <w14:schemeClr w14:val="tx1"/>
            </w14:solidFill>
          </w14:textFill>
        </w:rPr>
        <w:t>现场</w:t>
      </w:r>
      <w:r>
        <w:rPr>
          <w:rFonts w:hint="eastAsia" w:ascii="仿宋_GB2312" w:eastAsia="仿宋_GB2312"/>
          <w:color w:val="000000" w:themeColor="text1"/>
          <w:sz w:val="32"/>
          <w:szCs w:val="32"/>
          <w:highlight w:val="none"/>
          <w14:textFill>
            <w14:solidFill>
              <w14:schemeClr w14:val="tx1"/>
            </w14:solidFill>
          </w14:textFill>
        </w:rPr>
        <w:t>以及水利水电工程招标投标的监督管理工作，组织实施水利工程建设监督。</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(5)开展水利科技和对外合作工作。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(6)负责防治水旱灾害，组织、协调、监督、指导全</w:t>
      </w:r>
      <w:r>
        <w:rPr>
          <w:rFonts w:hint="eastAsia" w:ascii="仿宋_GB2312" w:eastAsia="仿宋_GB2312"/>
          <w:color w:val="000000" w:themeColor="text1"/>
          <w:sz w:val="32"/>
          <w:szCs w:val="32"/>
          <w:highlight w:val="none"/>
          <w:lang w:val="en-US" w:eastAsia="zh-CN"/>
          <w14:textFill>
            <w14:solidFill>
              <w14:schemeClr w14:val="tx1"/>
            </w14:solidFill>
          </w14:textFill>
        </w:rPr>
        <w:t>市</w:t>
      </w:r>
      <w:r>
        <w:rPr>
          <w:rFonts w:hint="eastAsia" w:ascii="仿宋_GB2312" w:eastAsia="仿宋_GB2312"/>
          <w:color w:val="000000" w:themeColor="text1"/>
          <w:sz w:val="32"/>
          <w:szCs w:val="32"/>
          <w:highlight w:val="none"/>
          <w14:textFill>
            <w14:solidFill>
              <w14:schemeClr w14:val="tx1"/>
            </w14:solidFill>
          </w14:textFill>
        </w:rPr>
        <w:t>防汛抗旱工作。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(7)认真及时</w:t>
      </w:r>
      <w:r>
        <w:rPr>
          <w:rFonts w:hint="eastAsia" w:ascii="仿宋_GB2312" w:eastAsia="仿宋_GB2312"/>
          <w:color w:val="000000" w:themeColor="text1"/>
          <w:sz w:val="32"/>
          <w:szCs w:val="32"/>
          <w:highlight w:val="none"/>
          <w:lang w:val="en-US" w:eastAsia="zh-CN"/>
          <w14:textFill>
            <w14:solidFill>
              <w14:schemeClr w14:val="tx1"/>
            </w14:solidFill>
          </w14:textFill>
        </w:rPr>
        <w:t>地</w:t>
      </w:r>
      <w:r>
        <w:rPr>
          <w:rFonts w:hint="eastAsia" w:ascii="仿宋_GB2312" w:eastAsia="仿宋_GB2312"/>
          <w:color w:val="000000" w:themeColor="text1"/>
          <w:sz w:val="32"/>
          <w:szCs w:val="32"/>
          <w:highlight w:val="none"/>
          <w14:textFill>
            <w14:solidFill>
              <w14:schemeClr w14:val="tx1"/>
            </w14:solidFill>
          </w14:textFill>
        </w:rPr>
        <w:t>执行完成市委</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市政府、水利局及相关的上级部门下达的工作任务。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4" w:name="_Toc31238"/>
      <w:bookmarkStart w:id="5" w:name="_Toc2151"/>
      <w:r>
        <w:rPr>
          <w:rFonts w:hint="eastAsia" w:ascii="黑体" w:hAnsi="黑体" w:eastAsia="黑体" w:cs="宋体"/>
          <w:bCs/>
          <w:color w:val="000000" w:themeColor="text1"/>
          <w:kern w:val="0"/>
          <w:sz w:val="32"/>
          <w:szCs w:val="32"/>
          <w:highlight w:val="none"/>
          <w14:textFill>
            <w14:solidFill>
              <w14:schemeClr w14:val="tx1"/>
            </w14:solidFill>
          </w14:textFill>
        </w:rPr>
        <w:t>二、机构设置</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及</w:t>
      </w:r>
      <w:bookmarkEnd w:id="4"/>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人员</w:t>
      </w:r>
      <w:r>
        <w:rPr>
          <w:rFonts w:hint="eastAsia" w:ascii="黑体" w:hAnsi="黑体" w:eastAsia="黑体" w:cs="宋体"/>
          <w:bCs/>
          <w:color w:val="000000" w:themeColor="text1"/>
          <w:kern w:val="0"/>
          <w:sz w:val="32"/>
          <w:szCs w:val="32"/>
          <w:highlight w:val="none"/>
          <w14:textFill>
            <w14:solidFill>
              <w14:schemeClr w14:val="tx1"/>
            </w14:solidFill>
          </w14:textFill>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沙湾市水利管理站</w:t>
      </w:r>
      <w:r>
        <w:rPr>
          <w:rFonts w:hint="eastAsia" w:ascii="仿宋_GB2312" w:eastAsia="仿宋_GB2312"/>
          <w:color w:val="000000" w:themeColor="text1"/>
          <w:sz w:val="32"/>
          <w:szCs w:val="32"/>
          <w:highlight w:val="none"/>
          <w:lang w:eastAsia="zh-CN"/>
          <w14:textFill>
            <w14:solidFill>
              <w14:schemeClr w14:val="tx1"/>
            </w14:solidFill>
          </w14:textFill>
        </w:rPr>
        <w:t>2023年度，</w:t>
      </w:r>
      <w:r>
        <w:rPr>
          <w:rFonts w:hint="eastAsia" w:ascii="仿宋_GB2312" w:eastAsia="仿宋_GB2312"/>
          <w:color w:val="000000" w:themeColor="text1"/>
          <w:sz w:val="32"/>
          <w:szCs w:val="32"/>
          <w:highlight w:val="none"/>
          <w14:textFill>
            <w14:solidFill>
              <w14:schemeClr w14:val="tx1"/>
            </w14:solidFill>
          </w14:textFill>
        </w:rPr>
        <w:t>实有人数</w:t>
      </w:r>
      <w:r>
        <w:rPr>
          <w:rFonts w:hint="eastAsia" w:ascii="仿宋_GB2312" w:eastAsia="仿宋_GB2312"/>
          <w:color w:val="000000" w:themeColor="text1"/>
          <w:sz w:val="32"/>
          <w:szCs w:val="32"/>
          <w:highlight w:val="none"/>
          <w:lang w:val="zh-CN" w:eastAsia="zh-CN"/>
          <w14:textFill>
            <w14:solidFill>
              <w14:schemeClr w14:val="tx1"/>
            </w14:solidFill>
          </w14:textFill>
        </w:rPr>
        <w:t>385</w:t>
      </w:r>
      <w:r>
        <w:rPr>
          <w:rFonts w:hint="eastAsia" w:ascii="仿宋_GB2312" w:eastAsia="仿宋_GB2312"/>
          <w:color w:val="000000" w:themeColor="text1"/>
          <w:sz w:val="32"/>
          <w:szCs w:val="32"/>
          <w:highlight w:val="none"/>
          <w14:textFill>
            <w14:solidFill>
              <w14:schemeClr w14:val="tx1"/>
            </w14:solidFill>
          </w14:textFill>
        </w:rPr>
        <w:t>人，其中：在职人员</w:t>
      </w:r>
      <w:r>
        <w:rPr>
          <w:rFonts w:hint="eastAsia" w:ascii="仿宋_GB2312" w:eastAsia="仿宋_GB2312"/>
          <w:color w:val="000000" w:themeColor="text1"/>
          <w:sz w:val="32"/>
          <w:szCs w:val="32"/>
          <w:highlight w:val="none"/>
          <w:lang w:val="zh-CN" w:eastAsia="zh-CN"/>
          <w14:textFill>
            <w14:solidFill>
              <w14:schemeClr w14:val="tx1"/>
            </w14:solidFill>
          </w14:textFill>
        </w:rPr>
        <w:t>153</w:t>
      </w:r>
      <w:r>
        <w:rPr>
          <w:rFonts w:hint="eastAsia" w:ascii="仿宋_GB2312" w:eastAsia="仿宋_GB2312"/>
          <w:color w:val="000000" w:themeColor="text1"/>
          <w:sz w:val="32"/>
          <w:szCs w:val="32"/>
          <w:highlight w:val="none"/>
          <w14:textFill>
            <w14:solidFill>
              <w14:schemeClr w14:val="tx1"/>
            </w14:solidFill>
          </w14:textFill>
        </w:rPr>
        <w:t>人</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离休人员</w:t>
      </w:r>
      <w:r>
        <w:rPr>
          <w:rFonts w:hint="eastAsia" w:ascii="仿宋_GB2312" w:eastAsia="仿宋_GB2312"/>
          <w:color w:val="000000" w:themeColor="text1"/>
          <w:sz w:val="32"/>
          <w:szCs w:val="32"/>
          <w:highlight w:val="none"/>
          <w:lang w:val="zh-CN" w:eastAsia="zh-CN"/>
          <w14:textFill>
            <w14:solidFill>
              <w14:schemeClr w14:val="tx1"/>
            </w14:solidFill>
          </w14:textFill>
        </w:rPr>
        <w:t>0</w:t>
      </w:r>
      <w:r>
        <w:rPr>
          <w:rFonts w:hint="eastAsia" w:ascii="仿宋_GB2312" w:eastAsia="仿宋_GB2312"/>
          <w:color w:val="000000" w:themeColor="text1"/>
          <w:sz w:val="32"/>
          <w:szCs w:val="32"/>
          <w:highlight w:val="none"/>
          <w14:textFill>
            <w14:solidFill>
              <w14:schemeClr w14:val="tx1"/>
            </w14:solidFill>
          </w14:textFill>
        </w:rPr>
        <w:t>人，退休人员</w:t>
      </w:r>
      <w:r>
        <w:rPr>
          <w:rFonts w:hint="eastAsia" w:ascii="仿宋_GB2312" w:eastAsia="仿宋_GB2312"/>
          <w:color w:val="000000" w:themeColor="text1"/>
          <w:sz w:val="32"/>
          <w:szCs w:val="32"/>
          <w:highlight w:val="none"/>
          <w:lang w:val="zh-CN" w:eastAsia="zh-CN"/>
          <w14:textFill>
            <w14:solidFill>
              <w14:schemeClr w14:val="tx1"/>
            </w14:solidFill>
          </w14:textFill>
        </w:rPr>
        <w:t>232</w:t>
      </w:r>
      <w:r>
        <w:rPr>
          <w:rFonts w:hint="eastAsia" w:ascii="仿宋_GB2312" w:eastAsia="仿宋_GB2312"/>
          <w:color w:val="000000" w:themeColor="text1"/>
          <w:sz w:val="32"/>
          <w:szCs w:val="32"/>
          <w:highlight w:val="none"/>
          <w14:textFill>
            <w14:solidFill>
              <w14:schemeClr w14:val="tx1"/>
            </w14:solidFill>
          </w14:textFill>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highlight w:val="none"/>
          <w14:textFill>
            <w14:solidFill>
              <w14:schemeClr w14:val="tx1"/>
            </w14:solidFill>
          </w14:textFill>
        </w:rPr>
        <w:t>沙湾市水利管理站无下属预算单位，下设8个处室，分别是：沙湾河管理站、柳树沟水库管理站、千泉湖水库管理站、宁家河水库管理站、头浮渠管理站、金沟河水管站、窝巴特水管站、东湾节水试验站。</w:t>
      </w:r>
      <w:bookmarkStart w:id="6" w:name="_Toc29374"/>
      <w:bookmarkStart w:id="7" w:name="_Toc3092"/>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第</w:t>
      </w:r>
      <w:r>
        <w:rPr>
          <w:rFonts w:hint="eastAsia" w:ascii="黑体" w:hAnsi="黑体" w:eastAsia="黑体"/>
          <w:color w:val="000000" w:themeColor="text1"/>
          <w:sz w:val="32"/>
          <w:szCs w:val="32"/>
          <w:highlight w:val="none"/>
          <w:lang w:val="en-US" w:eastAsia="zh-CN"/>
          <w14:textFill>
            <w14:solidFill>
              <w14:schemeClr w14:val="tx1"/>
            </w14:solidFill>
          </w14:textFill>
        </w:rPr>
        <w:t>二</w:t>
      </w:r>
      <w:r>
        <w:rPr>
          <w:rFonts w:hint="eastAsia" w:ascii="黑体" w:hAnsi="黑体" w:eastAsia="黑体"/>
          <w:color w:val="000000" w:themeColor="text1"/>
          <w:sz w:val="32"/>
          <w:szCs w:val="32"/>
          <w:highlight w:val="none"/>
          <w14:textFill>
            <w14:solidFill>
              <w14:schemeClr w14:val="tx1"/>
            </w14:solidFill>
          </w14:textFill>
        </w:rPr>
        <w:t>部分部门决算情况说明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8" w:name="_Toc25314"/>
      <w:bookmarkStart w:id="9" w:name="_Toc12566"/>
      <w:r>
        <w:rPr>
          <w:rFonts w:hint="eastAsia" w:ascii="黑体" w:hAnsi="黑体" w:eastAsia="黑体" w:cs="宋体"/>
          <w:bCs/>
          <w:color w:val="000000" w:themeColor="text1"/>
          <w:kern w:val="0"/>
          <w:sz w:val="32"/>
          <w:szCs w:val="32"/>
          <w:highlight w:val="none"/>
          <w14:textFill>
            <w14:solidFill>
              <w14:schemeClr w14:val="tx1"/>
            </w14:solidFill>
          </w14:textFill>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收入总计</w:t>
      </w:r>
      <w:r>
        <w:rPr>
          <w:rFonts w:hint="eastAsia" w:ascii="仿宋_GB2312" w:eastAsia="仿宋_GB2312"/>
          <w:color w:val="000000" w:themeColor="text1"/>
          <w:spacing w:val="0"/>
          <w:sz w:val="32"/>
          <w:szCs w:val="32"/>
          <w:highlight w:val="none"/>
          <w:lang w:eastAsia="zh-CN"/>
          <w14:textFill>
            <w14:solidFill>
              <w14:schemeClr w14:val="tx1"/>
            </w14:solidFill>
          </w14:textFill>
        </w:rPr>
        <w:t>8717.09万元，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其中：本年收入合计</w:t>
      </w:r>
      <w:r>
        <w:rPr>
          <w:rFonts w:hint="eastAsia" w:ascii="仿宋_GB2312" w:eastAsia="仿宋_GB2312"/>
          <w:color w:val="000000" w:themeColor="text1"/>
          <w:spacing w:val="0"/>
          <w:sz w:val="32"/>
          <w:szCs w:val="32"/>
          <w:highlight w:val="none"/>
          <w:lang w:eastAsia="zh-CN"/>
          <w14:textFill>
            <w14:solidFill>
              <w14:schemeClr w14:val="tx1"/>
            </w14:solidFill>
          </w14:textFill>
        </w:rPr>
        <w:t>8717.09万元，使用非财政拨款结余0.00万元，年初结转和结余0.00万元。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val="en-US" w:eastAsia="zh-CN"/>
          <w14:textFill>
            <w14:solidFill>
              <w14:schemeClr w14:val="tx1"/>
            </w14:solidFill>
          </w14:textFill>
        </w:rPr>
        <w:t>2023</w:t>
      </w:r>
      <w:r>
        <w:rPr>
          <w:rFonts w:hint="eastAsia" w:ascii="仿宋_GB2312" w:eastAsia="仿宋_GB2312"/>
          <w:color w:val="000000" w:themeColor="text1"/>
          <w:spacing w:val="0"/>
          <w:sz w:val="32"/>
          <w:szCs w:val="32"/>
          <w:highlight w:val="none"/>
          <w:lang w:eastAsia="zh-CN"/>
          <w14:textFill>
            <w14:solidFill>
              <w14:schemeClr w14:val="tx1"/>
            </w14:solidFill>
          </w14:textFill>
        </w:rPr>
        <w:t>年</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度</w:t>
      </w:r>
      <w:r>
        <w:rPr>
          <w:rFonts w:hint="eastAsia" w:ascii="仿宋_GB2312" w:eastAsia="仿宋_GB2312"/>
          <w:color w:val="000000" w:themeColor="text1"/>
          <w:spacing w:val="0"/>
          <w:sz w:val="32"/>
          <w:szCs w:val="32"/>
          <w:highlight w:val="none"/>
          <w:lang w:eastAsia="zh-CN"/>
          <w14:textFill>
            <w14:solidFill>
              <w14:schemeClr w14:val="tx1"/>
            </w14:solidFill>
          </w14:textFill>
        </w:rPr>
        <w:t>支出</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eastAsia="zh-CN"/>
          <w14:textFill>
            <w14:solidFill>
              <w14:schemeClr w14:val="tx1"/>
            </w14:solidFill>
          </w14:textFill>
        </w:rPr>
        <w:t>8717.09万元，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其中：本年支出合计</w:t>
      </w:r>
      <w:r>
        <w:rPr>
          <w:rFonts w:hint="eastAsia" w:ascii="仿宋_GB2312" w:eastAsia="仿宋_GB2312"/>
          <w:color w:val="000000" w:themeColor="text1"/>
          <w:spacing w:val="0"/>
          <w:sz w:val="32"/>
          <w:szCs w:val="32"/>
          <w:highlight w:val="none"/>
          <w:lang w:eastAsia="zh-CN"/>
          <w14:textFill>
            <w14:solidFill>
              <w14:schemeClr w14:val="tx1"/>
            </w14:solidFill>
          </w14:textFill>
        </w:rPr>
        <w:t>8717.09万元，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结余分配</w:t>
      </w:r>
      <w:r>
        <w:rPr>
          <w:rFonts w:hint="eastAsia" w:ascii="仿宋_GB2312" w:eastAsia="仿宋_GB2312"/>
          <w:color w:val="000000" w:themeColor="text1"/>
          <w:spacing w:val="0"/>
          <w:sz w:val="32"/>
          <w:szCs w:val="32"/>
          <w:highlight w:val="none"/>
          <w:lang w:eastAsia="zh-CN"/>
          <w14:textFill>
            <w14:solidFill>
              <w14:schemeClr w14:val="tx1"/>
            </w14:solidFill>
          </w14:textFill>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val="en-US" w:eastAsia="zh-CN"/>
          <w14:textFill>
            <w14:solidFill>
              <w14:schemeClr w14:val="tx1"/>
            </w14:solidFill>
          </w14:textFill>
        </w:rPr>
        <w:t>收入支出总体与上年相比</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增加953.46万元</w:t>
      </w:r>
      <w:r>
        <w:rPr>
          <w:rFonts w:hint="eastAsia" w:ascii="仿宋_GB2312" w:eastAsia="仿宋_GB2312"/>
          <w:color w:val="000000" w:themeColor="text1"/>
          <w:spacing w:val="0"/>
          <w:sz w:val="32"/>
          <w:szCs w:val="32"/>
          <w:highlight w:val="none"/>
          <w:lang w:eastAsia="zh-CN"/>
          <w14:textFill>
            <w14:solidFill>
              <w14:schemeClr w14:val="tx1"/>
            </w14:solidFill>
          </w14:textFill>
        </w:rPr>
        <w:t>，增长12.28%，主要原因是：本年追加2023年中央水利发展资金预算项目3854万元。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10" w:name="_Toc1979"/>
      <w:bookmarkStart w:id="11" w:name="_Toc12142"/>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二、</w:t>
      </w:r>
      <w:r>
        <w:rPr>
          <w:rFonts w:hint="eastAsia" w:ascii="黑体" w:hAnsi="黑体" w:eastAsia="黑体" w:cs="宋体"/>
          <w:bCs/>
          <w:color w:val="000000" w:themeColor="text1"/>
          <w:kern w:val="0"/>
          <w:sz w:val="32"/>
          <w:szCs w:val="32"/>
          <w:highlight w:val="none"/>
          <w14:textFill>
            <w14:solidFill>
              <w14:schemeClr w14:val="tx1"/>
            </w14:solidFill>
          </w14:textFill>
        </w:rPr>
        <w:t>收入</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决算</w:t>
      </w:r>
      <w:r>
        <w:rPr>
          <w:rFonts w:hint="eastAsia" w:ascii="黑体" w:hAnsi="黑体" w:eastAsia="黑体" w:cs="宋体"/>
          <w:bCs/>
          <w:color w:val="000000" w:themeColor="text1"/>
          <w:kern w:val="0"/>
          <w:sz w:val="32"/>
          <w:szCs w:val="32"/>
          <w:highlight w:val="none"/>
          <w14:textFill>
            <w14:solidFill>
              <w14:schemeClr w14:val="tx1"/>
            </w14:solidFill>
          </w14:textFill>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本年收入</w:t>
      </w:r>
      <w:r>
        <w:rPr>
          <w:rFonts w:hint="eastAsia" w:ascii="仿宋_GB2312" w:eastAsia="仿宋_GB2312"/>
          <w:color w:val="000000" w:themeColor="text1"/>
          <w:sz w:val="32"/>
          <w:szCs w:val="32"/>
          <w:highlight w:val="none"/>
          <w:lang w:eastAsia="zh-CN"/>
          <w14:textFill>
            <w14:solidFill>
              <w14:schemeClr w14:val="tx1"/>
            </w14:solidFill>
          </w14:textFill>
        </w:rPr>
        <w:t>8717.09</w:t>
      </w:r>
      <w:r>
        <w:rPr>
          <w:rFonts w:hint="eastAsia" w:ascii="仿宋_GB2312" w:eastAsia="仿宋_GB2312"/>
          <w:color w:val="000000" w:themeColor="text1"/>
          <w:sz w:val="32"/>
          <w:szCs w:val="32"/>
          <w:highlight w:val="none"/>
          <w14:textFill>
            <w14:solidFill>
              <w14:schemeClr w14:val="tx1"/>
            </w14:solidFill>
          </w14:textFill>
        </w:rPr>
        <w:t>万元，其中：财政拨款收入</w:t>
      </w:r>
      <w:r>
        <w:rPr>
          <w:rFonts w:hint="eastAsia" w:ascii="仿宋_GB2312" w:eastAsia="仿宋_GB2312"/>
          <w:color w:val="000000" w:themeColor="text1"/>
          <w:sz w:val="32"/>
          <w:szCs w:val="32"/>
          <w:highlight w:val="none"/>
          <w:lang w:val="zh-CN"/>
          <w14:textFill>
            <w14:solidFill>
              <w14:schemeClr w14:val="tx1"/>
            </w14:solidFill>
          </w14:textFill>
        </w:rPr>
        <w:t>8552.09</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98.11%</w:t>
      </w:r>
      <w:r>
        <w:rPr>
          <w:rFonts w:hint="eastAsia" w:ascii="仿宋_GB2312" w:eastAsia="仿宋_GB2312"/>
          <w:color w:val="000000" w:themeColor="text1"/>
          <w:sz w:val="32"/>
          <w:szCs w:val="32"/>
          <w:highlight w:val="none"/>
          <w14:textFill>
            <w14:solidFill>
              <w14:schemeClr w14:val="tx1"/>
            </w14:solidFill>
          </w14:textFill>
        </w:rPr>
        <w:t>；上级补助收入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；事业收入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；经营收入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附属单位上缴收入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；其他收入</w:t>
      </w:r>
      <w:r>
        <w:rPr>
          <w:rFonts w:hint="eastAsia" w:ascii="仿宋_GB2312" w:eastAsia="仿宋_GB2312"/>
          <w:color w:val="000000" w:themeColor="text1"/>
          <w:sz w:val="32"/>
          <w:szCs w:val="32"/>
          <w:highlight w:val="none"/>
          <w:lang w:val="zh-CN"/>
          <w14:textFill>
            <w14:solidFill>
              <w14:schemeClr w14:val="tx1"/>
            </w14:solidFill>
          </w14:textFill>
        </w:rPr>
        <w:t>165.00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1.89%</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2" w:name="_Toc13201"/>
      <w:bookmarkStart w:id="13" w:name="_Toc27961"/>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本年支出8717.09万元，其中：基本支出2609.02万元，占29.93%；项目支出6108.07万元，占70.07%；上缴上级支出0.00万元，占0.00%；经营支出0.00万元，占0.00%；对附属单位补助支出0.00万元，占0.00%。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4" w:name="_Toc4393"/>
      <w:bookmarkStart w:id="15" w:name="_Toc26564"/>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2023年度财政拨款收入</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8552.09</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其中：年初财政拨款结转和结余</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0.00</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本年财政拨款收入</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8552.09</w:t>
      </w:r>
      <w:r>
        <w:rPr>
          <w:rFonts w:hint="eastAsia" w:ascii="仿宋_GB2312" w:eastAsia="仿宋_GB2312"/>
          <w:color w:val="000000" w:themeColor="text1"/>
          <w:spacing w:val="0"/>
          <w:sz w:val="32"/>
          <w:szCs w:val="32"/>
          <w:highlight w:val="none"/>
          <w:lang w:eastAsia="zh-CN"/>
          <w14:textFill>
            <w14:solidFill>
              <w14:schemeClr w14:val="tx1"/>
            </w14:solidFill>
          </w14:textFill>
        </w:rPr>
        <w:t>万元。财政拨款支出</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8552.09</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其中：年末财政拨款结转和结余</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0.00</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本年财政拨款支出</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8552.09</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财政拨款收入支出总体与上年相比</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增加877.46万元</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增长11.43%,</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2023年支付</w:t>
      </w:r>
      <w:r>
        <w:rPr>
          <w:rFonts w:hint="eastAsia" w:ascii="仿宋_GB2312" w:hAnsi="仿宋" w:eastAsia="仿宋_GB2312" w:cs="Times New Roman"/>
          <w:color w:val="000000" w:themeColor="text1"/>
          <w:sz w:val="32"/>
          <w:szCs w:val="32"/>
          <w:lang w:val="en-US" w:eastAsia="zh-CN"/>
          <w14:textFill>
            <w14:solidFill>
              <w14:schemeClr w14:val="tx1"/>
            </w14:solidFill>
          </w14:textFill>
        </w:rPr>
        <w:t>年末根据财政局对账单调增水管总站节水计量改造（井电双控）项目3468.4万元，导致本年</w:t>
      </w:r>
      <w:r>
        <w:rPr>
          <w:rFonts w:hint="eastAsia" w:ascii="仿宋_GB2312" w:eastAsia="仿宋_GB2312"/>
          <w:color w:val="000000" w:themeColor="text1"/>
          <w:spacing w:val="0"/>
          <w:sz w:val="32"/>
          <w:szCs w:val="32"/>
          <w:highlight w:val="none"/>
          <w:lang w:eastAsia="zh-CN"/>
          <w14:textFill>
            <w14:solidFill>
              <w14:schemeClr w14:val="tx1"/>
            </w14:solidFill>
          </w14:textFill>
        </w:rPr>
        <w:t>财政拨款</w:t>
      </w:r>
      <w:r>
        <w:rPr>
          <w:rFonts w:hint="eastAsia" w:ascii="仿宋_GB2312" w:hAnsi="仿宋" w:eastAsia="仿宋_GB2312" w:cs="Times New Roman"/>
          <w:color w:val="000000" w:themeColor="text1"/>
          <w:sz w:val="32"/>
          <w:szCs w:val="32"/>
          <w:lang w:val="en-US" w:eastAsia="zh-CN"/>
          <w14:textFill>
            <w14:solidFill>
              <w14:schemeClr w14:val="tx1"/>
            </w14:solidFill>
          </w14:textFill>
        </w:rPr>
        <w:t>收支比上年</w:t>
      </w:r>
      <w:r>
        <w:rPr>
          <w:rFonts w:hint="eastAsia" w:ascii="仿宋_GB2312" w:eastAsia="仿宋_GB2312"/>
          <w:color w:val="000000" w:themeColor="text1"/>
          <w:spacing w:val="0"/>
          <w:sz w:val="32"/>
          <w:szCs w:val="32"/>
          <w:highlight w:val="none"/>
          <w:lang w:eastAsia="zh-CN"/>
          <w14:textFill>
            <w14:solidFill>
              <w14:schemeClr w14:val="tx1"/>
            </w14:solidFill>
          </w14:textFill>
        </w:rPr>
        <w:t>财政拨款</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收支增加</w:t>
      </w:r>
      <w:r>
        <w:rPr>
          <w:rFonts w:hint="eastAsia" w:ascii="仿宋_GB2312" w:eastAsia="仿宋_GB2312"/>
          <w:color w:val="000000" w:themeColor="text1"/>
          <w:spacing w:val="0"/>
          <w:sz w:val="32"/>
          <w:szCs w:val="32"/>
          <w:highlight w:val="none"/>
          <w:lang w:eastAsia="zh-CN"/>
          <w14:textFill>
            <w14:solidFill>
              <w14:schemeClr w14:val="tx1"/>
            </w14:solidFill>
          </w14:textFill>
        </w:rPr>
        <w:t>。与年初预算相比，年初预算数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6287.76</w:t>
      </w:r>
      <w:r>
        <w:rPr>
          <w:rFonts w:hint="eastAsia" w:ascii="仿宋_GB2312" w:eastAsia="仿宋_GB2312"/>
          <w:color w:val="000000" w:themeColor="text1"/>
          <w:spacing w:val="0"/>
          <w:sz w:val="32"/>
          <w:szCs w:val="32"/>
          <w:highlight w:val="none"/>
          <w:lang w:eastAsia="zh-CN"/>
          <w14:textFill>
            <w14:solidFill>
              <w14:schemeClr w14:val="tx1"/>
            </w14:solidFill>
          </w14:textFill>
        </w:rPr>
        <w:t>万元，决算数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8552.09</w:t>
      </w:r>
      <w:r>
        <w:rPr>
          <w:rFonts w:hint="eastAsia" w:ascii="仿宋_GB2312" w:eastAsia="仿宋_GB2312"/>
          <w:color w:val="000000" w:themeColor="text1"/>
          <w:spacing w:val="0"/>
          <w:sz w:val="32"/>
          <w:szCs w:val="32"/>
          <w:highlight w:val="none"/>
          <w:lang w:eastAsia="zh-CN"/>
          <w14:textFill>
            <w14:solidFill>
              <w14:schemeClr w14:val="tx1"/>
            </w14:solidFill>
          </w14:textFill>
        </w:rPr>
        <w:t>万元，预决算差异率36.01%，主要原因是：</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2023年</w:t>
      </w:r>
      <w:r>
        <w:rPr>
          <w:rFonts w:hint="eastAsia" w:ascii="仿宋_GB2312" w:hAnsi="仿宋" w:eastAsia="仿宋_GB2312" w:cs="Times New Roman"/>
          <w:color w:val="000000" w:themeColor="text1"/>
          <w:sz w:val="32"/>
          <w:szCs w:val="32"/>
          <w:lang w:val="en-US" w:eastAsia="zh-CN"/>
          <w14:textFill>
            <w14:solidFill>
              <w14:schemeClr w14:val="tx1"/>
            </w14:solidFill>
          </w14:textFill>
        </w:rPr>
        <w:t>年末根据财政局对账单调增水管总站节水计量改造（井电双控）项目3468.4万元</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导致预决算差异过大</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6" w:name="_Toc13833"/>
      <w:bookmarkStart w:id="17" w:name="_Toc20360"/>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2023年度一般公共预算财政拨款支出8552.09万元，占本年支出合计的</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98.11%</w:t>
      </w:r>
      <w:r>
        <w:rPr>
          <w:rFonts w:hint="eastAsia" w:ascii="仿宋_GB2312" w:eastAsia="仿宋_GB2312"/>
          <w:color w:val="000000" w:themeColor="text1"/>
          <w:spacing w:val="0"/>
          <w:sz w:val="32"/>
          <w:szCs w:val="32"/>
          <w:highlight w:val="none"/>
          <w:lang w:eastAsia="zh-CN"/>
          <w14:textFill>
            <w14:solidFill>
              <w14:schemeClr w14:val="tx1"/>
            </w14:solidFill>
          </w14:textFill>
        </w:rPr>
        <w:t>。与上年相比，</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增加877.46万元</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增长11.43%,</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主要原因是：本年追加2023年中央水利发展资金预算项目3854万元。与年初预算相比，年初预算数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6287.76</w:t>
      </w:r>
      <w:r>
        <w:rPr>
          <w:rFonts w:hint="eastAsia" w:ascii="仿宋_GB2312" w:eastAsia="仿宋_GB2312"/>
          <w:color w:val="000000" w:themeColor="text1"/>
          <w:spacing w:val="0"/>
          <w:sz w:val="32"/>
          <w:szCs w:val="32"/>
          <w:highlight w:val="none"/>
          <w:lang w:eastAsia="zh-CN"/>
          <w14:textFill>
            <w14:solidFill>
              <w14:schemeClr w14:val="tx1"/>
            </w14:solidFill>
          </w14:textFill>
        </w:rPr>
        <w:t>万元，决算数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8552.09</w:t>
      </w:r>
      <w:r>
        <w:rPr>
          <w:rFonts w:hint="eastAsia" w:ascii="仿宋_GB2312" w:eastAsia="仿宋_GB2312"/>
          <w:color w:val="000000" w:themeColor="text1"/>
          <w:spacing w:val="0"/>
          <w:sz w:val="32"/>
          <w:szCs w:val="32"/>
          <w:highlight w:val="none"/>
          <w:lang w:eastAsia="zh-CN"/>
          <w14:textFill>
            <w14:solidFill>
              <w14:schemeClr w14:val="tx1"/>
            </w14:solidFill>
          </w14:textFill>
        </w:rPr>
        <w:t>万元，预决算差异率</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36.01%</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，主要原因是：本年追加2023年中央水利发展资金预算项目3854万元。</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一般公共预算</w:t>
      </w:r>
      <w:r>
        <w:rPr>
          <w:rFonts w:hint="eastAsia" w:ascii="黑体" w:hAnsi="黑体" w:eastAsia="黑体"/>
          <w:color w:val="000000" w:themeColor="text1"/>
          <w:sz w:val="32"/>
          <w:szCs w:val="32"/>
          <w:highlight w:val="none"/>
          <w:lang w:val="en-US" w:eastAsia="zh-CN"/>
          <w14:textFill>
            <w14:solidFill>
              <w14:schemeClr w14:val="tx1"/>
            </w14:solidFill>
          </w14:textFill>
        </w:rPr>
        <w:t>财政拨款支出决算</w:t>
      </w:r>
      <w:r>
        <w:rPr>
          <w:rFonts w:hint="eastAsia" w:ascii="黑体" w:hAnsi="黑体" w:eastAsia="黑体"/>
          <w:color w:val="000000" w:themeColor="text1"/>
          <w:sz w:val="32"/>
          <w:szCs w:val="32"/>
          <w:highlight w:val="none"/>
          <w:lang w:eastAsia="zh-CN"/>
          <w14:textFill>
            <w14:solidFill>
              <w14:schemeClr w14:val="tx1"/>
            </w14:solidFill>
          </w14:textFill>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1.一般公共服务支出（类）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30.00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0.35%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2</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.社会保障和就业支出（类）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286.65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3.35%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3</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.卫生健康支出（类）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104.15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1.22%</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spacing w:val="0"/>
          <w:kern w:val="2"/>
          <w:sz w:val="32"/>
          <w:szCs w:val="32"/>
          <w:highlight w:val="none"/>
          <w:lang w:val="en-US" w:eastAsia="zh-CN" w:bidi="ar-SA"/>
          <w14:textFill>
            <w14:solidFill>
              <w14:schemeClr w14:val="tx1"/>
            </w14:solidFill>
          </w14:textFill>
        </w:rPr>
        <w:t>4</w:t>
      </w:r>
      <w:r>
        <w:rPr>
          <w:rFonts w:hint="eastAsia" w:ascii="仿宋_GB2312" w:hAnsi="仿宋_GB2312" w:eastAsia="仿宋_GB2312" w:cs="仿宋_GB2312"/>
          <w:color w:val="000000" w:themeColor="text1"/>
          <w:spacing w:val="0"/>
          <w:kern w:val="2"/>
          <w:sz w:val="32"/>
          <w:szCs w:val="32"/>
          <w:highlight w:val="none"/>
          <w:lang w:val="zh-CN" w:eastAsia="zh-CN" w:bidi="ar-SA"/>
          <w14:textFill>
            <w14:solidFill>
              <w14:schemeClr w14:val="tx1"/>
            </w14:solidFill>
          </w14:textFill>
        </w:rPr>
        <w:t>.农林水支出（类）7890.89万元，占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92.27%</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.住房保障支出（类）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120.40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1.41%</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6</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.其他支出（类）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120.00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1.40%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农林水支出（类）水利（款）防汛（项）:支出决算数为200.00万元，比上年决算增加200.00万元，增长100%，主要原因是：本年增加沙湾市大南沟水库建设工程前期勘察设计费、2022年农业生产和水利救灾资金（第九批）资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2.卫生健康支出（类）行政事业单位医疗（款）事业单位医疗（项）:支出决算数为104.15万元，比上年决算减少52.14万元，下降33.36%，主要原因是：退休人员本年不需要缴纳事业单位医疗</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3.农林水支出（类）水利（款）江河湖库水系综合整治（项）:支出决算数为152.97万元，比上年决算减少4518.22万元，下降96.73%，主要原因是：2022年江河湖库水系综合整治决算数4671.19万元，其中包括提前下达2022年中央水利发展资金预算4671.19万元；2023年江河湖库水系综合整治决算数，其中包括提前下达2023年</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中央水利发展资金</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决算数52万元，2022年中央水利发展资金预算100.97万元</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4.农林水支出（类）水利（款）农村水利（项）:支出决算数为1301.14万元，比上年决算增加1301.14万元，增长100%，主要原因是：本年增加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提前下达2023年中央水利发展资金预算中型灌区改造</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项目</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5.住房保障支出（类）住房改革支出（款）住房公积金（项）:支出决算数为120.40万元，比上年决算增加10.78万元，增长9.83%，主要原因是：本单位人员晋升，工资上调，缴费基数增加，导致住房公积金支出决算数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6.社会保障和就业支出（类）行政事业单位养老支出（款）事业单位离退休（项）:支出决算数为115.37万元，比上年决算增加44.95万元，增长63.83%，主要原因是：2023年发放2022年退休人员基础绩效增资款66.85万元</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7.农林水支出（类）水利（款）水资源节约管理与保护（项）:支出决算数为2602.24万元，比上年决算增加181.24万元，增长7.49%，主要原因是：本年增加2023年中央水利发展资金预算195.67万元</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8.农林水支出（类）水利（款）其他水利支出（项）:支出决算数为3634.54万元，比上年决算增加3634.54万元，增长100%，主要原因是：本年增加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水管总站节水计量改造（井电双控）</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项目3468.4万元，增加井电双控水资源调度中心改造项目、一期、二期尾款166.14万元</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9.一般公共服务支出（类）发展与改革事务（款）其他发展与改革事务支出（项）:支出决算数为30.00万元，比上年决算增加30.00万元，增长100%，主要原因是：本年增加玛河防洪治理工程勘察设计费30.00万元</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b/>
          <w:bCs/>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10.社会保障和就业支出（类）行政事业单位养老支出（款）机关事业单位职业年金缴费支出（项）:支出决算数为18.52万元，比上年决算减少6.15万元，下降24.93%，主要原因是：本年退休人数比上年减少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导致职业年金支出决算数增加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11.其他支出（类）其他支出（款）其他支出（项）:支出决算数为120.00万元，比上年决算增加22.50万元，增长23.08%，主要原因是：本年增加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2022年“</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为民办实事</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”工作专项经费</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25万元</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12.社会保障和就业支出（类）行政事业单位养老支出（款）机关事业单位基本养老保险缴费支出（项）:支出决算数为152.76万元，比上年决算增加29.05万元，增长23.48%，主要原因是：本单位人员晋级，工资上调，缴费基数增加；2023年我单位新招录及调入人员15人，导致事业单位养老支出决算数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FF0000"/>
          <w:kern w:val="2"/>
          <w:sz w:val="32"/>
          <w:szCs w:val="32"/>
          <w:highlight w:val="none"/>
          <w:lang w:val="zh-CN" w:eastAsia="zh-CN" w:bidi="ar-SA"/>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13.社会保障和就业支出（类）行政事业单位养老支出（款）行政单位离退休（项）:支出决算数为0.00万元，比上年决算减少0.25万元，下降100%，主要原因是：2022年支付行政单位离退休0.25万元，2022年我单位行政单位离退休项支出使用错误，2023年未使用该项支出，导致比上年决算减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w:t>
      </w:r>
      <w:r>
        <w:rPr>
          <w:rFonts w:hint="eastAsia" w:ascii="仿宋_GB2312" w:eastAsia="仿宋_GB2312"/>
          <w:color w:val="000000" w:themeColor="text1"/>
          <w:sz w:val="32"/>
          <w:szCs w:val="32"/>
          <w:highlight w:val="none"/>
          <w14:textFill>
            <w14:solidFill>
              <w14:schemeClr w14:val="tx1"/>
            </w14:solidFill>
          </w14:textFill>
        </w:rPr>
        <w:t>一般公共预算财政拨款基本支出</w:t>
      </w:r>
      <w:r>
        <w:rPr>
          <w:rFonts w:hint="eastAsia" w:ascii="仿宋_GB2312" w:eastAsia="仿宋_GB2312"/>
          <w:color w:val="000000" w:themeColor="text1"/>
          <w:sz w:val="32"/>
          <w:szCs w:val="32"/>
          <w:highlight w:val="none"/>
          <w:lang w:eastAsia="zh-CN"/>
          <w14:textFill>
            <w14:solidFill>
              <w14:schemeClr w14:val="tx1"/>
            </w14:solidFill>
          </w14:textFill>
        </w:rPr>
        <w:t>2609.02</w:t>
      </w:r>
      <w:r>
        <w:rPr>
          <w:rFonts w:hint="eastAsia" w:ascii="仿宋_GB2312" w:eastAsia="仿宋_GB2312"/>
          <w:color w:val="000000" w:themeColor="text1"/>
          <w:sz w:val="32"/>
          <w:szCs w:val="32"/>
          <w:highlight w:val="none"/>
          <w14:textFill>
            <w14:solidFill>
              <w14:schemeClr w14:val="tx1"/>
            </w14:solidFill>
          </w14:textFill>
        </w:rPr>
        <w:t>万元，其中：人员经费</w:t>
      </w:r>
      <w:r>
        <w:rPr>
          <w:rFonts w:hint="eastAsia" w:ascii="仿宋_GB2312" w:eastAsia="仿宋_GB2312"/>
          <w:color w:val="000000" w:themeColor="text1"/>
          <w:sz w:val="32"/>
          <w:szCs w:val="32"/>
          <w:highlight w:val="none"/>
          <w:lang w:eastAsia="zh-CN"/>
          <w14:textFill>
            <w14:solidFill>
              <w14:schemeClr w14:val="tx1"/>
            </w14:solidFill>
          </w14:textFill>
        </w:rPr>
        <w:t>2516.71</w:t>
      </w:r>
      <w:r>
        <w:rPr>
          <w:rFonts w:hint="eastAsia" w:ascii="仿宋_GB2312" w:eastAsia="仿宋_GB2312"/>
          <w:color w:val="000000" w:themeColor="text1"/>
          <w:sz w:val="32"/>
          <w:szCs w:val="32"/>
          <w:highlight w:val="none"/>
          <w14:textFill>
            <w14:solidFill>
              <w14:schemeClr w14:val="tx1"/>
            </w14:solidFill>
          </w14:textFill>
        </w:rPr>
        <w:t>万元，包括：</w:t>
      </w:r>
      <w:r>
        <w:rPr>
          <w:rFonts w:hint="eastAsia" w:ascii="仿宋_GB2312" w:eastAsia="仿宋_GB2312"/>
          <w:color w:val="000000" w:themeColor="text1"/>
          <w:sz w:val="32"/>
          <w:szCs w:val="32"/>
          <w:highlight w:val="none"/>
          <w:lang w:val="en-US" w:eastAsia="zh-CN"/>
          <w14:textFill>
            <w14:solidFill>
              <w14:schemeClr w14:val="tx1"/>
            </w14:solidFill>
          </w14:textFill>
        </w:rPr>
        <w:t>基本工资、津贴补贴、奖金、绩效工资、机关事业单位基本养老保险缴费、职业年金缴费、职工基本医疗保险缴费、其他社会保障缴费、住房公积金、退休费、抚恤金、生活补助、其他对个人和家庭的补助。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公用经费</w:t>
      </w:r>
      <w:r>
        <w:rPr>
          <w:rFonts w:hint="eastAsia" w:ascii="仿宋_GB2312" w:eastAsia="仿宋_GB2312"/>
          <w:color w:val="000000" w:themeColor="text1"/>
          <w:sz w:val="32"/>
          <w:szCs w:val="32"/>
          <w:highlight w:val="none"/>
          <w:lang w:eastAsia="zh-CN"/>
          <w14:textFill>
            <w14:solidFill>
              <w14:schemeClr w14:val="tx1"/>
            </w14:solidFill>
          </w14:textFill>
        </w:rPr>
        <w:t>92.32</w:t>
      </w:r>
      <w:r>
        <w:rPr>
          <w:rFonts w:hint="eastAsia" w:ascii="仿宋_GB2312" w:eastAsia="仿宋_GB2312"/>
          <w:color w:val="000000" w:themeColor="text1"/>
          <w:sz w:val="32"/>
          <w:szCs w:val="32"/>
          <w:highlight w:val="none"/>
          <w14:textFill>
            <w14:solidFill>
              <w14:schemeClr w14:val="tx1"/>
            </w14:solidFill>
          </w14:textFill>
        </w:rPr>
        <w:t>万元，包括：</w:t>
      </w:r>
      <w:r>
        <w:rPr>
          <w:rFonts w:hint="eastAsia" w:ascii="仿宋_GB2312" w:eastAsia="仿宋_GB2312"/>
          <w:color w:val="000000" w:themeColor="text1"/>
          <w:sz w:val="32"/>
          <w:szCs w:val="32"/>
          <w:highlight w:val="none"/>
          <w:lang w:val="en-US" w:eastAsia="zh-CN"/>
          <w14:textFill>
            <w14:solidFill>
              <w14:schemeClr w14:val="tx1"/>
            </w14:solidFill>
          </w14:textFill>
        </w:rPr>
        <w:t>办公费、水费、电费、邮电费、差旅费、培训费、公务接待费、工会经费、公务用车运行维护费</w:t>
      </w:r>
      <w:r>
        <w:rPr>
          <w:rFonts w:hint="eastAsia" w:ascii="仿宋_GB2312" w:eastAsia="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七、</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财政拨款</w:t>
      </w:r>
      <w:r>
        <w:rPr>
          <w:rFonts w:hint="eastAsia" w:ascii="黑体" w:hAnsi="黑体" w:eastAsia="黑体" w:cs="宋体"/>
          <w:bCs/>
          <w:color w:val="000000" w:themeColor="text1"/>
          <w:kern w:val="0"/>
          <w:sz w:val="32"/>
          <w:szCs w:val="32"/>
          <w:highlight w:val="none"/>
          <w14:textFill>
            <w14:solidFill>
              <w14:schemeClr w14:val="tx1"/>
            </w14:solidFill>
          </w14:textFill>
        </w:rPr>
        <w:t>“三公”经费支出</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决算</w:t>
      </w:r>
      <w:r>
        <w:rPr>
          <w:rFonts w:hint="eastAsia" w:ascii="黑体" w:hAnsi="黑体" w:eastAsia="黑体" w:cs="宋体"/>
          <w:bCs/>
          <w:color w:val="000000" w:themeColor="text1"/>
          <w:kern w:val="0"/>
          <w:sz w:val="32"/>
          <w:szCs w:val="32"/>
          <w:highlight w:val="none"/>
          <w14:textFill>
            <w14:solidFill>
              <w14:schemeClr w14:val="tx1"/>
            </w14:solidFill>
          </w14:textFill>
        </w:rPr>
        <w:t>情况</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2023年度</w:t>
      </w:r>
      <w:r>
        <w:rPr>
          <w:rFonts w:hint="eastAsia" w:ascii="仿宋_GB2312" w:eastAsia="仿宋_GB2312"/>
          <w:color w:val="000000" w:themeColor="text1"/>
          <w:sz w:val="32"/>
          <w:szCs w:val="32"/>
          <w:highlight w:val="none"/>
          <w:lang w:val="en-US" w:eastAsia="zh-CN"/>
          <w14:textFill>
            <w14:solidFill>
              <w14:schemeClr w14:val="tx1"/>
            </w14:solidFill>
          </w14:textFill>
        </w:rPr>
        <w:t>财政拨款</w:t>
      </w:r>
      <w:r>
        <w:rPr>
          <w:rFonts w:hint="eastAsia" w:ascii="仿宋_GB2312" w:eastAsia="仿宋_GB2312"/>
          <w:color w:val="000000" w:themeColor="text1"/>
          <w:sz w:val="32"/>
          <w:szCs w:val="32"/>
          <w:highlight w:val="none"/>
          <w:lang w:val="zh-CN" w:eastAsia="zh-CN"/>
          <w14:textFill>
            <w14:solidFill>
              <w14:schemeClr w14:val="tx1"/>
            </w14:solidFill>
          </w14:textFill>
        </w:rPr>
        <w:t>“三公”经费支出21.65万元，</w:t>
      </w:r>
      <w:r>
        <w:rPr>
          <w:rFonts w:hint="eastAsia" w:ascii="仿宋_GB2312" w:eastAsia="仿宋_GB2312"/>
          <w:color w:val="000000" w:themeColor="text1"/>
          <w:sz w:val="32"/>
          <w:szCs w:val="32"/>
          <w:highlight w:val="none"/>
          <w:lang w:val="en-US" w:eastAsia="zh-CN"/>
          <w14:textFill>
            <w14:solidFill>
              <w14:schemeClr w14:val="tx1"/>
            </w14:solidFill>
          </w14:textFill>
        </w:rPr>
        <w:t>比上年</w:t>
      </w:r>
      <w:r>
        <w:rPr>
          <w:rFonts w:hint="eastAsia" w:ascii="仿宋_GB2312" w:eastAsia="仿宋_GB2312"/>
          <w:color w:val="000000" w:themeColor="text1"/>
          <w:sz w:val="32"/>
          <w:szCs w:val="32"/>
          <w:highlight w:val="none"/>
          <w:lang w:val="zh-CN" w:eastAsia="zh-CN"/>
          <w14:textFill>
            <w14:solidFill>
              <w14:schemeClr w14:val="tx1"/>
            </w14:solidFill>
          </w14:textFill>
        </w:rPr>
        <w:t>增加0.46万元，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增长2.17%,</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2022年因疫情原因职工</w:t>
      </w:r>
      <w:r>
        <w:rPr>
          <w:rFonts w:hint="eastAsia" w:ascii="仿宋_GB2312" w:eastAsia="仿宋_GB2312"/>
          <w:color w:val="000000" w:themeColor="text1"/>
          <w:sz w:val="32"/>
          <w:szCs w:val="32"/>
          <w:highlight w:val="none"/>
          <w:lang w:val="zh-CN" w:eastAsia="zh-CN"/>
          <w14:textFill>
            <w14:solidFill>
              <w14:schemeClr w14:val="tx1"/>
            </w14:solidFill>
          </w14:textFill>
        </w:rPr>
        <w:t>外出驾车出差</w:t>
      </w:r>
      <w:r>
        <w:rPr>
          <w:rFonts w:hint="eastAsia" w:ascii="仿宋_GB2312" w:eastAsia="仿宋_GB2312"/>
          <w:color w:val="000000" w:themeColor="text1"/>
          <w:sz w:val="32"/>
          <w:szCs w:val="32"/>
          <w:highlight w:val="none"/>
          <w:lang w:val="en-US" w:eastAsia="zh-CN"/>
          <w14:textFill>
            <w14:solidFill>
              <w14:schemeClr w14:val="tx1"/>
            </w14:solidFill>
          </w14:textFill>
        </w:rPr>
        <w:t>较少，2023</w:t>
      </w:r>
      <w:r>
        <w:rPr>
          <w:rFonts w:hint="eastAsia" w:ascii="仿宋_GB2312" w:eastAsia="仿宋_GB2312"/>
          <w:color w:val="000000" w:themeColor="text1"/>
          <w:sz w:val="32"/>
          <w:szCs w:val="32"/>
          <w:highlight w:val="none"/>
          <w:lang w:val="zh-CN" w:eastAsia="zh-CN"/>
          <w14:textFill>
            <w14:solidFill>
              <w14:schemeClr w14:val="tx1"/>
            </w14:solidFill>
          </w14:textFill>
        </w:rPr>
        <w:t>年</w:t>
      </w:r>
      <w:r>
        <w:rPr>
          <w:rFonts w:hint="eastAsia" w:ascii="仿宋_GB2312" w:eastAsia="仿宋_GB2312"/>
          <w:color w:val="000000" w:themeColor="text1"/>
          <w:sz w:val="32"/>
          <w:szCs w:val="32"/>
          <w:highlight w:val="none"/>
          <w:lang w:val="en-US" w:eastAsia="zh-CN"/>
          <w14:textFill>
            <w14:solidFill>
              <w14:schemeClr w14:val="tx1"/>
            </w14:solidFill>
          </w14:textFill>
        </w:rPr>
        <w:t>职工</w:t>
      </w:r>
      <w:r>
        <w:rPr>
          <w:rFonts w:hint="eastAsia" w:ascii="仿宋_GB2312" w:eastAsia="仿宋_GB2312"/>
          <w:color w:val="000000" w:themeColor="text1"/>
          <w:sz w:val="32"/>
          <w:szCs w:val="32"/>
          <w:highlight w:val="none"/>
          <w:lang w:val="zh-CN" w:eastAsia="zh-CN"/>
          <w14:textFill>
            <w14:solidFill>
              <w14:schemeClr w14:val="tx1"/>
            </w14:solidFill>
          </w14:textFill>
        </w:rPr>
        <w:t>外出驾车出差</w:t>
      </w:r>
      <w:r>
        <w:rPr>
          <w:rFonts w:hint="eastAsia" w:ascii="仿宋_GB2312" w:eastAsia="仿宋_GB2312"/>
          <w:color w:val="000000" w:themeColor="text1"/>
          <w:sz w:val="32"/>
          <w:szCs w:val="32"/>
          <w:highlight w:val="none"/>
          <w:lang w:val="en-US" w:eastAsia="zh-CN"/>
          <w14:textFill>
            <w14:solidFill>
              <w14:schemeClr w14:val="tx1"/>
            </w14:solidFill>
          </w14:textFill>
        </w:rPr>
        <w:t>次数较上年恢复正常</w:t>
      </w:r>
      <w:r>
        <w:rPr>
          <w:rFonts w:hint="eastAsia" w:ascii="仿宋_GB2312" w:eastAsia="仿宋_GB2312"/>
          <w:color w:val="000000" w:themeColor="text1"/>
          <w:sz w:val="32"/>
          <w:szCs w:val="32"/>
          <w:highlight w:val="none"/>
          <w:lang w:val="zh-CN" w:eastAsia="zh-CN"/>
          <w14:textFill>
            <w14:solidFill>
              <w14:schemeClr w14:val="tx1"/>
            </w14:solidFill>
          </w14:textFill>
        </w:rPr>
        <w:t>，导致公务用车运行维护费增加。其中：</w:t>
      </w:r>
      <w:r>
        <w:rPr>
          <w:rFonts w:hint="eastAsia" w:ascii="仿宋_GB2312" w:eastAsia="仿宋_GB2312"/>
          <w:color w:val="000000"/>
          <w:sz w:val="32"/>
          <w:szCs w:val="32"/>
          <w:highlight w:val="none"/>
          <w:lang w:val="zh-CN" w:eastAsia="zh-CN"/>
        </w:rPr>
        <w:t>因公出国（境）费支出0.0</w:t>
      </w:r>
      <w:r>
        <w:rPr>
          <w:rFonts w:hint="eastAsia" w:ascii="仿宋_GB2312" w:eastAsia="仿宋_GB2312"/>
          <w:color w:val="auto"/>
          <w:sz w:val="32"/>
          <w:szCs w:val="32"/>
          <w:highlight w:val="none"/>
          <w:lang w:val="zh-CN" w:eastAsia="zh-CN"/>
        </w:rPr>
        <w:t>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我单位无因公出国（境）费支出</w:t>
      </w:r>
      <w:r>
        <w:rPr>
          <w:rFonts w:hint="eastAsia" w:ascii="仿宋_GB2312" w:eastAsia="仿宋_GB2312"/>
          <w:color w:val="auto"/>
          <w:sz w:val="32"/>
          <w:szCs w:val="32"/>
          <w:highlight w:val="none"/>
          <w:lang w:val="zh-CN" w:eastAsia="zh-CN"/>
        </w:rPr>
        <w:t>；</w:t>
      </w:r>
      <w:r>
        <w:rPr>
          <w:rFonts w:hint="eastAsia" w:ascii="仿宋_GB2312" w:eastAsia="仿宋_GB2312"/>
          <w:color w:val="000000" w:themeColor="text1"/>
          <w:sz w:val="32"/>
          <w:szCs w:val="32"/>
          <w:highlight w:val="none"/>
          <w:lang w:val="zh-CN" w:eastAsia="zh-CN"/>
          <w14:textFill>
            <w14:solidFill>
              <w14:schemeClr w14:val="tx1"/>
            </w14:solidFill>
          </w14:textFill>
        </w:rPr>
        <w:t>公务用车购置及运行维护费支出20.05万元，占92.61%，比上年增加0.27万元，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增长1.37%,</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2022年因疫情原因职工</w:t>
      </w:r>
      <w:r>
        <w:rPr>
          <w:rFonts w:hint="eastAsia" w:ascii="仿宋_GB2312" w:eastAsia="仿宋_GB2312"/>
          <w:color w:val="000000" w:themeColor="text1"/>
          <w:sz w:val="32"/>
          <w:szCs w:val="32"/>
          <w:highlight w:val="none"/>
          <w:lang w:val="zh-CN" w:eastAsia="zh-CN"/>
          <w14:textFill>
            <w14:solidFill>
              <w14:schemeClr w14:val="tx1"/>
            </w14:solidFill>
          </w14:textFill>
        </w:rPr>
        <w:t>外出驾车出差</w:t>
      </w:r>
      <w:r>
        <w:rPr>
          <w:rFonts w:hint="eastAsia" w:ascii="仿宋_GB2312" w:eastAsia="仿宋_GB2312"/>
          <w:color w:val="000000" w:themeColor="text1"/>
          <w:sz w:val="32"/>
          <w:szCs w:val="32"/>
          <w:highlight w:val="none"/>
          <w:lang w:val="en-US" w:eastAsia="zh-CN"/>
          <w14:textFill>
            <w14:solidFill>
              <w14:schemeClr w14:val="tx1"/>
            </w14:solidFill>
          </w14:textFill>
        </w:rPr>
        <w:t>较少，2023</w:t>
      </w:r>
      <w:r>
        <w:rPr>
          <w:rFonts w:hint="eastAsia" w:ascii="仿宋_GB2312" w:eastAsia="仿宋_GB2312"/>
          <w:color w:val="000000" w:themeColor="text1"/>
          <w:sz w:val="32"/>
          <w:szCs w:val="32"/>
          <w:highlight w:val="none"/>
          <w:lang w:val="zh-CN" w:eastAsia="zh-CN"/>
          <w14:textFill>
            <w14:solidFill>
              <w14:schemeClr w14:val="tx1"/>
            </w14:solidFill>
          </w14:textFill>
        </w:rPr>
        <w:t>年</w:t>
      </w:r>
      <w:r>
        <w:rPr>
          <w:rFonts w:hint="eastAsia" w:ascii="仿宋_GB2312" w:eastAsia="仿宋_GB2312"/>
          <w:color w:val="000000" w:themeColor="text1"/>
          <w:sz w:val="32"/>
          <w:szCs w:val="32"/>
          <w:highlight w:val="none"/>
          <w:lang w:val="en-US" w:eastAsia="zh-CN"/>
          <w14:textFill>
            <w14:solidFill>
              <w14:schemeClr w14:val="tx1"/>
            </w14:solidFill>
          </w14:textFill>
        </w:rPr>
        <w:t>职工</w:t>
      </w:r>
      <w:r>
        <w:rPr>
          <w:rFonts w:hint="eastAsia" w:ascii="仿宋_GB2312" w:eastAsia="仿宋_GB2312"/>
          <w:color w:val="000000" w:themeColor="text1"/>
          <w:sz w:val="32"/>
          <w:szCs w:val="32"/>
          <w:highlight w:val="none"/>
          <w:lang w:val="zh-CN" w:eastAsia="zh-CN"/>
          <w14:textFill>
            <w14:solidFill>
              <w14:schemeClr w14:val="tx1"/>
            </w14:solidFill>
          </w14:textFill>
        </w:rPr>
        <w:t>外出驾车出差</w:t>
      </w:r>
      <w:r>
        <w:rPr>
          <w:rFonts w:hint="eastAsia" w:ascii="仿宋_GB2312" w:eastAsia="仿宋_GB2312"/>
          <w:color w:val="000000" w:themeColor="text1"/>
          <w:sz w:val="32"/>
          <w:szCs w:val="32"/>
          <w:highlight w:val="none"/>
          <w:lang w:val="en-US" w:eastAsia="zh-CN"/>
          <w14:textFill>
            <w14:solidFill>
              <w14:schemeClr w14:val="tx1"/>
            </w14:solidFill>
          </w14:textFill>
        </w:rPr>
        <w:t>次数较上年恢复正常</w:t>
      </w:r>
      <w:r>
        <w:rPr>
          <w:rFonts w:hint="eastAsia" w:ascii="仿宋_GB2312" w:eastAsia="仿宋_GB2312"/>
          <w:color w:val="000000" w:themeColor="text1"/>
          <w:sz w:val="32"/>
          <w:szCs w:val="32"/>
          <w:highlight w:val="none"/>
          <w:lang w:val="zh-CN" w:eastAsia="zh-CN"/>
          <w14:textFill>
            <w14:solidFill>
              <w14:schemeClr w14:val="tx1"/>
            </w14:solidFill>
          </w14:textFill>
        </w:rPr>
        <w:t>，导致公务用车运行维护费增加；公务接待费支出1.60万元，占7.39%，比上年增加0.18万元，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增长12.68%,</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主要原因是：本年按进度、按计划支付水利管理站所欠</w:t>
      </w:r>
      <w:r>
        <w:rPr>
          <w:rFonts w:hint="eastAsia" w:ascii="仿宋_GB2312" w:eastAsia="仿宋_GB2312"/>
          <w:color w:val="000000" w:themeColor="text1"/>
          <w:sz w:val="32"/>
          <w:szCs w:val="32"/>
          <w:highlight w:val="none"/>
          <w:lang w:val="en-US" w:eastAsia="zh-CN"/>
          <w14:textFill>
            <w14:solidFill>
              <w14:schemeClr w14:val="tx1"/>
            </w14:solidFill>
          </w14:textFill>
        </w:rPr>
        <w:t>以前年度</w:t>
      </w:r>
      <w:r>
        <w:rPr>
          <w:rFonts w:hint="eastAsia" w:ascii="仿宋_GB2312" w:eastAsia="仿宋_GB2312"/>
          <w:color w:val="000000" w:themeColor="text1"/>
          <w:sz w:val="32"/>
          <w:szCs w:val="32"/>
          <w:highlight w:val="none"/>
          <w:lang w:val="zh-CN" w:eastAsia="zh-CN"/>
          <w14:textFill>
            <w14:solidFill>
              <w14:schemeClr w14:val="tx1"/>
            </w14:solidFill>
          </w14:textFill>
        </w:rPr>
        <w:t>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sz w:val="32"/>
          <w:szCs w:val="32"/>
          <w:highlight w:val="none"/>
          <w:lang w:val="zh-CN" w:eastAsia="zh-CN"/>
        </w:rPr>
        <w:t>因公出国（境）费支出0.00万元，开支内容包括</w:t>
      </w:r>
      <w:r>
        <w:rPr>
          <w:rFonts w:hint="eastAsia" w:ascii="仿宋_GB2312" w:eastAsia="仿宋_GB2312"/>
          <w:color w:val="000000"/>
          <w:sz w:val="32"/>
          <w:szCs w:val="32"/>
          <w:highlight w:val="none"/>
          <w:lang w:val="en-US" w:eastAsia="zh-CN"/>
        </w:rPr>
        <w:t>无相关开支</w:t>
      </w:r>
      <w:r>
        <w:rPr>
          <w:rFonts w:hint="eastAsia" w:ascii="仿宋_GB2312" w:eastAsia="仿宋_GB2312"/>
          <w:color w:val="000000"/>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公务用车购置及运行维护费20.05万元，其中：公务用车运行维护费20.05万元。公务用车运行维护费开支内容包括</w:t>
      </w:r>
      <w:r>
        <w:rPr>
          <w:rFonts w:hint="eastAsia" w:ascii="仿宋_GB2312" w:eastAsia="仿宋_GB2312"/>
          <w:color w:val="000000" w:themeColor="text1"/>
          <w:sz w:val="32"/>
          <w:szCs w:val="32"/>
          <w:highlight w:val="none"/>
          <w:lang w:val="en-US" w:eastAsia="zh-CN"/>
          <w14:textFill>
            <w14:solidFill>
              <w14:schemeClr w14:val="tx1"/>
            </w14:solidFill>
          </w14:textFill>
        </w:rPr>
        <w:t>车辆保险费，车辆维修费，车辆油料费</w:t>
      </w:r>
      <w:r>
        <w:rPr>
          <w:rFonts w:hint="eastAsia" w:ascii="仿宋_GB2312" w:eastAsia="仿宋_GB2312"/>
          <w:color w:val="000000" w:themeColor="text1"/>
          <w:sz w:val="32"/>
          <w:szCs w:val="32"/>
          <w:highlight w:val="none"/>
          <w:lang w:val="zh-CN" w:eastAsia="zh-CN"/>
          <w14:textFill>
            <w14:solidFill>
              <w14:schemeClr w14:val="tx1"/>
            </w14:solidFill>
          </w14:textFill>
        </w:rPr>
        <w:t>。公务用车购置数0辆，公务用车保有量35辆。国有资产占用情况</w:t>
      </w:r>
      <w:r>
        <w:rPr>
          <w:rFonts w:hint="eastAsia" w:ascii="仿宋_GB2312" w:eastAsia="仿宋_GB2312"/>
          <w:color w:val="000000" w:themeColor="text1"/>
          <w:sz w:val="32"/>
          <w:szCs w:val="32"/>
          <w:highlight w:val="none"/>
          <w:lang w:val="en-US" w:eastAsia="zh-CN"/>
          <w14:textFill>
            <w14:solidFill>
              <w14:schemeClr w14:val="tx1"/>
            </w14:solidFill>
          </w14:textFill>
        </w:rPr>
        <w:t>中固定资产车辆</w:t>
      </w:r>
      <w:r>
        <w:rPr>
          <w:rFonts w:hint="eastAsia" w:ascii="仿宋_GB2312" w:eastAsia="仿宋_GB2312"/>
          <w:color w:val="000000" w:themeColor="text1"/>
          <w:sz w:val="32"/>
          <w:szCs w:val="32"/>
          <w:highlight w:val="none"/>
          <w:lang w:val="zh-CN" w:eastAsia="zh-CN"/>
          <w14:textFill>
            <w14:solidFill>
              <w14:schemeClr w14:val="tx1"/>
            </w14:solidFill>
          </w14:textFill>
        </w:rPr>
        <w:t>32辆，</w:t>
      </w:r>
      <w:r>
        <w:rPr>
          <w:rFonts w:hint="eastAsia" w:ascii="仿宋_GB2312" w:eastAsia="仿宋_GB2312"/>
          <w:color w:val="000000" w:themeColor="text1"/>
          <w:sz w:val="32"/>
          <w:szCs w:val="32"/>
          <w:highlight w:val="none"/>
          <w:lang w:val="en-US" w:eastAsia="zh-CN"/>
          <w14:textFill>
            <w14:solidFill>
              <w14:schemeClr w14:val="tx1"/>
            </w14:solidFill>
          </w14:textFill>
        </w:rPr>
        <w:t>与</w:t>
      </w:r>
      <w:r>
        <w:rPr>
          <w:rFonts w:hint="eastAsia" w:ascii="仿宋_GB2312" w:eastAsia="仿宋_GB2312"/>
          <w:color w:val="000000" w:themeColor="text1"/>
          <w:sz w:val="32"/>
          <w:szCs w:val="32"/>
          <w:highlight w:val="none"/>
          <w:lang w:val="zh-CN" w:eastAsia="zh-CN"/>
          <w14:textFill>
            <w14:solidFill>
              <w14:schemeClr w14:val="tx1"/>
            </w14:solidFill>
          </w14:textFill>
        </w:rPr>
        <w:t>公务用车</w:t>
      </w:r>
      <w:r>
        <w:rPr>
          <w:rFonts w:hint="eastAsia" w:ascii="仿宋_GB2312" w:eastAsia="仿宋_GB2312"/>
          <w:color w:val="000000" w:themeColor="text1"/>
          <w:sz w:val="32"/>
          <w:szCs w:val="32"/>
          <w:highlight w:val="none"/>
          <w:lang w:val="en-US" w:eastAsia="zh-CN"/>
          <w14:textFill>
            <w14:solidFill>
              <w14:schemeClr w14:val="tx1"/>
            </w14:solidFill>
          </w14:textFill>
        </w:rPr>
        <w:t>保有量差异</w:t>
      </w:r>
      <w:r>
        <w:rPr>
          <w:rFonts w:hint="eastAsia" w:ascii="仿宋_GB2312" w:eastAsia="仿宋_GB2312"/>
          <w:color w:val="000000" w:themeColor="text1"/>
          <w:sz w:val="32"/>
          <w:szCs w:val="32"/>
          <w:highlight w:val="none"/>
          <w:lang w:val="zh-CN" w:eastAsia="zh-CN"/>
          <w14:textFill>
            <w14:solidFill>
              <w14:schemeClr w14:val="tx1"/>
            </w14:solidFill>
          </w14:textFill>
        </w:rPr>
        <w:t>原因是：</w:t>
      </w:r>
      <w:r>
        <w:rPr>
          <w:rFonts w:hint="eastAsia" w:ascii="仿宋_GB2312" w:eastAsia="仿宋_GB2312"/>
          <w:color w:val="000000" w:themeColor="text1"/>
          <w:sz w:val="32"/>
          <w:szCs w:val="32"/>
          <w:highlight w:val="none"/>
          <w:lang w:val="en-US" w:eastAsia="zh-CN"/>
          <w14:textFill>
            <w14:solidFill>
              <w14:schemeClr w14:val="tx1"/>
            </w14:solidFill>
          </w14:textFill>
        </w:rPr>
        <w:t>我单位有3辆借调车辆</w:t>
      </w:r>
      <w:r>
        <w:rPr>
          <w:rFonts w:hint="eastAsia" w:ascii="仿宋_GB2312" w:eastAsia="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公务接待费1.60万元，开支内容包括为</w:t>
      </w:r>
      <w:r>
        <w:rPr>
          <w:rFonts w:hint="eastAsia" w:ascii="仿宋_GB2312" w:eastAsia="仿宋_GB2312"/>
          <w:color w:val="000000" w:themeColor="text1"/>
          <w:sz w:val="32"/>
          <w:szCs w:val="32"/>
          <w:highlight w:val="none"/>
          <w:lang w:val="en-US" w:eastAsia="zh-CN"/>
          <w14:textFill>
            <w14:solidFill>
              <w14:schemeClr w14:val="tx1"/>
            </w14:solidFill>
          </w14:textFill>
        </w:rPr>
        <w:t>其他单位</w:t>
      </w:r>
      <w:r>
        <w:rPr>
          <w:rFonts w:hint="eastAsia" w:ascii="仿宋_GB2312" w:eastAsia="仿宋_GB2312"/>
          <w:color w:val="000000" w:themeColor="text1"/>
          <w:sz w:val="32"/>
          <w:szCs w:val="32"/>
          <w:highlight w:val="none"/>
          <w:lang w:val="zh-CN" w:eastAsia="zh-CN"/>
          <w14:textFill>
            <w14:solidFill>
              <w14:schemeClr w14:val="tx1"/>
            </w14:solidFill>
          </w14:textFill>
        </w:rPr>
        <w:t>来我单位观摩学习、</w:t>
      </w:r>
      <w:r>
        <w:rPr>
          <w:rFonts w:hint="eastAsia" w:ascii="仿宋_GB2312" w:eastAsia="仿宋_GB2312"/>
          <w:color w:val="000000" w:themeColor="text1"/>
          <w:sz w:val="32"/>
          <w:szCs w:val="32"/>
          <w:highlight w:val="none"/>
          <w:lang w:val="en-US" w:eastAsia="zh-CN"/>
          <w14:textFill>
            <w14:solidFill>
              <w14:schemeClr w14:val="tx1"/>
            </w14:solidFill>
          </w14:textFill>
        </w:rPr>
        <w:t>上级单位</w:t>
      </w:r>
      <w:r>
        <w:rPr>
          <w:rFonts w:hint="eastAsia" w:ascii="仿宋_GB2312" w:eastAsia="仿宋_GB2312"/>
          <w:color w:val="000000" w:themeColor="text1"/>
          <w:sz w:val="32"/>
          <w:szCs w:val="32"/>
          <w:highlight w:val="none"/>
          <w:lang w:val="zh-CN" w:eastAsia="zh-CN"/>
          <w14:textFill>
            <w14:solidFill>
              <w14:schemeClr w14:val="tx1"/>
            </w14:solidFill>
          </w14:textFill>
        </w:rPr>
        <w:t>对我市水利工程进行调研指导、节水型社会达标迎检、对农村水电进行检查、地区安全生产检查等。单位全年安排的国内公务接待28批次，266人次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FF0000"/>
          <w:sz w:val="32"/>
          <w:szCs w:val="32"/>
          <w:highlight w:val="none"/>
          <w:lang w:val="zh-CN" w:eastAsia="zh-CN"/>
        </w:rPr>
      </w:pPr>
      <w:r>
        <w:rPr>
          <w:rFonts w:hint="eastAsia" w:ascii="仿宋_GB2312" w:eastAsia="仿宋_GB2312"/>
          <w:color w:val="000000" w:themeColor="text1"/>
          <w:sz w:val="32"/>
          <w:szCs w:val="32"/>
          <w:highlight w:val="none"/>
          <w:lang w:val="zh-CN" w:eastAsia="zh-CN"/>
          <w14:textFill>
            <w14:solidFill>
              <w14:schemeClr w14:val="tx1"/>
            </w14:solidFill>
          </w14:textFill>
        </w:rPr>
        <w:t>与</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预算相比</w:t>
      </w:r>
      <w:r>
        <w:rPr>
          <w:rFonts w:hint="eastAsia" w:ascii="仿宋_GB2312" w:eastAsia="仿宋_GB2312"/>
          <w:color w:val="000000" w:themeColor="text1"/>
          <w:sz w:val="32"/>
          <w:szCs w:val="32"/>
          <w:highlight w:val="none"/>
          <w:lang w:val="en-US" w:eastAsia="zh-CN"/>
          <w14:textFill>
            <w14:solidFill>
              <w14:schemeClr w14:val="tx1"/>
            </w14:solidFill>
          </w14:textFill>
        </w:rPr>
        <w:t>,</w:t>
      </w:r>
      <w:r>
        <w:rPr>
          <w:rFonts w:hint="eastAsia" w:ascii="仿宋_GB2312" w:eastAsia="仿宋_GB2312"/>
          <w:color w:val="000000" w:themeColor="text1"/>
          <w:sz w:val="32"/>
          <w:szCs w:val="32"/>
          <w:highlight w:val="none"/>
          <w:lang w:val="zh-CN" w:eastAsia="zh-CN"/>
          <w14:textFill>
            <w14:solidFill>
              <w14:schemeClr w14:val="tx1"/>
            </w14:solidFill>
          </w14:textFill>
        </w:rPr>
        <w:t>财政拨款“三公”经费支出</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预算数21.65万元，决算数21.65万元，预决算差异率0.00%。其中：因公出国（境）费</w:t>
      </w:r>
      <w:r>
        <w:rPr>
          <w:rFonts w:hint="eastAsia" w:ascii="仿宋_GB2312" w:eastAsia="仿宋_GB2312"/>
          <w:color w:val="000000" w:themeColor="text1"/>
          <w:sz w:val="32"/>
          <w:szCs w:val="32"/>
          <w:highlight w:val="none"/>
          <w:lang w:val="en-US" w:eastAsia="zh-CN"/>
          <w14:textFill>
            <w14:solidFill>
              <w14:schemeClr w14:val="tx1"/>
            </w14:solidFill>
          </w14:textFill>
        </w:rPr>
        <w:t>全年预算数</w:t>
      </w:r>
      <w:r>
        <w:rPr>
          <w:rFonts w:hint="eastAsia" w:ascii="仿宋_GB2312" w:eastAsia="仿宋_GB2312"/>
          <w:color w:val="000000" w:themeColor="text1"/>
          <w:sz w:val="32"/>
          <w:szCs w:val="32"/>
          <w:highlight w:val="none"/>
          <w:lang w:val="zh-CN" w:eastAsia="zh-CN"/>
          <w14:textFill>
            <w14:solidFill>
              <w14:schemeClr w14:val="tx1"/>
            </w14:solidFill>
          </w14:textFill>
        </w:rPr>
        <w:t>0.00万元，决算数0.00万元，预决算差异率0.00%，主要原因是：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全年预决算无差异</w:t>
      </w:r>
      <w:r>
        <w:rPr>
          <w:rFonts w:hint="eastAsia" w:ascii="仿宋_GB2312" w:eastAsia="仿宋_GB2312"/>
          <w:color w:val="000000" w:themeColor="text1"/>
          <w:sz w:val="32"/>
          <w:szCs w:val="32"/>
          <w:highlight w:val="none"/>
          <w:lang w:val="zh-CN" w:eastAsia="zh-CN"/>
          <w14:textFill>
            <w14:solidFill>
              <w14:schemeClr w14:val="tx1"/>
            </w14:solidFill>
          </w14:textFill>
        </w:rPr>
        <w:t>；公务用车购置费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预算数0.00万元，决算数0.00万元，预决算差异率0.00%，主要原因是：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全年预决算无差异</w:t>
      </w:r>
      <w:r>
        <w:rPr>
          <w:rFonts w:hint="eastAsia" w:ascii="仿宋_GB2312" w:eastAsia="仿宋_GB2312"/>
          <w:color w:val="000000" w:themeColor="text1"/>
          <w:sz w:val="32"/>
          <w:szCs w:val="32"/>
          <w:highlight w:val="none"/>
          <w:lang w:val="zh-CN" w:eastAsia="zh-CN"/>
          <w14:textFill>
            <w14:solidFill>
              <w14:schemeClr w14:val="tx1"/>
            </w14:solidFill>
          </w14:textFill>
        </w:rPr>
        <w:t>；公务用车运行费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预算数20.05万元，决算数20.05万元，预决算差异率0.00%，主要原因是：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全年预决算无差异</w:t>
      </w:r>
      <w:r>
        <w:rPr>
          <w:rFonts w:hint="eastAsia" w:ascii="仿宋_GB2312" w:eastAsia="仿宋_GB2312"/>
          <w:color w:val="000000" w:themeColor="text1"/>
          <w:sz w:val="32"/>
          <w:szCs w:val="32"/>
          <w:highlight w:val="none"/>
          <w:lang w:val="zh-CN" w:eastAsia="zh-CN"/>
          <w14:textFill>
            <w14:solidFill>
              <w14:schemeClr w14:val="tx1"/>
            </w14:solidFill>
          </w14:textFill>
        </w:rPr>
        <w:t>；公务接待费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预算数1.60万元，决算数1.60万元，预决算差异率0.00%，主要原因是：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全年预决算无差异</w:t>
      </w:r>
      <w:r>
        <w:rPr>
          <w:rFonts w:hint="eastAsia" w:ascii="仿宋_GB2312" w:eastAsia="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8" w:name="_Toc7927"/>
      <w:bookmarkStart w:id="19" w:name="_Toc5810"/>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八</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我</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hint="eastAsia" w:ascii="仿宋_GB2312" w:eastAsia="仿宋_GB2312"/>
          <w:color w:val="000000" w:themeColor="text1"/>
          <w:sz w:val="32"/>
          <w:szCs w:val="32"/>
          <w:highlight w:val="none"/>
          <w:lang w:eastAsia="zh-CN"/>
          <w14:textFill>
            <w14:solidFill>
              <w14:schemeClr w14:val="tx1"/>
            </w14:solidFill>
          </w14:textFill>
        </w:rPr>
        <w:t>本年度无政府性基金预算财政拨款收入、支出</w:t>
      </w:r>
      <w:r>
        <w:rPr>
          <w:rFonts w:hint="eastAsia" w:ascii="仿宋_GB2312" w:eastAsia="仿宋_GB2312"/>
          <w:color w:val="000000" w:themeColor="text1"/>
          <w:sz w:val="32"/>
          <w:szCs w:val="32"/>
          <w:highlight w:val="none"/>
          <w:lang w:val="en-US" w:eastAsia="zh-CN"/>
          <w14:textFill>
            <w14:solidFill>
              <w14:schemeClr w14:val="tx1"/>
            </w14:solidFill>
          </w14:textFill>
        </w:rPr>
        <w:t>及结转和结余</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九</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我</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hint="eastAsia" w:ascii="仿宋_GB2312" w:eastAsia="仿宋_GB2312"/>
          <w:color w:val="000000" w:themeColor="text1"/>
          <w:sz w:val="32"/>
          <w:szCs w:val="32"/>
          <w:highlight w:val="none"/>
          <w:lang w:eastAsia="zh-CN"/>
          <w14:textFill>
            <w14:solidFill>
              <w14:schemeClr w14:val="tx1"/>
            </w14:solidFill>
          </w14:textFill>
        </w:rPr>
        <w:t>本年度无国有资本经营预算财政拨款收入、支出</w:t>
      </w:r>
      <w:r>
        <w:rPr>
          <w:rFonts w:hint="eastAsia" w:ascii="仿宋_GB2312" w:eastAsia="仿宋_GB2312"/>
          <w:color w:val="000000" w:themeColor="text1"/>
          <w:sz w:val="32"/>
          <w:szCs w:val="32"/>
          <w:highlight w:val="none"/>
          <w:lang w:val="en-US" w:eastAsia="zh-CN"/>
          <w14:textFill>
            <w14:solidFill>
              <w14:schemeClr w14:val="tx1"/>
            </w14:solidFill>
          </w14:textFill>
        </w:rPr>
        <w:t>及结转和结余</w:t>
      </w:r>
      <w:r>
        <w:rPr>
          <w:rFonts w:hint="eastAsia" w:ascii="仿宋_GB2312" w:eastAsia="仿宋_GB2312"/>
          <w:color w:val="000000" w:themeColor="text1"/>
          <w:sz w:val="32"/>
          <w:szCs w:val="32"/>
          <w:highlight w:val="none"/>
          <w:lang w:eastAsia="zh-CN"/>
          <w14:textFill>
            <w14:solidFill>
              <w14:schemeClr w14:val="tx1"/>
            </w14:solidFill>
          </w14:textFill>
        </w:rPr>
        <w:t>，国有资本经营</w:t>
      </w:r>
      <w:r>
        <w:rPr>
          <w:rFonts w:hint="eastAsia" w:ascii="仿宋_GB2312" w:eastAsia="仿宋_GB2312"/>
          <w:color w:val="000000" w:themeColor="text1"/>
          <w:sz w:val="32"/>
          <w:szCs w:val="32"/>
          <w:highlight w:val="none"/>
          <w14:textFill>
            <w14:solidFill>
              <w14:schemeClr w14:val="tx1"/>
            </w14:solidFill>
          </w14:textFill>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20" w:name="_Toc7314"/>
      <w:bookmarkStart w:id="21" w:name="_Toc1235"/>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14:textFill>
            <w14:solidFill>
              <w14:schemeClr w14:val="tx1"/>
            </w14:solidFill>
          </w14:textFill>
        </w:rPr>
        <w:t>、其他重要事项的情况</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000000" w:themeColor="text1"/>
          <w:sz w:val="32"/>
          <w:szCs w:val="32"/>
          <w:highlight w:val="none"/>
          <w14:textFill>
            <w14:solidFill>
              <w14:schemeClr w14:val="tx1"/>
            </w14:solidFill>
          </w14:textFill>
        </w:rPr>
      </w:pPr>
      <w:bookmarkStart w:id="22" w:name="_Toc14519"/>
      <w:bookmarkStart w:id="23" w:name="_Toc13105"/>
      <w:r>
        <w:rPr>
          <w:rFonts w:hint="eastAsia" w:ascii="黑体" w:hAnsi="黑体" w:eastAsia="黑体"/>
          <w:color w:val="000000" w:themeColor="text1"/>
          <w:sz w:val="32"/>
          <w:szCs w:val="32"/>
          <w:highlight w:val="none"/>
          <w:lang w:eastAsia="zh-CN"/>
          <w14:textFill>
            <w14:solidFill>
              <w14:schemeClr w14:val="tx1"/>
            </w14:solidFill>
          </w14:textFill>
        </w:rPr>
        <w:t>（一）</w:t>
      </w:r>
      <w:r>
        <w:rPr>
          <w:rFonts w:hint="eastAsia" w:ascii="黑体" w:hAnsi="黑体" w:eastAsia="黑体"/>
          <w:color w:val="000000" w:themeColor="text1"/>
          <w:sz w:val="32"/>
          <w:szCs w:val="32"/>
          <w:highlight w:val="none"/>
          <w14:textFill>
            <w14:solidFill>
              <w14:schemeClr w14:val="tx1"/>
            </w14:solidFill>
          </w14:textFill>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24" w:name="_Toc26704"/>
      <w:bookmarkStart w:id="25" w:name="_Toc227"/>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沙湾市水利管理站（事业单位）公用经费支出92.32万元，</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比上年减少4.62万元，下降4.77%，主要原因是：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按中央八项规定要求缩减公用经费支出</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黑体" w:cs="Times New Roman"/>
          <w:color w:val="000000" w:themeColor="text1"/>
          <w:sz w:val="32"/>
          <w:szCs w:val="30"/>
          <w:highlight w:val="none"/>
          <w:lang w:val="zh-CN" w:eastAsia="zh-CN"/>
          <w14:textFill>
            <w14:solidFill>
              <w14:schemeClr w14:val="tx1"/>
            </w14:solidFill>
          </w14:textFill>
        </w:rPr>
      </w:pPr>
      <w:r>
        <w:rPr>
          <w:rFonts w:hint="eastAsia" w:ascii="Times New Roman" w:hAnsi="Times New Roman" w:eastAsia="黑体" w:cs="Times New Roman"/>
          <w:color w:val="000000" w:themeColor="text1"/>
          <w:sz w:val="32"/>
          <w:szCs w:val="30"/>
          <w:highlight w:val="none"/>
          <w:lang w:val="zh-CN" w:eastAsia="zh-CN"/>
          <w14:textFill>
            <w14:solidFill>
              <w14:schemeClr w14:val="tx1"/>
            </w14:solidFill>
          </w14:textFill>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政府采购支出总额</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707.38万元</w:t>
      </w:r>
      <w:r>
        <w:rPr>
          <w:rFonts w:hint="eastAsia" w:ascii="仿宋_GB2312" w:hAnsi="仿宋_GB2312" w:eastAsia="仿宋_GB2312" w:cs="仿宋_GB2312"/>
          <w:color w:val="000000" w:themeColor="text1"/>
          <w:sz w:val="32"/>
          <w:szCs w:val="32"/>
          <w:highlight w:val="none"/>
          <w:lang w:val="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其中：政府采购货物支出148.24万元、政府采购工程支出236.44万元、政府采购服务支出322.70万元。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授予中小企业合同金额707.38万元，占政府采购支出总额的100.00%，其中：授予小微企业合同金额707.38万元，占政府采购支出总额的100.00%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000000" w:themeColor="text1"/>
          <w:sz w:val="32"/>
          <w:szCs w:val="30"/>
          <w:highlight w:val="none"/>
          <w:lang w:val="zh-CN" w:eastAsia="zh-CN"/>
          <w14:textFill>
            <w14:solidFill>
              <w14:schemeClr w14:val="tx1"/>
            </w14:solidFill>
          </w14:textFill>
        </w:rPr>
      </w:pPr>
      <w:bookmarkStart w:id="26" w:name="_Toc8391"/>
      <w:bookmarkStart w:id="27" w:name="_Toc4591"/>
      <w:r>
        <w:rPr>
          <w:rFonts w:hint="eastAsia" w:ascii="仿宋_GB2312" w:hAnsi="仿宋_GB2312" w:eastAsia="仿宋_GB2312" w:cs="仿宋_GB2312"/>
          <w:color w:val="000000" w:themeColor="text1"/>
          <w:sz w:val="32"/>
          <w:szCs w:val="30"/>
          <w:highlight w:val="none"/>
          <w:lang w:val="zh-CN" w:eastAsia="zh-CN"/>
          <w14:textFill>
            <w14:solidFill>
              <w14:schemeClr w14:val="tx1"/>
            </w14:solidFill>
          </w14:textFill>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截至2023</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年</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12月31日</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固定资产原值</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8,064.70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万元，房</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屋36983.73平方米，价值2568.60万元。车辆32辆，价值373.49万元，其中：副部（省）级及以上领导用车0辆、主要</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负责人</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用车0辆、机要通信用车0辆、应急保障用车0辆、执法执勤用车0辆、特种专业技术用车0辆、离退休干部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用车0辆、其他用车32辆，其他用车主要是：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单位业务用车</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；单价100万元（含）以上设备（不含车辆）3</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台（</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28" w:name="_Toc11283"/>
      <w:bookmarkStart w:id="29" w:name="_Toc435"/>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一</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根据预算绩效管理要求，我</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hint="eastAsia" w:ascii="仿宋_GB2312" w:eastAsia="仿宋_GB2312"/>
          <w:color w:val="000000" w:themeColor="text1"/>
          <w:sz w:val="32"/>
          <w:szCs w:val="32"/>
          <w:highlight w:val="none"/>
          <w:lang w:eastAsia="zh-CN"/>
          <w14:textFill>
            <w14:solidFill>
              <w14:schemeClr w14:val="tx1"/>
            </w14:solidFill>
          </w14:textFill>
        </w:rPr>
        <w:t>2023年度</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预算绩效管理整体</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绩效自评表</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张，全年</w:t>
      </w:r>
      <w:r>
        <w:rPr>
          <w:rFonts w:hint="eastAsia" w:ascii="仿宋_GB2312" w:eastAsia="仿宋_GB2312"/>
          <w:color w:val="000000" w:themeColor="text1"/>
          <w:sz w:val="32"/>
          <w:szCs w:val="32"/>
          <w:highlight w:val="none"/>
          <w:lang w:val="en-US" w:eastAsia="zh-CN"/>
          <w14:textFill>
            <w14:solidFill>
              <w14:schemeClr w14:val="tx1"/>
            </w14:solidFill>
          </w14:textFill>
        </w:rPr>
        <w:t>预算总额</w:t>
      </w:r>
      <w:r>
        <w:rPr>
          <w:rFonts w:hint="eastAsia" w:ascii="仿宋_GB2312" w:eastAsia="仿宋_GB2312"/>
          <w:color w:val="000000" w:themeColor="text1"/>
          <w:sz w:val="32"/>
          <w:szCs w:val="32"/>
          <w:highlight w:val="none"/>
          <w:lang w:eastAsia="zh-CN"/>
          <w14:textFill>
            <w14:solidFill>
              <w14:schemeClr w14:val="tx1"/>
            </w14:solidFill>
          </w14:textFill>
        </w:rPr>
        <w:t>6287.76</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实际执行总额</w:t>
      </w:r>
      <w:r>
        <w:rPr>
          <w:rFonts w:hint="eastAsia" w:ascii="仿宋_GB2312" w:eastAsia="仿宋_GB2312"/>
          <w:color w:val="000000" w:themeColor="text1"/>
          <w:sz w:val="32"/>
          <w:szCs w:val="32"/>
          <w:highlight w:val="none"/>
          <w:lang w:eastAsia="zh-CN"/>
          <w14:textFill>
            <w14:solidFill>
              <w14:schemeClr w14:val="tx1"/>
            </w14:solidFill>
          </w14:textFill>
        </w:rPr>
        <w:t>8717.09</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预算绩效评价项目</w:t>
      </w:r>
      <w:r>
        <w:rPr>
          <w:rFonts w:hint="eastAsia" w:ascii="仿宋_GB2312" w:eastAsia="仿宋_GB2312"/>
          <w:color w:val="000000" w:themeColor="text1"/>
          <w:sz w:val="32"/>
          <w:szCs w:val="32"/>
          <w:highlight w:val="none"/>
          <w:lang w:val="en-US" w:eastAsia="zh-CN"/>
          <w14:textFill>
            <w14:solidFill>
              <w14:schemeClr w14:val="tx1"/>
            </w14:solidFill>
          </w14:textFill>
        </w:rPr>
        <w:t>14</w:t>
      </w:r>
      <w:r>
        <w:rPr>
          <w:rFonts w:hint="eastAsia" w:ascii="仿宋_GB2312" w:eastAsia="仿宋_GB2312"/>
          <w:color w:val="000000" w:themeColor="text1"/>
          <w:sz w:val="32"/>
          <w:szCs w:val="32"/>
          <w:highlight w:val="none"/>
          <w:lang w:eastAsia="zh-CN"/>
          <w14:textFill>
            <w14:solidFill>
              <w14:schemeClr w14:val="tx1"/>
            </w14:solidFill>
          </w14:textFill>
        </w:rPr>
        <w:t>个，</w:t>
      </w:r>
      <w:r>
        <w:rPr>
          <w:rFonts w:hint="eastAsia" w:ascii="仿宋_GB2312" w:eastAsia="仿宋_GB2312"/>
          <w:color w:val="000000" w:themeColor="text1"/>
          <w:sz w:val="32"/>
          <w:szCs w:val="32"/>
          <w:highlight w:val="none"/>
          <w:lang w:val="en-US" w:eastAsia="zh-CN"/>
          <w14:textFill>
            <w14:solidFill>
              <w14:schemeClr w14:val="tx1"/>
            </w14:solidFill>
          </w14:textFill>
        </w:rPr>
        <w:t>全年预算数8549.57</w:t>
      </w:r>
      <w:bookmarkStart w:id="48" w:name="_GoBack"/>
      <w:bookmarkEnd w:id="48"/>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全年执行数</w:t>
      </w:r>
      <w:r>
        <w:rPr>
          <w:rFonts w:hint="eastAsia" w:ascii="仿宋_GB2312" w:eastAsia="仿宋_GB2312"/>
          <w:color w:val="000000" w:themeColor="text1"/>
          <w:sz w:val="32"/>
          <w:szCs w:val="32"/>
          <w:highlight w:val="none"/>
          <w:lang w:eastAsia="zh-CN"/>
          <w14:textFill>
            <w14:solidFill>
              <w14:schemeClr w14:val="tx1"/>
            </w14:solidFill>
          </w14:textFill>
        </w:rPr>
        <w:t>610</w:t>
      </w:r>
      <w:r>
        <w:rPr>
          <w:rFonts w:hint="eastAsia" w:ascii="仿宋_GB2312" w:eastAsia="仿宋_GB2312"/>
          <w:color w:val="000000" w:themeColor="text1"/>
          <w:sz w:val="32"/>
          <w:szCs w:val="32"/>
          <w:highlight w:val="none"/>
          <w:lang w:val="en-US" w:eastAsia="zh-CN"/>
          <w14:textFill>
            <w14:solidFill>
              <w14:schemeClr w14:val="tx1"/>
            </w14:solidFill>
          </w14:textFill>
        </w:rPr>
        <w:t>8</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0</w:t>
      </w:r>
      <w:r>
        <w:rPr>
          <w:rFonts w:hint="eastAsia" w:ascii="仿宋_GB2312" w:eastAsia="仿宋_GB2312"/>
          <w:color w:val="000000" w:themeColor="text1"/>
          <w:sz w:val="32"/>
          <w:szCs w:val="32"/>
          <w:highlight w:val="none"/>
          <w:lang w:eastAsia="zh-CN"/>
          <w14:textFill>
            <w14:solidFill>
              <w14:schemeClr w14:val="tx1"/>
            </w14:solidFill>
          </w14:textFill>
        </w:rPr>
        <w:t>7</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shd w:val="clear" w:color="auto" w:fill="auto"/>
          <w:lang w:val="en-US" w:eastAsia="zh-CN"/>
          <w14:textFill>
            <w14:solidFill>
              <w14:schemeClr w14:val="tx1"/>
            </w14:solidFill>
          </w14:textFill>
        </w:rPr>
        <w:t>其中：</w:t>
      </w:r>
      <w:r>
        <w:rPr>
          <w:rFonts w:hint="eastAsia" w:ascii="仿宋_GB2312" w:hAnsi="仿宋_GB2312" w:eastAsia="仿宋_GB2312" w:cs="仿宋_GB2312"/>
          <w:color w:val="000000" w:themeColor="text1"/>
          <w:kern w:val="0"/>
          <w:sz w:val="32"/>
          <w:szCs w:val="32"/>
          <w:highlight w:val="none"/>
          <w:shd w:val="clear" w:color="auto" w:fill="auto"/>
          <w:lang w:val="en-US" w:eastAsia="zh-CN"/>
          <w14:textFill>
            <w14:solidFill>
              <w14:schemeClr w14:val="tx1"/>
            </w14:solidFill>
          </w14:textFill>
        </w:rPr>
        <w:t>本单位sm项目2个，全年预算数3753.44万元，全年执行数3753.44万元，不予以公开</w:t>
      </w:r>
      <w:r>
        <w:rPr>
          <w:rFonts w:hint="eastAsia" w:ascii="仿宋_GB2312" w:eastAsia="仿宋_GB2312"/>
          <w:color w:val="000000" w:themeColor="text1"/>
          <w:sz w:val="32"/>
          <w:szCs w:val="32"/>
          <w:highlight w:val="none"/>
          <w:lang w:eastAsia="zh-CN"/>
          <w14:textFill>
            <w14:solidFill>
              <w14:schemeClr w14:val="tx1"/>
            </w14:solidFill>
          </w14:textFill>
        </w:rPr>
        <w:t>。预算绩效管理取得的成效：一是全年本单位履职尽责，严格保障水资源的合理开发利用，指导水利行业供水和乡镇供水工作。通过宁家河灌区渠道改造工作的有效完成，进一步完善灌区管理体系建设，促进灌区可持续发展和水资源高效利用；二是加强水库安全运行管理，加强与各流域管理单位联系，达到及早做好防汛抗旱各项准备工作的目的，对水库及易洪易灾部位加强巡查，及时消除各类安全隐患。发现的问题及原因：一是目前对各项工作的宣传不到位，只重视了量化工作，忽视了基础管理、基础服务工作；二是</w:t>
      </w:r>
      <w:r>
        <w:rPr>
          <w:rFonts w:hint="eastAsia" w:ascii="仿宋_GB2312" w:eastAsia="仿宋_GB2312"/>
          <w:color w:val="000000" w:themeColor="text1"/>
          <w:sz w:val="32"/>
          <w:szCs w:val="32"/>
          <w:highlight w:val="none"/>
          <w:lang w:val="en-US" w:eastAsia="zh-CN"/>
          <w14:textFill>
            <w14:solidFill>
              <w14:schemeClr w14:val="tx1"/>
            </w14:solidFill>
          </w14:textFill>
        </w:rPr>
        <w:t>预算绩效管理工作时间紧、任务重、专业性强，我单位的预算绩效存在一些不足之处需要完善</w:t>
      </w:r>
      <w:r>
        <w:rPr>
          <w:rFonts w:hint="eastAsia" w:ascii="仿宋_GB2312" w:eastAsia="仿宋_GB2312"/>
          <w:color w:val="000000" w:themeColor="text1"/>
          <w:sz w:val="32"/>
          <w:szCs w:val="32"/>
          <w:highlight w:val="none"/>
          <w:lang w:eastAsia="zh-CN"/>
          <w14:textFill>
            <w14:solidFill>
              <w14:schemeClr w14:val="tx1"/>
            </w14:solidFill>
          </w14:textFill>
        </w:rPr>
        <w:t>。下一步改进措施：一是高度重视财政预决算工作，加强预算的约束力，做好事前审批、事中管理和事后监督工作，不断加快预算执行进度；二是加强内部管理，严格执行预算，坚持厉行节约，进一步降低财政支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具体</w:t>
      </w:r>
      <w:r>
        <w:rPr>
          <w:rFonts w:hint="eastAsia" w:ascii="仿宋_GB2312" w:eastAsia="仿宋_GB2312"/>
          <w:color w:val="000000" w:themeColor="text1"/>
          <w:sz w:val="32"/>
          <w:szCs w:val="32"/>
          <w:highlight w:val="none"/>
          <w14:textFill>
            <w14:solidFill>
              <w14:schemeClr w14:val="tx1"/>
            </w14:solidFill>
          </w14:textFill>
        </w:rPr>
        <w:t>项目自评情况附绩效自评表</w:t>
      </w:r>
      <w:r>
        <w:rPr>
          <w:rFonts w:hint="eastAsia" w:ascii="仿宋_GB2312" w:eastAsia="仿宋_GB2312"/>
          <w:color w:val="000000" w:themeColor="text1"/>
          <w:sz w:val="32"/>
          <w:szCs w:val="32"/>
          <w:highlight w:val="none"/>
          <w:lang w:val="en-US" w:eastAsia="zh-CN"/>
          <w14:textFill>
            <w14:solidFill>
              <w14:schemeClr w14:val="tx1"/>
            </w14:solidFill>
          </w14:textFill>
        </w:rPr>
        <w:t>及自评报告</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二</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30" w:name="_Toc3250"/>
      <w:bookmarkStart w:id="31" w:name="_Toc24143"/>
      <w:r>
        <w:rPr>
          <w:rFonts w:hint="eastAsia" w:ascii="仿宋_GB2312" w:eastAsia="仿宋_GB2312"/>
          <w:color w:val="000000" w:themeColor="text1"/>
          <w:sz w:val="32"/>
          <w:szCs w:val="32"/>
          <w:highlight w:val="none"/>
          <w:lang w:val="en-US" w:eastAsia="zh-CN"/>
          <w14:textFill>
            <w14:solidFill>
              <w14:schemeClr w14:val="tx1"/>
            </w14:solidFill>
          </w14:textFill>
        </w:rPr>
        <w:t>本单位sm项目2个，全年预算数</w:t>
      </w:r>
      <w:r>
        <w:rPr>
          <w:rFonts w:hint="eastAsia" w:ascii="仿宋_GB2312" w:hAnsi="仿宋_GB2312" w:eastAsia="仿宋_GB2312" w:cs="仿宋_GB2312"/>
          <w:color w:val="000000" w:themeColor="text1"/>
          <w:kern w:val="0"/>
          <w:sz w:val="32"/>
          <w:szCs w:val="32"/>
          <w:highlight w:val="none"/>
          <w:shd w:val="clear" w:color="auto" w:fill="auto"/>
          <w:lang w:val="en-US" w:eastAsia="zh-CN"/>
          <w14:textFill>
            <w14:solidFill>
              <w14:schemeClr w14:val="tx1"/>
            </w14:solidFill>
          </w14:textFill>
        </w:rPr>
        <w:t>3753.44</w:t>
      </w:r>
      <w:r>
        <w:rPr>
          <w:rFonts w:hint="eastAsia" w:ascii="仿宋_GB2312" w:eastAsia="仿宋_GB2312"/>
          <w:color w:val="000000" w:themeColor="text1"/>
          <w:sz w:val="32"/>
          <w:szCs w:val="32"/>
          <w:highlight w:val="none"/>
          <w:lang w:val="en-US" w:eastAsia="zh-CN"/>
          <w14:textFill>
            <w14:solidFill>
              <w14:schemeClr w14:val="tx1"/>
            </w14:solidFill>
          </w14:textFill>
        </w:rPr>
        <w:t>万元，全年执行数</w:t>
      </w:r>
      <w:r>
        <w:rPr>
          <w:rFonts w:hint="eastAsia" w:ascii="仿宋_GB2312" w:hAnsi="仿宋_GB2312" w:eastAsia="仿宋_GB2312" w:cs="仿宋_GB2312"/>
          <w:color w:val="000000" w:themeColor="text1"/>
          <w:kern w:val="0"/>
          <w:sz w:val="32"/>
          <w:szCs w:val="32"/>
          <w:highlight w:val="none"/>
          <w:shd w:val="clear" w:color="auto" w:fill="auto"/>
          <w:lang w:val="en-US" w:eastAsia="zh-CN"/>
          <w14:textFill>
            <w14:solidFill>
              <w14:schemeClr w14:val="tx1"/>
            </w14:solidFill>
          </w14:textFill>
        </w:rPr>
        <w:t>3753.44</w:t>
      </w:r>
      <w:r>
        <w:rPr>
          <w:rFonts w:hint="eastAsia" w:ascii="仿宋_GB2312" w:eastAsia="仿宋_GB2312"/>
          <w:color w:val="000000" w:themeColor="text1"/>
          <w:sz w:val="32"/>
          <w:szCs w:val="32"/>
          <w:highlight w:val="none"/>
          <w:lang w:val="en-US" w:eastAsia="zh-CN"/>
          <w14:textFill>
            <w14:solidFill>
              <w14:schemeClr w14:val="tx1"/>
            </w14:solidFill>
          </w14:textFill>
        </w:rPr>
        <w:t>万元，不予以公开绩效自评表。</w:t>
      </w:r>
      <w:r>
        <w:rPr>
          <w:rFonts w:hint="eastAsia" w:ascii="仿宋_GB2312" w:eastAsia="仿宋_GB2312"/>
          <w:color w:val="000000" w:themeColor="text1"/>
          <w:sz w:val="32"/>
          <w:szCs w:val="32"/>
          <w:highlight w:val="none"/>
          <w:lang w:val="en-US" w:eastAsia="zh-CN"/>
          <w14:textFill>
            <w14:solidFill>
              <w14:schemeClr w14:val="tx1"/>
            </w14:solidFill>
          </w14:textFill>
        </w:rPr>
        <w:br w:type="page"/>
      </w:r>
      <w:r>
        <w:rPr>
          <w:rFonts w:hint="eastAsia" w:ascii="黑体" w:hAnsi="黑体" w:eastAsia="黑体"/>
          <w:color w:val="000000" w:themeColor="text1"/>
          <w:sz w:val="32"/>
          <w:szCs w:val="32"/>
          <w:highlight w:val="none"/>
          <w14:textFill>
            <w14:solidFill>
              <w14:schemeClr w14:val="tx1"/>
            </w14:solidFill>
          </w14:textFill>
        </w:rPr>
        <w:t>第</w:t>
      </w:r>
      <w:r>
        <w:rPr>
          <w:rFonts w:hint="eastAsia" w:ascii="黑体" w:hAnsi="黑体" w:eastAsia="黑体"/>
          <w:color w:val="000000" w:themeColor="text1"/>
          <w:sz w:val="32"/>
          <w:szCs w:val="32"/>
          <w:highlight w:val="none"/>
          <w:lang w:val="en-US" w:eastAsia="zh-CN"/>
          <w14:textFill>
            <w14:solidFill>
              <w14:schemeClr w14:val="tx1"/>
            </w14:solidFill>
          </w14:textFill>
        </w:rPr>
        <w:t>三</w:t>
      </w:r>
      <w:r>
        <w:rPr>
          <w:rFonts w:hint="eastAsia" w:ascii="黑体" w:hAnsi="黑体" w:eastAsia="黑体"/>
          <w:color w:val="000000" w:themeColor="text1"/>
          <w:sz w:val="32"/>
          <w:szCs w:val="32"/>
          <w:highlight w:val="none"/>
          <w14:textFill>
            <w14:solidFill>
              <w14:schemeClr w14:val="tx1"/>
            </w14:solidFill>
          </w14:textFill>
        </w:rPr>
        <w:t>部分专业名词解释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一、</w:t>
      </w:r>
      <w:r>
        <w:rPr>
          <w:rFonts w:hint="eastAsia" w:ascii="仿宋_GB2312" w:eastAsia="仿宋_GB2312"/>
          <w:b/>
          <w:bCs/>
          <w:color w:val="000000" w:themeColor="text1"/>
          <w:sz w:val="32"/>
          <w:szCs w:val="32"/>
          <w:highlight w:val="none"/>
          <w14:textFill>
            <w14:solidFill>
              <w14:schemeClr w14:val="tx1"/>
            </w14:solidFill>
          </w14:textFill>
        </w:rPr>
        <w:t>财政拨款收入：</w:t>
      </w:r>
      <w:r>
        <w:rPr>
          <w:rFonts w:hint="eastAsia" w:ascii="仿宋_GB2312" w:eastAsia="仿宋_GB2312"/>
          <w:color w:val="000000" w:themeColor="text1"/>
          <w:sz w:val="32"/>
          <w:szCs w:val="32"/>
          <w:highlight w:val="none"/>
          <w14:textFill>
            <w14:solidFill>
              <w14:schemeClr w14:val="tx1"/>
            </w14:solidFill>
          </w14:textFill>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二、</w:t>
      </w:r>
      <w:r>
        <w:rPr>
          <w:rFonts w:hint="eastAsia" w:ascii="仿宋_GB2312" w:eastAsia="仿宋_GB2312"/>
          <w:b/>
          <w:bCs/>
          <w:color w:val="000000" w:themeColor="text1"/>
          <w:sz w:val="32"/>
          <w:szCs w:val="32"/>
          <w:highlight w:val="none"/>
          <w14:textFill>
            <w14:solidFill>
              <w14:schemeClr w14:val="tx1"/>
            </w14:solidFill>
          </w14:textFill>
        </w:rPr>
        <w:t>上级补助收入：</w:t>
      </w:r>
      <w:r>
        <w:rPr>
          <w:rFonts w:hint="eastAsia" w:ascii="仿宋_GB2312" w:eastAsia="仿宋_GB2312"/>
          <w:color w:val="000000" w:themeColor="text1"/>
          <w:sz w:val="32"/>
          <w:szCs w:val="32"/>
          <w:highlight w:val="none"/>
          <w14:textFill>
            <w14:solidFill>
              <w14:schemeClr w14:val="tx1"/>
            </w14:solidFill>
          </w14:textFill>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三、</w:t>
      </w:r>
      <w:r>
        <w:rPr>
          <w:rFonts w:hint="eastAsia" w:ascii="仿宋_GB2312" w:eastAsia="仿宋_GB2312"/>
          <w:b/>
          <w:bCs/>
          <w:color w:val="000000" w:themeColor="text1"/>
          <w:sz w:val="32"/>
          <w:szCs w:val="32"/>
          <w:highlight w:val="none"/>
          <w14:textFill>
            <w14:solidFill>
              <w14:schemeClr w14:val="tx1"/>
            </w14:solidFill>
          </w14:textFill>
        </w:rPr>
        <w:t>事业收入：</w:t>
      </w:r>
      <w:r>
        <w:rPr>
          <w:rFonts w:hint="eastAsia" w:ascii="仿宋_GB2312" w:eastAsia="仿宋_GB2312"/>
          <w:color w:val="000000" w:themeColor="text1"/>
          <w:sz w:val="32"/>
          <w:szCs w:val="32"/>
          <w:highlight w:val="none"/>
          <w14:textFill>
            <w14:solidFill>
              <w14:schemeClr w14:val="tx1"/>
            </w14:solidFill>
          </w14:textFill>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四、</w:t>
      </w:r>
      <w:r>
        <w:rPr>
          <w:rFonts w:hint="eastAsia" w:ascii="仿宋_GB2312" w:eastAsia="仿宋_GB2312"/>
          <w:b/>
          <w:bCs/>
          <w:color w:val="000000" w:themeColor="text1"/>
          <w:sz w:val="32"/>
          <w:szCs w:val="32"/>
          <w:highlight w:val="none"/>
          <w14:textFill>
            <w14:solidFill>
              <w14:schemeClr w14:val="tx1"/>
            </w14:solidFill>
          </w14:textFill>
        </w:rPr>
        <w:t>经营收入：</w:t>
      </w:r>
      <w:r>
        <w:rPr>
          <w:rFonts w:hint="eastAsia" w:ascii="仿宋_GB2312" w:eastAsia="仿宋_GB2312"/>
          <w:color w:val="000000" w:themeColor="text1"/>
          <w:sz w:val="32"/>
          <w:szCs w:val="32"/>
          <w:highlight w:val="none"/>
          <w14:textFill>
            <w14:solidFill>
              <w14:schemeClr w14:val="tx1"/>
            </w14:solidFill>
          </w14:textFill>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五、</w:t>
      </w:r>
      <w:r>
        <w:rPr>
          <w:rFonts w:hint="eastAsia" w:ascii="仿宋_GB2312" w:eastAsia="仿宋_GB2312"/>
          <w:b/>
          <w:bCs/>
          <w:color w:val="000000" w:themeColor="text1"/>
          <w:sz w:val="32"/>
          <w:szCs w:val="32"/>
          <w:highlight w:val="none"/>
          <w14:textFill>
            <w14:solidFill>
              <w14:schemeClr w14:val="tx1"/>
            </w14:solidFill>
          </w14:textFill>
        </w:rPr>
        <w:t>附属单位上缴收入：</w:t>
      </w:r>
      <w:r>
        <w:rPr>
          <w:rFonts w:hint="eastAsia" w:ascii="仿宋_GB2312" w:eastAsia="仿宋_GB2312"/>
          <w:color w:val="000000" w:themeColor="text1"/>
          <w:sz w:val="32"/>
          <w:szCs w:val="32"/>
          <w:highlight w:val="none"/>
          <w14:textFill>
            <w14:solidFill>
              <w14:schemeClr w14:val="tx1"/>
            </w14:solidFill>
          </w14:textFill>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六、</w:t>
      </w:r>
      <w:r>
        <w:rPr>
          <w:rFonts w:hint="eastAsia" w:ascii="仿宋_GB2312" w:eastAsia="仿宋_GB2312"/>
          <w:b/>
          <w:bCs/>
          <w:color w:val="000000" w:themeColor="text1"/>
          <w:sz w:val="32"/>
          <w:szCs w:val="32"/>
          <w:highlight w:val="none"/>
          <w14:textFill>
            <w14:solidFill>
              <w14:schemeClr w14:val="tx1"/>
            </w14:solidFill>
          </w14:textFill>
        </w:rPr>
        <w:t>其他收入：</w:t>
      </w:r>
      <w:r>
        <w:rPr>
          <w:rFonts w:hint="eastAsia" w:ascii="仿宋_GB2312" w:eastAsia="仿宋_GB2312"/>
          <w:color w:val="000000" w:themeColor="text1"/>
          <w:sz w:val="32"/>
          <w:szCs w:val="32"/>
          <w:highlight w:val="none"/>
          <w14:textFill>
            <w14:solidFill>
              <w14:schemeClr w14:val="tx1"/>
            </w14:solidFill>
          </w14:textFill>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七、</w:t>
      </w:r>
      <w:r>
        <w:rPr>
          <w:rFonts w:hint="eastAsia" w:ascii="仿宋_GB2312" w:eastAsia="仿宋_GB2312"/>
          <w:b/>
          <w:bCs/>
          <w:color w:val="000000" w:themeColor="text1"/>
          <w:sz w:val="32"/>
          <w:szCs w:val="32"/>
          <w:highlight w:val="none"/>
          <w:lang w:eastAsia="zh-CN"/>
          <w14:textFill>
            <w14:solidFill>
              <w14:schemeClr w14:val="tx1"/>
            </w14:solidFill>
          </w14:textFill>
        </w:rPr>
        <w:t>年初</w:t>
      </w:r>
      <w:r>
        <w:rPr>
          <w:rFonts w:hint="eastAsia" w:ascii="仿宋_GB2312" w:eastAsia="仿宋_GB2312"/>
          <w:b/>
          <w:bCs/>
          <w:color w:val="000000" w:themeColor="text1"/>
          <w:sz w:val="32"/>
          <w:szCs w:val="32"/>
          <w:highlight w:val="none"/>
          <w14:textFill>
            <w14:solidFill>
              <w14:schemeClr w14:val="tx1"/>
            </w14:solidFill>
          </w14:textFill>
        </w:rPr>
        <w:t>结转和结余：</w:t>
      </w:r>
      <w:r>
        <w:rPr>
          <w:rFonts w:hint="eastAsia" w:ascii="仿宋_GB2312" w:eastAsia="仿宋_GB2312"/>
          <w:color w:val="000000" w:themeColor="text1"/>
          <w:sz w:val="32"/>
          <w:szCs w:val="32"/>
          <w:highlight w:val="none"/>
          <w14:textFill>
            <w14:solidFill>
              <w14:schemeClr w14:val="tx1"/>
            </w14:solidFill>
          </w14:textFill>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八、</w:t>
      </w:r>
      <w:r>
        <w:rPr>
          <w:rFonts w:hint="eastAsia" w:ascii="仿宋_GB2312" w:eastAsia="仿宋_GB2312"/>
          <w:b/>
          <w:bCs/>
          <w:color w:val="000000" w:themeColor="text1"/>
          <w:sz w:val="32"/>
          <w:szCs w:val="32"/>
          <w:highlight w:val="none"/>
          <w14:textFill>
            <w14:solidFill>
              <w14:schemeClr w14:val="tx1"/>
            </w14:solidFill>
          </w14:textFill>
        </w:rPr>
        <w:t>年末结转和结余：</w:t>
      </w:r>
      <w:r>
        <w:rPr>
          <w:rFonts w:hint="eastAsia" w:ascii="仿宋_GB2312" w:eastAsia="仿宋_GB2312"/>
          <w:color w:val="000000" w:themeColor="text1"/>
          <w:sz w:val="32"/>
          <w:szCs w:val="32"/>
          <w:highlight w:val="none"/>
          <w14:textFill>
            <w14:solidFill>
              <w14:schemeClr w14:val="tx1"/>
            </w14:solidFill>
          </w14:textFill>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九、</w:t>
      </w:r>
      <w:r>
        <w:rPr>
          <w:rFonts w:hint="eastAsia" w:ascii="仿宋_GB2312" w:eastAsia="仿宋_GB2312"/>
          <w:b/>
          <w:bCs/>
          <w:color w:val="000000" w:themeColor="text1"/>
          <w:sz w:val="32"/>
          <w:szCs w:val="32"/>
          <w:highlight w:val="none"/>
          <w14:textFill>
            <w14:solidFill>
              <w14:schemeClr w14:val="tx1"/>
            </w14:solidFill>
          </w14:textFill>
        </w:rPr>
        <w:t>基本支出：</w:t>
      </w:r>
      <w:r>
        <w:rPr>
          <w:rFonts w:hint="eastAsia" w:ascii="仿宋_GB2312" w:eastAsia="仿宋_GB2312"/>
          <w:color w:val="000000" w:themeColor="text1"/>
          <w:sz w:val="32"/>
          <w:szCs w:val="32"/>
          <w:highlight w:val="none"/>
          <w14:textFill>
            <w14:solidFill>
              <w14:schemeClr w14:val="tx1"/>
            </w14:solidFill>
          </w14:textFill>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w:t>
      </w:r>
      <w:r>
        <w:rPr>
          <w:rFonts w:hint="eastAsia" w:ascii="仿宋_GB2312" w:eastAsia="仿宋_GB2312"/>
          <w:b/>
          <w:bCs/>
          <w:color w:val="000000" w:themeColor="text1"/>
          <w:sz w:val="32"/>
          <w:szCs w:val="32"/>
          <w:highlight w:val="none"/>
          <w14:textFill>
            <w14:solidFill>
              <w14:schemeClr w14:val="tx1"/>
            </w14:solidFill>
          </w14:textFill>
        </w:rPr>
        <w:t>项目支出：</w:t>
      </w:r>
      <w:r>
        <w:rPr>
          <w:rFonts w:hint="eastAsia" w:ascii="仿宋_GB2312" w:eastAsia="仿宋_GB2312"/>
          <w:color w:val="000000" w:themeColor="text1"/>
          <w:sz w:val="32"/>
          <w:szCs w:val="32"/>
          <w:highlight w:val="none"/>
          <w14:textFill>
            <w14:solidFill>
              <w14:schemeClr w14:val="tx1"/>
            </w14:solidFill>
          </w14:textFill>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十一、</w:t>
      </w:r>
      <w:r>
        <w:rPr>
          <w:rFonts w:hint="eastAsia" w:ascii="仿宋_GB2312" w:eastAsia="仿宋_GB2312"/>
          <w:b/>
          <w:bCs/>
          <w:color w:val="000000" w:themeColor="text1"/>
          <w:sz w:val="32"/>
          <w:szCs w:val="32"/>
          <w:highlight w:val="none"/>
          <w14:textFill>
            <w14:solidFill>
              <w14:schemeClr w14:val="tx1"/>
            </w14:solidFill>
          </w14:textFill>
        </w:rPr>
        <w:t>经营支出：</w:t>
      </w:r>
      <w:r>
        <w:rPr>
          <w:rFonts w:hint="eastAsia" w:ascii="仿宋_GB2312" w:eastAsia="仿宋_GB2312"/>
          <w:color w:val="000000" w:themeColor="text1"/>
          <w:sz w:val="32"/>
          <w:szCs w:val="32"/>
          <w:highlight w:val="none"/>
          <w14:textFill>
            <w14:solidFill>
              <w14:schemeClr w14:val="tx1"/>
            </w14:solidFill>
          </w14:textFill>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十二、</w:t>
      </w:r>
      <w:r>
        <w:rPr>
          <w:rFonts w:hint="eastAsia" w:ascii="仿宋_GB2312" w:eastAsia="仿宋_GB2312"/>
          <w:b/>
          <w:bCs/>
          <w:color w:val="000000" w:themeColor="text1"/>
          <w:sz w:val="32"/>
          <w:szCs w:val="32"/>
          <w:highlight w:val="none"/>
          <w14:textFill>
            <w14:solidFill>
              <w14:schemeClr w14:val="tx1"/>
            </w14:solidFill>
          </w14:textFill>
        </w:rPr>
        <w:t>对附属单位补助支出：</w:t>
      </w:r>
      <w:r>
        <w:rPr>
          <w:rFonts w:hint="eastAsia" w:ascii="仿宋_GB2312" w:eastAsia="仿宋_GB2312"/>
          <w:color w:val="000000" w:themeColor="text1"/>
          <w:sz w:val="32"/>
          <w:szCs w:val="32"/>
          <w:highlight w:val="none"/>
          <w14:textFill>
            <w14:solidFill>
              <w14:schemeClr w14:val="tx1"/>
            </w14:solidFill>
          </w14:textFill>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十三、</w:t>
      </w:r>
      <w:r>
        <w:rPr>
          <w:rFonts w:hint="eastAsia" w:ascii="仿宋_GB2312" w:eastAsia="仿宋_GB2312"/>
          <w:b/>
          <w:bCs/>
          <w:color w:val="000000" w:themeColor="text1"/>
          <w:sz w:val="32"/>
          <w:szCs w:val="32"/>
          <w:highlight w:val="none"/>
          <w14:textFill>
            <w14:solidFill>
              <w14:schemeClr w14:val="tx1"/>
            </w14:solidFill>
          </w14:textFill>
        </w:rPr>
        <w:t>“三公”经费：</w:t>
      </w:r>
      <w:r>
        <w:rPr>
          <w:rFonts w:hint="eastAsia" w:ascii="仿宋_GB2312" w:eastAsia="仿宋_GB2312"/>
          <w:color w:val="000000" w:themeColor="text1"/>
          <w:sz w:val="32"/>
          <w:szCs w:val="32"/>
          <w:highlight w:val="none"/>
          <w14:textFill>
            <w14:solidFill>
              <w14:schemeClr w14:val="tx1"/>
            </w14:solidFill>
          </w14:textFill>
        </w:rPr>
        <w:t>指用财政拨款安排的因公出国（境）费、公务用车购置及运行费和公务接待费。其中，因公出国（境）费反映单位公务出国（境）的</w:t>
      </w:r>
      <w:r>
        <w:rPr>
          <w:rFonts w:hint="eastAsia" w:ascii="仿宋_GB2312" w:eastAsia="仿宋_GB2312"/>
          <w:color w:val="000000" w:themeColor="text1"/>
          <w:sz w:val="32"/>
          <w:szCs w:val="32"/>
          <w:highlight w:val="none"/>
          <w:lang w:eastAsia="zh-CN"/>
          <w14:textFill>
            <w14:solidFill>
              <w14:schemeClr w14:val="tx1"/>
            </w14:solidFill>
          </w14:textFill>
        </w:rPr>
        <w:t>国际旅费、国外城市间交通费、</w:t>
      </w:r>
      <w:r>
        <w:rPr>
          <w:rFonts w:hint="eastAsia" w:ascii="仿宋_GB2312" w:eastAsia="仿宋_GB2312"/>
          <w:color w:val="000000" w:themeColor="text1"/>
          <w:sz w:val="32"/>
          <w:szCs w:val="32"/>
          <w:highlight w:val="none"/>
          <w14:textFill>
            <w14:solidFill>
              <w14:schemeClr w14:val="tx1"/>
            </w14:solidFill>
          </w14:textFill>
        </w:rPr>
        <w:t>住宿费、伙食费、培训费、</w:t>
      </w:r>
      <w:r>
        <w:rPr>
          <w:rFonts w:hint="eastAsia" w:ascii="仿宋_GB2312" w:eastAsia="仿宋_GB2312"/>
          <w:color w:val="000000" w:themeColor="text1"/>
          <w:sz w:val="32"/>
          <w:szCs w:val="32"/>
          <w:highlight w:val="none"/>
          <w:lang w:eastAsia="zh-CN"/>
          <w14:textFill>
            <w14:solidFill>
              <w14:schemeClr w14:val="tx1"/>
            </w14:solidFill>
          </w14:textFill>
        </w:rPr>
        <w:t>公</w:t>
      </w:r>
      <w:r>
        <w:rPr>
          <w:rFonts w:hint="eastAsia" w:ascii="仿宋_GB2312" w:eastAsia="仿宋_GB2312"/>
          <w:color w:val="000000" w:themeColor="text1"/>
          <w:sz w:val="32"/>
          <w:szCs w:val="32"/>
          <w:highlight w:val="none"/>
          <w14:textFill>
            <w14:solidFill>
              <w14:schemeClr w14:val="tx1"/>
            </w14:solidFill>
          </w14:textFill>
        </w:rPr>
        <w:t>杂费等支出；公务用车购置费</w:t>
      </w:r>
      <w:r>
        <w:rPr>
          <w:rFonts w:hint="eastAsia" w:ascii="仿宋_GB2312" w:eastAsia="仿宋_GB2312"/>
          <w:color w:val="000000" w:themeColor="text1"/>
          <w:sz w:val="32"/>
          <w:szCs w:val="32"/>
          <w:highlight w:val="none"/>
          <w:lang w:eastAsia="zh-CN"/>
          <w14:textFill>
            <w14:solidFill>
              <w14:schemeClr w14:val="tx1"/>
            </w14:solidFill>
          </w14:textFill>
        </w:rPr>
        <w:t>反映公务用车购置支出（含车辆购置税、牌照费）；</w:t>
      </w:r>
      <w:r>
        <w:rPr>
          <w:rFonts w:hint="eastAsia" w:ascii="仿宋_GB2312" w:eastAsia="仿宋_GB2312"/>
          <w:color w:val="000000" w:themeColor="text1"/>
          <w:sz w:val="32"/>
          <w:szCs w:val="32"/>
          <w:highlight w:val="none"/>
          <w14:textFill>
            <w14:solidFill>
              <w14:schemeClr w14:val="tx1"/>
            </w14:solidFill>
          </w14:textFill>
        </w:rPr>
        <w:t>公务用车运行</w:t>
      </w:r>
      <w:r>
        <w:rPr>
          <w:rFonts w:hint="eastAsia" w:ascii="仿宋_GB2312" w:eastAsia="仿宋_GB2312"/>
          <w:color w:val="000000" w:themeColor="text1"/>
          <w:sz w:val="32"/>
          <w:szCs w:val="32"/>
          <w:highlight w:val="none"/>
          <w:lang w:eastAsia="zh-CN"/>
          <w14:textFill>
            <w14:solidFill>
              <w14:schemeClr w14:val="tx1"/>
            </w14:solidFill>
          </w14:textFill>
        </w:rPr>
        <w:t>维护</w:t>
      </w:r>
      <w:r>
        <w:rPr>
          <w:rFonts w:hint="eastAsia" w:ascii="仿宋_GB2312" w:eastAsia="仿宋_GB2312"/>
          <w:color w:val="000000" w:themeColor="text1"/>
          <w:sz w:val="32"/>
          <w:szCs w:val="32"/>
          <w:highlight w:val="none"/>
          <w14:textFill>
            <w14:solidFill>
              <w14:schemeClr w14:val="tx1"/>
            </w14:solidFill>
          </w14:textFill>
        </w:rPr>
        <w:t>费反映</w:t>
      </w:r>
      <w:r>
        <w:rPr>
          <w:rFonts w:hint="eastAsia" w:ascii="仿宋_GB2312" w:eastAsia="仿宋_GB2312"/>
          <w:color w:val="000000" w:themeColor="text1"/>
          <w:sz w:val="32"/>
          <w:szCs w:val="32"/>
          <w:highlight w:val="none"/>
          <w:lang w:eastAsia="zh-CN"/>
          <w14:textFill>
            <w14:solidFill>
              <w14:schemeClr w14:val="tx1"/>
            </w14:solidFill>
          </w14:textFill>
        </w:rPr>
        <w:t>单位按规定保留的公务用车燃料费、维修费、</w:t>
      </w:r>
      <w:r>
        <w:rPr>
          <w:rFonts w:hint="eastAsia" w:ascii="仿宋_GB2312" w:eastAsia="仿宋_GB2312"/>
          <w:color w:val="000000" w:themeColor="text1"/>
          <w:sz w:val="32"/>
          <w:szCs w:val="32"/>
          <w:highlight w:val="none"/>
          <w14:textFill>
            <w14:solidFill>
              <w14:schemeClr w14:val="tx1"/>
            </w14:solidFill>
          </w14:textFill>
        </w:rPr>
        <w:t>过路过桥费、保险费、安全奖励费用等支出</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公务接待费反映单位按规定开支的各类公务接待（含外宾接待）</w:t>
      </w:r>
      <w:r>
        <w:rPr>
          <w:rFonts w:hint="eastAsia" w:ascii="仿宋_GB2312" w:eastAsia="仿宋_GB2312"/>
          <w:color w:val="000000" w:themeColor="text1"/>
          <w:sz w:val="32"/>
          <w:szCs w:val="32"/>
          <w:highlight w:val="none"/>
          <w:lang w:eastAsia="zh-CN"/>
          <w14:textFill>
            <w14:solidFill>
              <w14:schemeClr w14:val="tx1"/>
            </w14:solidFill>
          </w14:textFill>
        </w:rPr>
        <w:t>费用</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十四、</w:t>
      </w:r>
      <w:r>
        <w:rPr>
          <w:rFonts w:hint="eastAsia" w:ascii="仿宋_GB2312" w:eastAsia="仿宋_GB2312"/>
          <w:b/>
          <w:bCs/>
          <w:color w:val="000000" w:themeColor="text1"/>
          <w:sz w:val="32"/>
          <w:szCs w:val="32"/>
          <w:highlight w:val="none"/>
          <w14:textFill>
            <w14:solidFill>
              <w14:schemeClr w14:val="tx1"/>
            </w14:solidFill>
          </w14:textFill>
        </w:rPr>
        <w:t>机关运行经费：</w:t>
      </w:r>
      <w:r>
        <w:rPr>
          <w:rFonts w:hint="eastAsia" w:ascii="仿宋_GB2312" w:eastAsia="仿宋_GB2312"/>
          <w:color w:val="000000" w:themeColor="text1"/>
          <w:sz w:val="32"/>
          <w:szCs w:val="32"/>
          <w:highlight w:val="none"/>
          <w14:textFill>
            <w14:solidFill>
              <w14:schemeClr w14:val="tx1"/>
            </w14:solidFill>
          </w14:textFill>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br w:type="page"/>
      </w:r>
      <w:r>
        <w:rPr>
          <w:rFonts w:hint="eastAsia" w:ascii="黑体" w:hAnsi="黑体" w:eastAsia="黑体"/>
          <w:color w:val="000000" w:themeColor="text1"/>
          <w:sz w:val="32"/>
          <w:szCs w:val="32"/>
          <w:highlight w:val="none"/>
          <w14:textFill>
            <w14:solidFill>
              <w14:schemeClr w14:val="tx1"/>
            </w14:solidFill>
          </w14:textFill>
        </w:rPr>
        <w:t>第四部分部门决算报表（见附表）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2" w:name="_Toc2183"/>
      <w:bookmarkStart w:id="33" w:name="_Toc6062"/>
      <w:r>
        <w:rPr>
          <w:rFonts w:hint="eastAsia" w:ascii="黑体" w:hAnsi="黑体" w:eastAsia="仿宋_GB2312" w:cs="宋体"/>
          <w:bCs/>
          <w:color w:val="000000" w:themeColor="text1"/>
          <w:kern w:val="0"/>
          <w:sz w:val="32"/>
          <w:szCs w:val="32"/>
          <w:highlight w:val="none"/>
          <w14:textFill>
            <w14:solidFill>
              <w14:schemeClr w14:val="tx1"/>
            </w14:solidFill>
          </w14:textFill>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4" w:name="_Toc24532"/>
      <w:bookmarkStart w:id="35" w:name="_Toc30364"/>
      <w:r>
        <w:rPr>
          <w:rFonts w:hint="eastAsia" w:ascii="黑体" w:hAnsi="黑体" w:eastAsia="仿宋_GB2312" w:cs="宋体"/>
          <w:bCs/>
          <w:color w:val="000000" w:themeColor="text1"/>
          <w:kern w:val="0"/>
          <w:sz w:val="32"/>
          <w:szCs w:val="32"/>
          <w:highlight w:val="none"/>
          <w14:textFill>
            <w14:solidFill>
              <w14:schemeClr w14:val="tx1"/>
            </w14:solidFill>
          </w14:textFill>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6" w:name="_Toc32434"/>
      <w:bookmarkStart w:id="37" w:name="_Toc21304"/>
      <w:r>
        <w:rPr>
          <w:rFonts w:hint="eastAsia" w:ascii="黑体" w:hAnsi="黑体" w:eastAsia="仿宋_GB2312" w:cs="宋体"/>
          <w:bCs/>
          <w:color w:val="000000" w:themeColor="text1"/>
          <w:kern w:val="0"/>
          <w:sz w:val="32"/>
          <w:szCs w:val="32"/>
          <w:highlight w:val="none"/>
          <w14:textFill>
            <w14:solidFill>
              <w14:schemeClr w14:val="tx1"/>
            </w14:solidFill>
          </w14:textFill>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8" w:name="_Toc14238"/>
      <w:bookmarkStart w:id="39" w:name="_Toc28786"/>
      <w:r>
        <w:rPr>
          <w:rFonts w:hint="eastAsia" w:ascii="黑体" w:hAnsi="黑体" w:eastAsia="仿宋_GB2312" w:cs="宋体"/>
          <w:bCs/>
          <w:color w:val="000000" w:themeColor="text1"/>
          <w:kern w:val="0"/>
          <w:sz w:val="32"/>
          <w:szCs w:val="32"/>
          <w:highlight w:val="none"/>
          <w14:textFill>
            <w14:solidFill>
              <w14:schemeClr w14:val="tx1"/>
            </w14:solidFill>
          </w14:textFill>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0" w:name="_Toc10347"/>
      <w:bookmarkStart w:id="41" w:name="_Toc14869"/>
      <w:r>
        <w:rPr>
          <w:rFonts w:hint="eastAsia" w:ascii="黑体" w:hAnsi="黑体" w:eastAsia="仿宋_GB2312" w:cs="宋体"/>
          <w:bCs/>
          <w:color w:val="000000" w:themeColor="text1"/>
          <w:kern w:val="0"/>
          <w:sz w:val="32"/>
          <w:szCs w:val="32"/>
          <w:highlight w:val="none"/>
          <w14:textFill>
            <w14:solidFill>
              <w14:schemeClr w14:val="tx1"/>
            </w14:solidFill>
          </w14:textFill>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2" w:name="_Toc5626"/>
      <w:bookmarkStart w:id="43" w:name="_Toc8884"/>
      <w:r>
        <w:rPr>
          <w:rFonts w:hint="eastAsia" w:ascii="黑体" w:hAnsi="黑体" w:eastAsia="仿宋_GB2312" w:cs="宋体"/>
          <w:bCs/>
          <w:color w:val="000000" w:themeColor="text1"/>
          <w:kern w:val="0"/>
          <w:sz w:val="32"/>
          <w:szCs w:val="32"/>
          <w:highlight w:val="none"/>
          <w14:textFill>
            <w14:solidFill>
              <w14:schemeClr w14:val="tx1"/>
            </w14:solidFill>
          </w14:textFill>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r>
        <w:rPr>
          <w:rFonts w:hint="eastAsia" w:ascii="黑体" w:hAnsi="黑体" w:eastAsia="仿宋_GB2312" w:cs="宋体"/>
          <w:bCs/>
          <w:color w:val="000000" w:themeColor="text1"/>
          <w:kern w:val="0"/>
          <w:sz w:val="32"/>
          <w:szCs w:val="32"/>
          <w:highlight w:val="none"/>
          <w14:textFill>
            <w14:solidFill>
              <w14:schemeClr w14:val="tx1"/>
            </w14:solidFill>
          </w14:textFill>
        </w:rPr>
        <w:t>七、</w:t>
      </w:r>
      <w:bookmarkStart w:id="44" w:name="_Toc32663"/>
      <w:bookmarkStart w:id="45" w:name="_Toc29106"/>
      <w:r>
        <w:rPr>
          <w:rFonts w:hint="eastAsia" w:ascii="黑体" w:hAnsi="黑体" w:eastAsia="仿宋_GB2312" w:cs="宋体"/>
          <w:bCs/>
          <w:color w:val="000000" w:themeColor="text1"/>
          <w:kern w:val="0"/>
          <w:sz w:val="32"/>
          <w:szCs w:val="32"/>
          <w:highlight w:val="none"/>
          <w14:textFill>
            <w14:solidFill>
              <w14:schemeClr w14:val="tx1"/>
            </w14:solidFill>
          </w14:textFill>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6" w:name="_Toc5453"/>
      <w:bookmarkStart w:id="47" w:name="_Toc7643"/>
      <w:r>
        <w:rPr>
          <w:rFonts w:hint="eastAsia" w:ascii="黑体" w:hAnsi="黑体" w:eastAsia="仿宋_GB2312" w:cs="宋体"/>
          <w:bCs/>
          <w:color w:val="000000" w:themeColor="text1"/>
          <w:kern w:val="0"/>
          <w:sz w:val="32"/>
          <w:szCs w:val="32"/>
          <w:highlight w:val="none"/>
          <w14:textFill>
            <w14:solidFill>
              <w14:schemeClr w14:val="tx1"/>
            </w14:solidFill>
          </w14:textFill>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r>
        <w:rPr>
          <w:rFonts w:hint="eastAsia" w:ascii="黑体" w:hAnsi="黑体" w:eastAsia="仿宋_GB2312" w:cs="宋体"/>
          <w:bCs/>
          <w:color w:val="000000" w:themeColor="text1"/>
          <w:kern w:val="0"/>
          <w:sz w:val="32"/>
          <w:szCs w:val="32"/>
          <w:highlight w:val="none"/>
          <w:lang w:val="en-US" w:eastAsia="zh-CN"/>
          <w14:textFill>
            <w14:solidFill>
              <w14:schemeClr w14:val="tx1"/>
            </w14:solidFill>
          </w14:textFill>
        </w:rPr>
        <w:t>九</w:t>
      </w:r>
      <w:r>
        <w:rPr>
          <w:rFonts w:hint="eastAsia" w:ascii="黑体" w:hAnsi="黑体" w:eastAsia="仿宋_GB2312" w:cs="宋体"/>
          <w:bCs/>
          <w:color w:val="000000" w:themeColor="text1"/>
          <w:kern w:val="0"/>
          <w:sz w:val="32"/>
          <w:szCs w:val="32"/>
          <w:highlight w:val="none"/>
          <w14:textFill>
            <w14:solidFill>
              <w14:schemeClr w14:val="tx1"/>
            </w14:solidFill>
          </w14:textFill>
        </w:rPr>
        <w:t>、《</w:t>
      </w:r>
      <w:r>
        <w:rPr>
          <w:rFonts w:hint="eastAsia" w:ascii="黑体" w:hAnsi="黑体" w:eastAsia="仿宋_GB2312" w:cs="宋体"/>
          <w:bCs/>
          <w:color w:val="000000" w:themeColor="text1"/>
          <w:kern w:val="0"/>
          <w:sz w:val="32"/>
          <w:szCs w:val="32"/>
          <w:highlight w:val="none"/>
          <w:lang w:eastAsia="zh-CN"/>
          <w14:textFill>
            <w14:solidFill>
              <w14:schemeClr w14:val="tx1"/>
            </w14:solidFill>
          </w14:textFill>
        </w:rPr>
        <w:t>国有资本经营</w:t>
      </w:r>
      <w:r>
        <w:rPr>
          <w:rFonts w:hint="eastAsia" w:ascii="黑体" w:hAnsi="黑体" w:eastAsia="仿宋_GB2312" w:cs="宋体"/>
          <w:bCs/>
          <w:color w:val="000000" w:themeColor="text1"/>
          <w:kern w:val="0"/>
          <w:sz w:val="32"/>
          <w:szCs w:val="32"/>
          <w:highlight w:val="none"/>
          <w14:textFill>
            <w14:solidFill>
              <w14:schemeClr w14:val="tx1"/>
            </w14:solidFill>
          </w14:textFill>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1OWFmZWJhNzRlYzhjZjgyMjY3OGE4YTAzY2Q4NTIifQ=="/>
    <w:docVar w:name="KSO_WPS_MARK_KEY" w:val="41ee2a61-2d54-4f93-83be-afdb9a40d732"/>
  </w:docVars>
  <w:rsids>
    <w:rsidRoot w:val="00000000"/>
    <w:rsid w:val="00213C59"/>
    <w:rsid w:val="003210CE"/>
    <w:rsid w:val="00526BBE"/>
    <w:rsid w:val="00B70D59"/>
    <w:rsid w:val="00F52A8D"/>
    <w:rsid w:val="019404F8"/>
    <w:rsid w:val="01AF4310"/>
    <w:rsid w:val="01C30B6B"/>
    <w:rsid w:val="01ED22F2"/>
    <w:rsid w:val="02BD3108"/>
    <w:rsid w:val="02F73D26"/>
    <w:rsid w:val="034D4FEF"/>
    <w:rsid w:val="035D1785"/>
    <w:rsid w:val="039F47CE"/>
    <w:rsid w:val="03BD5310"/>
    <w:rsid w:val="03E05CE8"/>
    <w:rsid w:val="03F973EE"/>
    <w:rsid w:val="043E5B56"/>
    <w:rsid w:val="04C04386"/>
    <w:rsid w:val="04C71F72"/>
    <w:rsid w:val="04D1736D"/>
    <w:rsid w:val="04D96608"/>
    <w:rsid w:val="04F210E4"/>
    <w:rsid w:val="04FA68C4"/>
    <w:rsid w:val="053F5AE6"/>
    <w:rsid w:val="05635391"/>
    <w:rsid w:val="057C0B0F"/>
    <w:rsid w:val="05EF4B48"/>
    <w:rsid w:val="05F76ECA"/>
    <w:rsid w:val="06183A24"/>
    <w:rsid w:val="06792773"/>
    <w:rsid w:val="06982D35"/>
    <w:rsid w:val="06FD75CA"/>
    <w:rsid w:val="07086036"/>
    <w:rsid w:val="07093795"/>
    <w:rsid w:val="07804730"/>
    <w:rsid w:val="0782108F"/>
    <w:rsid w:val="079052BE"/>
    <w:rsid w:val="08145C21"/>
    <w:rsid w:val="08422688"/>
    <w:rsid w:val="085854ED"/>
    <w:rsid w:val="0879188F"/>
    <w:rsid w:val="08A0354D"/>
    <w:rsid w:val="08CD4C49"/>
    <w:rsid w:val="09114954"/>
    <w:rsid w:val="095A5B83"/>
    <w:rsid w:val="096466E3"/>
    <w:rsid w:val="0968304D"/>
    <w:rsid w:val="099D62B1"/>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13537"/>
    <w:rsid w:val="0CD208AC"/>
    <w:rsid w:val="0D172DAA"/>
    <w:rsid w:val="0D1D5411"/>
    <w:rsid w:val="0D4903E8"/>
    <w:rsid w:val="0D7A4A46"/>
    <w:rsid w:val="0E640559"/>
    <w:rsid w:val="0EA06E15"/>
    <w:rsid w:val="0F1113DA"/>
    <w:rsid w:val="0F250B80"/>
    <w:rsid w:val="0F78534A"/>
    <w:rsid w:val="0F89358A"/>
    <w:rsid w:val="0F8C6D51"/>
    <w:rsid w:val="105B0B5E"/>
    <w:rsid w:val="10B35A73"/>
    <w:rsid w:val="112E58D0"/>
    <w:rsid w:val="11731CAC"/>
    <w:rsid w:val="119500A0"/>
    <w:rsid w:val="11C0733B"/>
    <w:rsid w:val="11D50D17"/>
    <w:rsid w:val="120937B0"/>
    <w:rsid w:val="120E0809"/>
    <w:rsid w:val="127F665A"/>
    <w:rsid w:val="12F7068C"/>
    <w:rsid w:val="14207DC0"/>
    <w:rsid w:val="14B932DA"/>
    <w:rsid w:val="14F05DE7"/>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67038D"/>
    <w:rsid w:val="1AAE647E"/>
    <w:rsid w:val="1AD807E5"/>
    <w:rsid w:val="1AF000F5"/>
    <w:rsid w:val="1B39345B"/>
    <w:rsid w:val="1BFB2A1F"/>
    <w:rsid w:val="1C015D4A"/>
    <w:rsid w:val="1C290ED5"/>
    <w:rsid w:val="1C317E4F"/>
    <w:rsid w:val="1C472464"/>
    <w:rsid w:val="1CE94DCF"/>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633071"/>
    <w:rsid w:val="22D7662C"/>
    <w:rsid w:val="23326B7F"/>
    <w:rsid w:val="235352D5"/>
    <w:rsid w:val="2380045B"/>
    <w:rsid w:val="23BC04D2"/>
    <w:rsid w:val="23EF1892"/>
    <w:rsid w:val="2483647E"/>
    <w:rsid w:val="24A32D55"/>
    <w:rsid w:val="24CE6D9A"/>
    <w:rsid w:val="25292727"/>
    <w:rsid w:val="252E5CA9"/>
    <w:rsid w:val="256F7692"/>
    <w:rsid w:val="25BA2154"/>
    <w:rsid w:val="25C8773F"/>
    <w:rsid w:val="26235823"/>
    <w:rsid w:val="264A7253"/>
    <w:rsid w:val="268C343D"/>
    <w:rsid w:val="26F0170C"/>
    <w:rsid w:val="26FE3B9A"/>
    <w:rsid w:val="27201D62"/>
    <w:rsid w:val="27286E73"/>
    <w:rsid w:val="27CF2642"/>
    <w:rsid w:val="27E777F5"/>
    <w:rsid w:val="27EA1D4C"/>
    <w:rsid w:val="27EA2E41"/>
    <w:rsid w:val="282459E2"/>
    <w:rsid w:val="283A7FE5"/>
    <w:rsid w:val="285F51FF"/>
    <w:rsid w:val="28D90A03"/>
    <w:rsid w:val="28DA4193"/>
    <w:rsid w:val="28DF2665"/>
    <w:rsid w:val="28FB7D1A"/>
    <w:rsid w:val="29072599"/>
    <w:rsid w:val="291029F3"/>
    <w:rsid w:val="29CB58F0"/>
    <w:rsid w:val="29E05DD9"/>
    <w:rsid w:val="2A053397"/>
    <w:rsid w:val="2A145E96"/>
    <w:rsid w:val="2A2131BB"/>
    <w:rsid w:val="2ABE2219"/>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127DEA"/>
    <w:rsid w:val="37A755DD"/>
    <w:rsid w:val="37E95A5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52F31"/>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0D50B1"/>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054411"/>
    <w:rsid w:val="48060132"/>
    <w:rsid w:val="48387FB0"/>
    <w:rsid w:val="483A6114"/>
    <w:rsid w:val="488727DB"/>
    <w:rsid w:val="48B82268"/>
    <w:rsid w:val="48C354B3"/>
    <w:rsid w:val="493D58B5"/>
    <w:rsid w:val="494A7A04"/>
    <w:rsid w:val="49605EF7"/>
    <w:rsid w:val="49EC434C"/>
    <w:rsid w:val="4A0A26D2"/>
    <w:rsid w:val="4A2019A5"/>
    <w:rsid w:val="4A241A0B"/>
    <w:rsid w:val="4A5C2BD7"/>
    <w:rsid w:val="4A7B2875"/>
    <w:rsid w:val="4A934476"/>
    <w:rsid w:val="4AAA220A"/>
    <w:rsid w:val="4AE12E67"/>
    <w:rsid w:val="4AE162F4"/>
    <w:rsid w:val="4B4C0111"/>
    <w:rsid w:val="4B55221F"/>
    <w:rsid w:val="4B8553A9"/>
    <w:rsid w:val="4BDB3730"/>
    <w:rsid w:val="4C200F7A"/>
    <w:rsid w:val="4C310E7A"/>
    <w:rsid w:val="4C432ED6"/>
    <w:rsid w:val="4CEE3180"/>
    <w:rsid w:val="4D034226"/>
    <w:rsid w:val="4D0F4AF6"/>
    <w:rsid w:val="4DF94F37"/>
    <w:rsid w:val="4E0A1DD5"/>
    <w:rsid w:val="4E3160E5"/>
    <w:rsid w:val="4E4D37AF"/>
    <w:rsid w:val="4E610967"/>
    <w:rsid w:val="4E8C6496"/>
    <w:rsid w:val="4EFD18DE"/>
    <w:rsid w:val="4F144236"/>
    <w:rsid w:val="4F663C87"/>
    <w:rsid w:val="4F7E29A8"/>
    <w:rsid w:val="4F9E1FFC"/>
    <w:rsid w:val="50447CC2"/>
    <w:rsid w:val="50874A7C"/>
    <w:rsid w:val="50895EE7"/>
    <w:rsid w:val="50921B9D"/>
    <w:rsid w:val="50D16158"/>
    <w:rsid w:val="50DB5F45"/>
    <w:rsid w:val="51025EB1"/>
    <w:rsid w:val="51141503"/>
    <w:rsid w:val="511E0DA3"/>
    <w:rsid w:val="512D5E5A"/>
    <w:rsid w:val="513C450E"/>
    <w:rsid w:val="518D0ED5"/>
    <w:rsid w:val="51A324D5"/>
    <w:rsid w:val="525C687F"/>
    <w:rsid w:val="52A3740A"/>
    <w:rsid w:val="52F647F7"/>
    <w:rsid w:val="52F92565"/>
    <w:rsid w:val="53AE735E"/>
    <w:rsid w:val="53D03877"/>
    <w:rsid w:val="541F68CA"/>
    <w:rsid w:val="542F73CA"/>
    <w:rsid w:val="5430786D"/>
    <w:rsid w:val="545A1D2A"/>
    <w:rsid w:val="54C811C0"/>
    <w:rsid w:val="55613598"/>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366767"/>
    <w:rsid w:val="584A0929"/>
    <w:rsid w:val="58CD2491"/>
    <w:rsid w:val="591B41B2"/>
    <w:rsid w:val="5921646E"/>
    <w:rsid w:val="59254A26"/>
    <w:rsid w:val="59326325"/>
    <w:rsid w:val="595C505B"/>
    <w:rsid w:val="595E55C3"/>
    <w:rsid w:val="596E7E20"/>
    <w:rsid w:val="5A5D23AA"/>
    <w:rsid w:val="5A60780B"/>
    <w:rsid w:val="5A6B1AC0"/>
    <w:rsid w:val="5AB34579"/>
    <w:rsid w:val="5AB40E78"/>
    <w:rsid w:val="5AF80B40"/>
    <w:rsid w:val="5AFC6609"/>
    <w:rsid w:val="5B113480"/>
    <w:rsid w:val="5B7B3B09"/>
    <w:rsid w:val="5B810AC7"/>
    <w:rsid w:val="5BC129C4"/>
    <w:rsid w:val="5BD456CE"/>
    <w:rsid w:val="5C0D1F49"/>
    <w:rsid w:val="5CBB0CE2"/>
    <w:rsid w:val="5CC17177"/>
    <w:rsid w:val="5CF306BC"/>
    <w:rsid w:val="5D3F3D64"/>
    <w:rsid w:val="5D833043"/>
    <w:rsid w:val="5DD92690"/>
    <w:rsid w:val="5DDB1CFD"/>
    <w:rsid w:val="5E7E6D93"/>
    <w:rsid w:val="5E82459B"/>
    <w:rsid w:val="5ED44800"/>
    <w:rsid w:val="5F214071"/>
    <w:rsid w:val="5F350BDE"/>
    <w:rsid w:val="5F61632C"/>
    <w:rsid w:val="5FA17648"/>
    <w:rsid w:val="5FE705CB"/>
    <w:rsid w:val="6007714E"/>
    <w:rsid w:val="603D5080"/>
    <w:rsid w:val="606842D0"/>
    <w:rsid w:val="60D0261B"/>
    <w:rsid w:val="615739DD"/>
    <w:rsid w:val="618E3791"/>
    <w:rsid w:val="61947DCA"/>
    <w:rsid w:val="619E386B"/>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076B9"/>
    <w:rsid w:val="67521A59"/>
    <w:rsid w:val="67C304AB"/>
    <w:rsid w:val="683F0658"/>
    <w:rsid w:val="68780ABF"/>
    <w:rsid w:val="689C6793"/>
    <w:rsid w:val="68A47FBA"/>
    <w:rsid w:val="68DB0208"/>
    <w:rsid w:val="68DB2940"/>
    <w:rsid w:val="68FB170C"/>
    <w:rsid w:val="691B3D98"/>
    <w:rsid w:val="693748F0"/>
    <w:rsid w:val="69846A0E"/>
    <w:rsid w:val="69A704EE"/>
    <w:rsid w:val="69AA1366"/>
    <w:rsid w:val="69AD798C"/>
    <w:rsid w:val="69D005C0"/>
    <w:rsid w:val="69D80B96"/>
    <w:rsid w:val="69F47AD7"/>
    <w:rsid w:val="6A2C39D4"/>
    <w:rsid w:val="6B68175F"/>
    <w:rsid w:val="6B765DF5"/>
    <w:rsid w:val="6BFD799F"/>
    <w:rsid w:val="6C4A2E5A"/>
    <w:rsid w:val="6C8138D0"/>
    <w:rsid w:val="6CEE6A03"/>
    <w:rsid w:val="6CEF0725"/>
    <w:rsid w:val="6D4B2604"/>
    <w:rsid w:val="6D77358F"/>
    <w:rsid w:val="6D8030E4"/>
    <w:rsid w:val="6E0E35C4"/>
    <w:rsid w:val="6E0F7A08"/>
    <w:rsid w:val="6E3947F5"/>
    <w:rsid w:val="6E6733A0"/>
    <w:rsid w:val="6E6E3938"/>
    <w:rsid w:val="6E9C74ED"/>
    <w:rsid w:val="6EF72976"/>
    <w:rsid w:val="6F795A80"/>
    <w:rsid w:val="6F7C1D2E"/>
    <w:rsid w:val="6F8E0407"/>
    <w:rsid w:val="6F927898"/>
    <w:rsid w:val="6FDD069F"/>
    <w:rsid w:val="702136B7"/>
    <w:rsid w:val="702B4D16"/>
    <w:rsid w:val="70AA6621"/>
    <w:rsid w:val="7111480F"/>
    <w:rsid w:val="71261F49"/>
    <w:rsid w:val="712E6956"/>
    <w:rsid w:val="71473612"/>
    <w:rsid w:val="71504F32"/>
    <w:rsid w:val="7152309F"/>
    <w:rsid w:val="718F7F65"/>
    <w:rsid w:val="71DA6992"/>
    <w:rsid w:val="720C5F3B"/>
    <w:rsid w:val="727B234E"/>
    <w:rsid w:val="728A58B0"/>
    <w:rsid w:val="72D068C7"/>
    <w:rsid w:val="72E42ED8"/>
    <w:rsid w:val="72FC34C3"/>
    <w:rsid w:val="735F4CB9"/>
    <w:rsid w:val="73674C62"/>
    <w:rsid w:val="73845865"/>
    <w:rsid w:val="739B6D9E"/>
    <w:rsid w:val="73A6196C"/>
    <w:rsid w:val="73BC1D76"/>
    <w:rsid w:val="73FB5F5A"/>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3D29D4"/>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A54607"/>
    <w:rsid w:val="7AB467DA"/>
    <w:rsid w:val="7AB9318D"/>
    <w:rsid w:val="7AE952D2"/>
    <w:rsid w:val="7B9F26AF"/>
    <w:rsid w:val="7BB607FE"/>
    <w:rsid w:val="7C7248A0"/>
    <w:rsid w:val="7C976D69"/>
    <w:rsid w:val="7CBE6FE3"/>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6094</Words>
  <Characters>7039</Characters>
  <Lines>0</Lines>
  <Paragraphs>0</Paragraphs>
  <TotalTime>1</TotalTime>
  <ScaleCrop>false</ScaleCrop>
  <LinksUpToDate>false</LinksUpToDate>
  <CharactersWithSpaces>7039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2025-04-10T04:53:40Z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