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ascii="方正小标宋_GBK" w:hAnsi="华文中宋" w:eastAsia="方正小标宋_GBK" w:cs="宋体"/>
          <w:color w:val="auto"/>
          <w:kern w:val="0"/>
          <w:sz w:val="44"/>
          <w:szCs w:val="44"/>
          <w:lang w:eastAsia="zh-Hans"/>
        </w:rPr>
      </w:pPr>
      <w:bookmarkStart w:id="0" w:name="_GoBack"/>
      <w:bookmarkEnd w:id="0"/>
    </w:p>
    <w:p>
      <w:pPr>
        <w:spacing w:line="600" w:lineRule="exact"/>
        <w:ind w:firstLine="0" w:firstLineChars="0"/>
        <w:jc w:val="center"/>
        <w:rPr>
          <w:rFonts w:hint="eastAsia" w:ascii="方正小标宋_GBK" w:hAnsi="华文中宋" w:eastAsia="方正小标宋_GBK" w:cs="宋体"/>
          <w:color w:val="auto"/>
          <w:kern w:val="0"/>
          <w:sz w:val="44"/>
          <w:szCs w:val="44"/>
          <w:lang w:eastAsia="zh-Hans"/>
        </w:rPr>
      </w:pPr>
    </w:p>
    <w:p>
      <w:pPr>
        <w:spacing w:line="600" w:lineRule="exact"/>
        <w:ind w:firstLine="0" w:firstLineChars="0"/>
        <w:jc w:val="center"/>
        <w:rPr>
          <w:rFonts w:ascii="方正小标宋_GBK" w:hAnsi="华文中宋" w:eastAsia="方正小标宋_GBK" w:cs="宋体"/>
          <w:color w:val="auto"/>
          <w:kern w:val="0"/>
          <w:sz w:val="44"/>
          <w:szCs w:val="44"/>
          <w:lang w:eastAsia="zh-Hans"/>
        </w:rPr>
      </w:pPr>
    </w:p>
    <w:p>
      <w:pPr>
        <w:spacing w:line="360" w:lineRule="auto"/>
        <w:ind w:firstLine="0" w:firstLineChars="0"/>
        <w:jc w:val="center"/>
        <w:rPr>
          <w:rFonts w:hint="eastAsia" w:ascii="方正小标宋_GBK" w:hAnsi="华文中宋" w:eastAsia="方正小标宋_GBK" w:cs="宋体"/>
          <w:color w:val="auto"/>
          <w:kern w:val="0"/>
          <w:sz w:val="44"/>
          <w:szCs w:val="44"/>
        </w:rPr>
      </w:pPr>
      <w:r>
        <w:rPr>
          <w:rFonts w:hint="eastAsia" w:ascii="方正小标宋_GBK" w:hAnsi="华文中宋" w:eastAsia="方正小标宋_GBK" w:cs="宋体"/>
          <w:color w:val="auto"/>
          <w:kern w:val="0"/>
          <w:sz w:val="44"/>
          <w:szCs w:val="44"/>
          <w:lang w:eastAsia="zh-CN"/>
        </w:rPr>
        <w:t>沙湾市农村合作经济发展中心</w:t>
      </w:r>
      <w:r>
        <w:rPr>
          <w:rFonts w:hint="eastAsia" w:ascii="方正小标宋_GBK" w:hAnsi="华文中宋" w:eastAsia="方正小标宋_GBK" w:cs="宋体"/>
          <w:color w:val="auto"/>
          <w:kern w:val="0"/>
          <w:sz w:val="44"/>
          <w:szCs w:val="44"/>
        </w:rPr>
        <w:t>整体支出</w:t>
      </w:r>
    </w:p>
    <w:p>
      <w:pPr>
        <w:spacing w:line="360" w:lineRule="auto"/>
        <w:ind w:firstLine="0" w:firstLineChars="0"/>
        <w:jc w:val="center"/>
        <w:rPr>
          <w:rFonts w:ascii="方正小标宋_GBK" w:hAnsi="华文中宋" w:eastAsia="方正小标宋_GBK" w:cs="宋体"/>
          <w:color w:val="auto"/>
          <w:kern w:val="0"/>
          <w:sz w:val="44"/>
          <w:szCs w:val="44"/>
        </w:rPr>
      </w:pPr>
      <w:r>
        <w:rPr>
          <w:rFonts w:hint="eastAsia" w:ascii="方正小标宋_GBK" w:hAnsi="华文中宋" w:eastAsia="方正小标宋_GBK" w:cs="宋体"/>
          <w:color w:val="auto"/>
          <w:kern w:val="0"/>
          <w:sz w:val="44"/>
          <w:szCs w:val="44"/>
        </w:rPr>
        <w:t>绩效自评报告</w:t>
      </w: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仿宋_GB2312" w:hAnsi="宋体" w:eastAsia="仿宋_GB2312" w:cs="宋体"/>
          <w:color w:val="auto"/>
          <w:kern w:val="0"/>
          <w:sz w:val="36"/>
          <w:szCs w:val="36"/>
        </w:rPr>
      </w:pPr>
      <w:r>
        <w:rPr>
          <w:rFonts w:hint="eastAsia" w:ascii="仿宋_GB2312" w:hAnsi="宋体" w:eastAsia="仿宋_GB2312" w:cs="宋体"/>
          <w:color w:val="auto"/>
          <w:kern w:val="0"/>
          <w:sz w:val="36"/>
          <w:szCs w:val="36"/>
        </w:rPr>
        <w:t>（202</w:t>
      </w:r>
      <w:r>
        <w:rPr>
          <w:rFonts w:hint="eastAsia" w:ascii="仿宋_GB2312" w:hAnsi="宋体" w:eastAsia="仿宋_GB2312" w:cs="宋体"/>
          <w:color w:val="auto"/>
          <w:kern w:val="0"/>
          <w:sz w:val="36"/>
          <w:szCs w:val="36"/>
          <w:lang w:val="en-US" w:eastAsia="zh-CN"/>
        </w:rPr>
        <w:t>3</w:t>
      </w:r>
      <w:r>
        <w:rPr>
          <w:rFonts w:hint="eastAsia" w:ascii="仿宋_GB2312" w:hAnsi="宋体" w:eastAsia="仿宋_GB2312" w:cs="宋体"/>
          <w:color w:val="auto"/>
          <w:kern w:val="0"/>
          <w:sz w:val="36"/>
          <w:szCs w:val="36"/>
        </w:rPr>
        <w:t>年度</w:t>
      </w:r>
      <w:r>
        <w:rPr>
          <w:rFonts w:hint="eastAsia" w:ascii="仿宋_GB2312" w:hAnsi="Malgun Gothic Semilight" w:eastAsia="仿宋_GB2312" w:cs="Malgun Gothic Semilight"/>
          <w:color w:val="auto"/>
          <w:kern w:val="0"/>
          <w:sz w:val="36"/>
          <w:szCs w:val="36"/>
        </w:rPr>
        <w:t>）</w:t>
      </w: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ind w:firstLine="0" w:firstLineChars="0"/>
        <w:jc w:val="center"/>
        <w:rPr>
          <w:rFonts w:hint="eastAsia" w:ascii="华文中宋" w:hAnsi="华文中宋" w:eastAsia="华文中宋" w:cs="宋体"/>
          <w:b/>
          <w:color w:val="auto"/>
          <w:kern w:val="0"/>
          <w:sz w:val="52"/>
          <w:szCs w:val="52"/>
        </w:rPr>
      </w:pPr>
    </w:p>
    <w:p>
      <w:pPr>
        <w:ind w:firstLine="0" w:firstLineChars="0"/>
        <w:jc w:val="center"/>
        <w:rPr>
          <w:rFonts w:ascii="华文中宋" w:hAnsi="华文中宋" w:eastAsia="华文中宋" w:cs="宋体"/>
          <w:b/>
          <w:color w:val="auto"/>
          <w:kern w:val="0"/>
          <w:sz w:val="52"/>
          <w:szCs w:val="52"/>
        </w:rPr>
      </w:pPr>
    </w:p>
    <w:p>
      <w:pPr>
        <w:spacing w:line="600" w:lineRule="exact"/>
        <w:ind w:firstLine="640"/>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rPr>
        <w:t>部门单位名称（公章）：</w:t>
      </w:r>
      <w:r>
        <w:rPr>
          <w:rFonts w:hint="eastAsia" w:ascii="黑体" w:hAnsi="黑体" w:eastAsia="黑体" w:cs="黑体"/>
          <w:bCs/>
          <w:color w:val="auto"/>
          <w:sz w:val="32"/>
          <w:szCs w:val="32"/>
          <w:lang w:val="en-US" w:eastAsia="zh-CN"/>
        </w:rPr>
        <w:t>沙湾市农村合作经济发展中心</w:t>
      </w:r>
    </w:p>
    <w:p>
      <w:pPr>
        <w:spacing w:line="600" w:lineRule="exact"/>
        <w:ind w:firstLine="640"/>
        <w:rPr>
          <w:rFonts w:ascii="黑体" w:hAnsi="黑体" w:eastAsia="黑体" w:cs="黑体"/>
          <w:bCs/>
          <w:color w:val="auto"/>
          <w:sz w:val="32"/>
          <w:szCs w:val="32"/>
        </w:rPr>
      </w:pPr>
      <w:r>
        <w:rPr>
          <w:rFonts w:hint="eastAsia" w:ascii="黑体" w:hAnsi="黑体" w:eastAsia="黑体" w:cs="黑体"/>
          <w:bCs/>
          <w:color w:val="auto"/>
          <w:sz w:val="32"/>
          <w:szCs w:val="32"/>
        </w:rPr>
        <w:t>填报时间：</w:t>
      </w:r>
      <w:r>
        <w:rPr>
          <w:rFonts w:hint="eastAsia" w:ascii="黑体" w:hAnsi="黑体" w:eastAsia="黑体" w:cs="黑体"/>
          <w:bCs/>
          <w:color w:val="auto"/>
          <w:sz w:val="32"/>
          <w:szCs w:val="32"/>
          <w:lang w:val="en-US" w:eastAsia="zh-CN"/>
        </w:rPr>
        <w:t>2024</w:t>
      </w:r>
      <w:r>
        <w:rPr>
          <w:rFonts w:hint="eastAsia" w:ascii="黑体" w:hAnsi="黑体" w:eastAsia="黑体" w:cs="黑体"/>
          <w:bCs/>
          <w:color w:val="auto"/>
          <w:sz w:val="32"/>
          <w:szCs w:val="32"/>
        </w:rPr>
        <w:t>年</w:t>
      </w:r>
      <w:r>
        <w:rPr>
          <w:rFonts w:hint="eastAsia" w:ascii="黑体" w:hAnsi="黑体" w:eastAsia="黑体" w:cs="黑体"/>
          <w:bCs/>
          <w:color w:val="auto"/>
          <w:sz w:val="32"/>
          <w:szCs w:val="32"/>
          <w:lang w:val="en-US" w:eastAsia="zh-CN"/>
        </w:rPr>
        <w:t>3</w:t>
      </w:r>
      <w:r>
        <w:rPr>
          <w:rFonts w:hint="eastAsia" w:ascii="黑体" w:hAnsi="黑体" w:eastAsia="黑体" w:cs="黑体"/>
          <w:bCs/>
          <w:color w:val="auto"/>
          <w:sz w:val="32"/>
          <w:szCs w:val="32"/>
        </w:rPr>
        <w:t>月</w:t>
      </w:r>
      <w:r>
        <w:rPr>
          <w:rFonts w:hint="eastAsia" w:ascii="黑体" w:hAnsi="黑体" w:eastAsia="黑体" w:cs="黑体"/>
          <w:bCs/>
          <w:color w:val="auto"/>
          <w:sz w:val="32"/>
          <w:szCs w:val="32"/>
          <w:lang w:val="en-US" w:eastAsia="zh-CN"/>
        </w:rPr>
        <w:t>21</w:t>
      </w:r>
      <w:r>
        <w:rPr>
          <w:rFonts w:hint="eastAsia" w:ascii="黑体" w:hAnsi="黑体" w:eastAsia="黑体" w:cs="黑体"/>
          <w:bCs/>
          <w:color w:val="auto"/>
          <w:sz w:val="32"/>
          <w:szCs w:val="32"/>
        </w:rPr>
        <w:t>日</w:t>
      </w:r>
    </w:p>
    <w:p>
      <w:pPr>
        <w:adjustRightInd w:val="0"/>
        <w:snapToGrid w:val="0"/>
        <w:ind w:firstLine="643"/>
        <w:rPr>
          <w:rFonts w:hint="eastAsia" w:ascii="仿宋_GB2312" w:eastAsia="仿宋_GB2312"/>
          <w:b/>
          <w:bCs/>
          <w:color w:val="auto"/>
          <w:sz w:val="32"/>
          <w:szCs w:val="32"/>
        </w:rPr>
      </w:pPr>
    </w:p>
    <w:p>
      <w:pPr>
        <w:pStyle w:val="3"/>
        <w:spacing w:line="570" w:lineRule="exact"/>
        <w:ind w:firstLine="643"/>
        <w:rPr>
          <w:rStyle w:val="14"/>
          <w:rFonts w:ascii="黑体" w:hAnsi="黑体" w:cs="仿宋_GB2312"/>
          <w:b/>
          <w:bCs w:val="0"/>
          <w:color w:val="auto"/>
          <w:kern w:val="2"/>
          <w:sz w:val="32"/>
          <w:szCs w:val="32"/>
          <w:lang w:eastAsia="zh-Hans" w:bidi="ar"/>
        </w:rPr>
      </w:pPr>
      <w:r>
        <w:rPr>
          <w:rStyle w:val="14"/>
          <w:rFonts w:hint="eastAsia" w:ascii="黑体" w:hAnsi="黑体" w:cs="仿宋_GB2312"/>
          <w:b/>
          <w:bCs w:val="0"/>
          <w:color w:val="auto"/>
          <w:kern w:val="2"/>
          <w:sz w:val="32"/>
          <w:szCs w:val="32"/>
          <w:lang w:eastAsia="zh-Hans" w:bidi="ar"/>
        </w:rPr>
        <w:t>一、基本概况</w:t>
      </w:r>
    </w:p>
    <w:p>
      <w:pPr>
        <w:pStyle w:val="4"/>
        <w:spacing w:line="570" w:lineRule="exact"/>
        <w:ind w:firstLine="643"/>
        <w:rPr>
          <w:rFonts w:ascii="楷体_GB2312" w:eastAsia="楷体_GB2312"/>
          <w:color w:val="auto"/>
          <w:szCs w:val="32"/>
        </w:rPr>
      </w:pPr>
      <w:r>
        <w:rPr>
          <w:rFonts w:hint="eastAsia" w:ascii="楷体_GB2312" w:eastAsia="楷体_GB2312"/>
          <w:color w:val="auto"/>
          <w:szCs w:val="32"/>
        </w:rPr>
        <w:t>（一）</w:t>
      </w:r>
      <w:r>
        <w:rPr>
          <w:rFonts w:hint="eastAsia" w:ascii="楷体_GB2312" w:eastAsia="楷体_GB2312"/>
          <w:color w:val="auto"/>
          <w:szCs w:val="32"/>
          <w:lang w:val="en-US" w:eastAsia="zh-CN"/>
        </w:rPr>
        <w:t>部门</w:t>
      </w:r>
      <w:r>
        <w:rPr>
          <w:rFonts w:hint="eastAsia" w:ascii="楷体_GB2312" w:eastAsia="楷体_GB2312"/>
          <w:color w:val="auto"/>
          <w:szCs w:val="32"/>
        </w:rPr>
        <w:t>单位基本情况</w:t>
      </w:r>
    </w:p>
    <w:p>
      <w:pPr>
        <w:bidi w:val="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1.部门主要职能</w:t>
      </w:r>
    </w:p>
    <w:p>
      <w:pPr>
        <w:snapToGrid w:val="0"/>
        <w:spacing w:line="520" w:lineRule="exact"/>
        <w:ind w:firstLine="640" w:firstLineChars="200"/>
        <w:rPr>
          <w:rStyle w:val="14"/>
          <w:rFonts w:ascii="仿宋_GB2312" w:hAnsi="仿宋_GB2312" w:eastAsia="仿宋_GB2312" w:cs="仿宋_GB2312"/>
          <w:b w:val="0"/>
          <w:color w:val="auto"/>
          <w:sz w:val="32"/>
          <w:szCs w:val="32"/>
          <w:lang w:eastAsia="zh-Hans" w:bidi="ar"/>
        </w:rPr>
      </w:pPr>
      <w:r>
        <w:rPr>
          <w:rStyle w:val="14"/>
          <w:rFonts w:hint="eastAsia" w:ascii="仿宋_GB2312" w:hAnsi="仿宋_GB2312" w:eastAsia="仿宋_GB2312" w:cs="仿宋_GB2312"/>
          <w:b w:val="0"/>
          <w:color w:val="auto"/>
          <w:sz w:val="32"/>
          <w:szCs w:val="32"/>
          <w:lang w:eastAsia="zh-CN" w:bidi="ar"/>
        </w:rPr>
        <w:t>沙湾市农村合作经济发展中心</w:t>
      </w:r>
      <w:r>
        <w:rPr>
          <w:rStyle w:val="14"/>
          <w:rFonts w:hint="eastAsia" w:ascii="仿宋_GB2312" w:hAnsi="仿宋_GB2312" w:eastAsia="仿宋_GB2312" w:cs="仿宋_GB2312"/>
          <w:b w:val="0"/>
          <w:color w:val="auto"/>
          <w:sz w:val="32"/>
          <w:szCs w:val="32"/>
          <w:lang w:eastAsia="zh-Hans" w:bidi="ar"/>
        </w:rPr>
        <w:t>的主要职能是</w:t>
      </w:r>
      <w:r>
        <w:rPr>
          <w:rStyle w:val="14"/>
          <w:rFonts w:ascii="仿宋_GB2312" w:hAnsi="仿宋_GB2312" w:eastAsia="仿宋_GB2312" w:cs="仿宋_GB2312"/>
          <w:b w:val="0"/>
          <w:color w:val="auto"/>
          <w:sz w:val="32"/>
          <w:szCs w:val="32"/>
          <w:lang w:eastAsia="zh-Hans" w:bidi="ar"/>
        </w:rPr>
        <w:t>。</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（一）配合农业农村局做好全面深化农村改革有关工作，协助做好农民承包地的改革、农村集体产权制度改革和农村宅基地等改革工作，承担农村集体经济组织登记赋码和指导规范化建设。</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（二）承担农村土地经营权流转指导服务工作，协助指导农村宅基地分配、使用、流转、纠纷仲裁管理和合理布局、用地标准，指导闲置宅基地的闲置农房利用。</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三）配合农业农村局制定沙湾市培育新型农业经营主体、健全新型农业经营体系的政策措施，承担农民专业合作社、家庭农场规范建立、运作及人才培育，组织开展示范性农民专业合作社、家庭农场申报、评定和监测。</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（四）指导农村集体财务会计和经济审计工作。</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（五）开展农业社会化服务体系建设，指导农业生产性服务组织规范发展。</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（六）承担农村经营管理信息化平台建设、运行和维护工作。</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（七）负责全市农村经营管理统计数据收集整理、上报工作。</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CN" w:bidi="ar"/>
        </w:rPr>
      </w:pPr>
      <w:r>
        <w:rPr>
          <w:rStyle w:val="14"/>
          <w:rFonts w:hint="eastAsia" w:ascii="仿宋_GB2312" w:hAnsi="仿宋_GB2312" w:eastAsia="仿宋_GB2312" w:cs="仿宋_GB2312"/>
          <w:b w:val="0"/>
          <w:color w:val="auto"/>
          <w:sz w:val="32"/>
          <w:szCs w:val="32"/>
          <w:lang w:eastAsia="zh-CN" w:bidi="ar"/>
        </w:rPr>
        <w:t>（八）承担农村合作经济发展相关业务培训工作。</w:t>
      </w:r>
    </w:p>
    <w:p>
      <w:pPr>
        <w:snapToGrid w:val="0"/>
        <w:spacing w:line="520" w:lineRule="exact"/>
        <w:ind w:firstLine="640" w:firstLineChars="200"/>
        <w:rPr>
          <w:rStyle w:val="14"/>
          <w:rFonts w:hint="eastAsia" w:ascii="仿宋_GB2312" w:hAnsi="仿宋_GB2312" w:eastAsia="仿宋_GB2312" w:cs="仿宋_GB2312"/>
          <w:b w:val="0"/>
          <w:color w:val="auto"/>
          <w:sz w:val="32"/>
          <w:szCs w:val="32"/>
          <w:lang w:eastAsia="zh-Hans" w:bidi="ar"/>
        </w:rPr>
      </w:pPr>
      <w:r>
        <w:rPr>
          <w:rStyle w:val="14"/>
          <w:rFonts w:hint="eastAsia" w:ascii="仿宋_GB2312" w:hAnsi="仿宋_GB2312" w:eastAsia="仿宋_GB2312" w:cs="仿宋_GB2312"/>
          <w:b w:val="0"/>
          <w:color w:val="auto"/>
          <w:sz w:val="32"/>
          <w:szCs w:val="32"/>
          <w:lang w:eastAsia="zh-CN" w:bidi="ar"/>
        </w:rPr>
        <w:t>（九）完成上级交办的其他任务</w:t>
      </w:r>
    </w:p>
    <w:p>
      <w:pPr>
        <w:bidi w:val="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2.部门机构设置及人员构成</w:t>
      </w:r>
    </w:p>
    <w:p>
      <w:pPr>
        <w:spacing w:line="570" w:lineRule="exact"/>
        <w:ind w:firstLine="640"/>
        <w:rPr>
          <w:rStyle w:val="14"/>
          <w:rFonts w:ascii="仿宋_GB2312" w:hAnsi="仿宋_GB2312" w:eastAsia="仿宋_GB2312" w:cs="仿宋_GB2312"/>
          <w:b w:val="0"/>
          <w:color w:val="auto"/>
          <w:sz w:val="32"/>
          <w:szCs w:val="32"/>
          <w:lang w:bidi="ar"/>
        </w:rPr>
      </w:pPr>
      <w:r>
        <w:rPr>
          <w:rStyle w:val="14"/>
          <w:rFonts w:hint="eastAsia" w:ascii="仿宋_GB2312" w:hAnsi="仿宋_GB2312" w:eastAsia="仿宋_GB2312" w:cs="仿宋_GB2312"/>
          <w:b w:val="0"/>
          <w:color w:val="auto"/>
          <w:sz w:val="32"/>
          <w:szCs w:val="32"/>
          <w:lang w:eastAsia="zh-CN" w:bidi="ar"/>
        </w:rPr>
        <w:t>沙湾市农村合作经济发展中心</w:t>
      </w:r>
      <w:r>
        <w:rPr>
          <w:rFonts w:hint="eastAsia" w:ascii="仿宋_GB2312" w:hAnsi="仿宋_GB2312" w:cs="仿宋_GB2312"/>
          <w:color w:val="auto"/>
          <w:kern w:val="0"/>
          <w:sz w:val="32"/>
          <w:szCs w:val="32"/>
          <w:lang w:eastAsia="zh-Hans"/>
        </w:rPr>
        <w:t>为</w:t>
      </w:r>
      <w:r>
        <w:rPr>
          <w:rFonts w:hint="eastAsia" w:ascii="仿宋_GB2312" w:hAnsi="仿宋_GB2312" w:cs="仿宋_GB2312"/>
          <w:color w:val="auto"/>
          <w:kern w:val="0"/>
          <w:sz w:val="32"/>
          <w:szCs w:val="32"/>
          <w:lang w:eastAsia="zh-CN"/>
        </w:rPr>
        <w:t>参照公务员管理</w:t>
      </w:r>
      <w:r>
        <w:rPr>
          <w:rFonts w:hint="eastAsia" w:ascii="仿宋_GB2312" w:hAnsi="仿宋_GB2312" w:cs="仿宋_GB2312"/>
          <w:color w:val="auto"/>
          <w:kern w:val="0"/>
          <w:sz w:val="32"/>
          <w:szCs w:val="32"/>
          <w:lang w:eastAsia="zh-Hans"/>
        </w:rPr>
        <w:t>事业单位</w:t>
      </w:r>
      <w:r>
        <w:rPr>
          <w:rFonts w:ascii="仿宋_GB2312" w:hAnsi="仿宋_GB2312" w:cs="仿宋_GB2312"/>
          <w:color w:val="auto"/>
          <w:kern w:val="0"/>
          <w:sz w:val="32"/>
          <w:szCs w:val="32"/>
          <w:lang w:eastAsia="zh-Hans"/>
        </w:rPr>
        <w:t>，</w:t>
      </w:r>
      <w:r>
        <w:rPr>
          <w:rFonts w:hint="eastAsia" w:ascii="仿宋_GB2312" w:hAnsi="仿宋_GB2312" w:cs="仿宋_GB2312"/>
          <w:color w:val="auto"/>
          <w:kern w:val="0"/>
          <w:sz w:val="32"/>
          <w:szCs w:val="32"/>
          <w:lang w:eastAsia="zh-Hans"/>
        </w:rPr>
        <w:t>下设</w:t>
      </w:r>
      <w:r>
        <w:rPr>
          <w:rStyle w:val="14"/>
          <w:rFonts w:hint="eastAsia" w:ascii="仿宋_GB2312" w:hAnsi="仿宋_GB2312" w:eastAsia="仿宋_GB2312" w:cs="仿宋_GB2312"/>
          <w:b w:val="0"/>
          <w:color w:val="auto"/>
          <w:sz w:val="32"/>
          <w:szCs w:val="32"/>
          <w:lang w:val="en-US" w:eastAsia="zh-CN" w:bidi="ar"/>
        </w:rPr>
        <w:t>3</w:t>
      </w:r>
      <w:r>
        <w:rPr>
          <w:rFonts w:hint="eastAsia" w:ascii="仿宋_GB2312" w:hAnsi="仿宋_GB2312" w:cs="仿宋_GB2312"/>
          <w:color w:val="auto"/>
          <w:kern w:val="0"/>
          <w:sz w:val="32"/>
          <w:szCs w:val="32"/>
          <w:lang w:eastAsia="zh-Hans"/>
        </w:rPr>
        <w:t>个办公室</w:t>
      </w:r>
      <w:r>
        <w:rPr>
          <w:rFonts w:ascii="仿宋_GB2312" w:hAnsi="仿宋_GB2312" w:cs="仿宋_GB2312"/>
          <w:color w:val="auto"/>
          <w:kern w:val="0"/>
          <w:sz w:val="32"/>
          <w:szCs w:val="32"/>
          <w:lang w:eastAsia="zh-Hans"/>
        </w:rPr>
        <w:t>，</w:t>
      </w:r>
      <w:r>
        <w:rPr>
          <w:rFonts w:hint="eastAsia" w:ascii="仿宋_GB2312" w:hAnsi="仿宋_GB2312" w:cs="仿宋_GB2312"/>
          <w:color w:val="auto"/>
          <w:kern w:val="0"/>
          <w:sz w:val="32"/>
          <w:szCs w:val="32"/>
          <w:lang w:eastAsia="zh-Hans"/>
        </w:rPr>
        <w:t>分别为</w:t>
      </w:r>
      <w:r>
        <w:rPr>
          <w:rFonts w:ascii="仿宋_GB2312" w:hAnsi="仿宋_GB2312" w:cs="仿宋_GB2312"/>
          <w:color w:val="auto"/>
          <w:kern w:val="0"/>
          <w:sz w:val="32"/>
          <w:szCs w:val="32"/>
          <w:lang w:eastAsia="zh-Hans"/>
        </w:rPr>
        <w:t>：</w:t>
      </w:r>
      <w:r>
        <w:rPr>
          <w:rStyle w:val="14"/>
          <w:rFonts w:hint="eastAsia" w:ascii="仿宋_GB2312" w:hAnsi="仿宋_GB2312" w:eastAsia="仿宋_GB2312" w:cs="仿宋_GB2312"/>
          <w:b w:val="0"/>
          <w:color w:val="auto"/>
          <w:sz w:val="32"/>
          <w:szCs w:val="32"/>
          <w:lang w:eastAsia="zh-CN" w:bidi="ar"/>
        </w:rPr>
        <w:t>办公室</w:t>
      </w:r>
      <w:r>
        <w:rPr>
          <w:rStyle w:val="14"/>
          <w:rFonts w:hint="eastAsia" w:ascii="仿宋_GB2312" w:hAnsi="仿宋_GB2312" w:eastAsia="仿宋_GB2312" w:cs="仿宋_GB2312"/>
          <w:b w:val="0"/>
          <w:color w:val="auto"/>
          <w:sz w:val="32"/>
          <w:szCs w:val="32"/>
          <w:lang w:bidi="ar"/>
        </w:rPr>
        <w:t>、</w:t>
      </w:r>
      <w:r>
        <w:rPr>
          <w:rStyle w:val="14"/>
          <w:rFonts w:hint="eastAsia" w:ascii="仿宋_GB2312" w:hAnsi="仿宋_GB2312" w:eastAsia="仿宋_GB2312" w:cs="仿宋_GB2312"/>
          <w:b w:val="0"/>
          <w:color w:val="auto"/>
          <w:sz w:val="32"/>
          <w:szCs w:val="32"/>
          <w:lang w:eastAsia="zh-CN" w:bidi="ar"/>
        </w:rPr>
        <w:t>业务室</w:t>
      </w:r>
      <w:r>
        <w:rPr>
          <w:rStyle w:val="14"/>
          <w:rFonts w:hint="eastAsia" w:ascii="仿宋_GB2312" w:hAnsi="仿宋_GB2312" w:eastAsia="仿宋_GB2312" w:cs="仿宋_GB2312"/>
          <w:b w:val="0"/>
          <w:color w:val="auto"/>
          <w:sz w:val="32"/>
          <w:szCs w:val="32"/>
          <w:lang w:bidi="ar"/>
        </w:rPr>
        <w:t>、</w:t>
      </w:r>
      <w:r>
        <w:rPr>
          <w:rStyle w:val="14"/>
          <w:rFonts w:hint="eastAsia" w:ascii="仿宋_GB2312" w:hAnsi="仿宋_GB2312" w:eastAsia="仿宋_GB2312" w:cs="仿宋_GB2312"/>
          <w:b w:val="0"/>
          <w:color w:val="auto"/>
          <w:sz w:val="32"/>
          <w:szCs w:val="32"/>
          <w:lang w:eastAsia="zh-CN" w:bidi="ar"/>
        </w:rPr>
        <w:t>财务室</w:t>
      </w:r>
      <w:r>
        <w:rPr>
          <w:rFonts w:hint="eastAsia" w:ascii="仿宋_GB2312" w:hAnsi="仿宋_GB2312" w:cs="仿宋_GB2312"/>
          <w:color w:val="auto"/>
          <w:kern w:val="0"/>
          <w:sz w:val="32"/>
          <w:szCs w:val="32"/>
          <w:lang w:eastAsia="zh-Hans"/>
        </w:rPr>
        <w:t>。</w:t>
      </w:r>
    </w:p>
    <w:p>
      <w:pPr>
        <w:bidi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编制人数为9人，其中：行政人员编制0人、工勤人员0人、参公人员9人、事业编制0人。实有在职人数6人，其中：行政在职0人、工勤0人、参公6</w:t>
      </w:r>
      <w:r>
        <w:rPr>
          <w:rFonts w:hint="eastAsia" w:ascii="仿宋_GB2312" w:hAnsi="仿宋_GB2312" w:eastAsia="仿宋_GB2312" w:cs="仿宋_GB2312"/>
          <w:color w:val="auto"/>
          <w:sz w:val="32"/>
          <w:szCs w:val="32"/>
          <w:lang w:val="en-US" w:eastAsia="zh-Hans"/>
        </w:rPr>
        <w:t>人</w:t>
      </w:r>
      <w:r>
        <w:rPr>
          <w:rFonts w:hint="eastAsia" w:ascii="仿宋_GB2312" w:hAnsi="仿宋_GB2312" w:eastAsia="仿宋_GB2312" w:cs="仿宋_GB2312"/>
          <w:color w:val="auto"/>
          <w:sz w:val="32"/>
          <w:szCs w:val="32"/>
          <w:lang w:val="en-US" w:eastAsia="zh-CN"/>
        </w:rPr>
        <w:t>、事业在职0人。离退休人员7人，其中：行政退休人员0人、事业退休7人。</w:t>
      </w:r>
    </w:p>
    <w:p>
      <w:pPr>
        <w:pStyle w:val="4"/>
        <w:numPr>
          <w:ilvl w:val="0"/>
          <w:numId w:val="1"/>
        </w:numPr>
        <w:spacing w:line="570" w:lineRule="exact"/>
        <w:ind w:firstLine="643"/>
        <w:rPr>
          <w:rFonts w:hint="eastAsia" w:ascii="楷体_GB2312" w:eastAsia="楷体_GB2312"/>
          <w:color w:val="auto"/>
          <w:szCs w:val="32"/>
          <w:lang w:val="en-US" w:eastAsia="zh-CN"/>
        </w:rPr>
      </w:pPr>
      <w:r>
        <w:rPr>
          <w:rFonts w:hint="eastAsia" w:ascii="楷体_GB2312" w:eastAsia="楷体_GB2312"/>
          <w:color w:val="auto"/>
          <w:szCs w:val="32"/>
          <w:lang w:val="en-US" w:eastAsia="zh-CN"/>
        </w:rPr>
        <w:t>部门</w:t>
      </w:r>
      <w:r>
        <w:rPr>
          <w:rFonts w:hint="eastAsia" w:ascii="楷体_GB2312" w:eastAsia="楷体_GB2312"/>
          <w:color w:val="auto"/>
          <w:szCs w:val="32"/>
        </w:rPr>
        <w:t>单位</w:t>
      </w:r>
      <w:r>
        <w:rPr>
          <w:rFonts w:hint="eastAsia" w:ascii="楷体_GB2312" w:eastAsia="楷体_GB2312"/>
          <w:color w:val="auto"/>
          <w:szCs w:val="32"/>
          <w:lang w:val="en-US" w:eastAsia="zh-CN"/>
        </w:rPr>
        <w:t>年度重点工作</w:t>
      </w:r>
    </w:p>
    <w:p>
      <w:pPr>
        <w:bidi w:val="0"/>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1.年度工作计划</w:t>
      </w:r>
    </w:p>
    <w:p>
      <w:pPr>
        <w:pStyle w:val="16"/>
        <w:snapToGrid w:val="0"/>
        <w:spacing w:line="570" w:lineRule="exact"/>
        <w:ind w:firstLine="640"/>
        <w:rPr>
          <w:rStyle w:val="14"/>
          <w:rFonts w:ascii="仿宋_GB2312" w:hAnsi="仿宋_GB2312" w:eastAsia="仿宋_GB2312" w:cs="仿宋_GB2312"/>
          <w:b w:val="0"/>
          <w:color w:val="auto"/>
          <w:sz w:val="32"/>
          <w:szCs w:val="32"/>
          <w:lang w:eastAsia="zh-Hans" w:bidi="ar"/>
        </w:rPr>
      </w:pPr>
      <w:r>
        <w:rPr>
          <w:rStyle w:val="14"/>
          <w:rFonts w:hint="eastAsia" w:ascii="仿宋_GB2312" w:hAnsi="仿宋_GB2312" w:eastAsia="仿宋_GB2312" w:cs="仿宋_GB2312"/>
          <w:b w:val="0"/>
          <w:color w:val="auto"/>
          <w:sz w:val="32"/>
          <w:szCs w:val="32"/>
          <w:lang w:eastAsia="zh-CN" w:bidi="ar"/>
        </w:rPr>
        <w:t>沙湾市农村合作经济发展中心2023</w:t>
      </w:r>
      <w:r>
        <w:rPr>
          <w:rStyle w:val="14"/>
          <w:rFonts w:hint="eastAsia" w:ascii="仿宋_GB2312" w:hAnsi="仿宋_GB2312" w:eastAsia="仿宋_GB2312" w:cs="仿宋_GB2312"/>
          <w:b w:val="0"/>
          <w:color w:val="auto"/>
          <w:sz w:val="32"/>
          <w:szCs w:val="32"/>
          <w:lang w:eastAsia="zh-Hans" w:bidi="ar"/>
        </w:rPr>
        <w:t>年度重点工作是</w:t>
      </w:r>
      <w:r>
        <w:rPr>
          <w:rStyle w:val="14"/>
          <w:rFonts w:ascii="仿宋_GB2312" w:hAnsi="仿宋_GB2312" w:eastAsia="仿宋_GB2312" w:cs="仿宋_GB2312"/>
          <w:b w:val="0"/>
          <w:color w:val="auto"/>
          <w:sz w:val="32"/>
          <w:szCs w:val="32"/>
          <w:lang w:eastAsia="zh-Hans" w:bidi="ar"/>
        </w:rPr>
        <w:t>：</w:t>
      </w:r>
    </w:p>
    <w:p>
      <w:pPr>
        <w:spacing w:line="500" w:lineRule="exact"/>
        <w:ind w:firstLine="643" w:firstLineChars="200"/>
        <w:rPr>
          <w:rFonts w:eastAsia="仿宋_GB2312" w:cs="仿宋_GB2312"/>
          <w:color w:val="auto"/>
          <w:kern w:val="44"/>
          <w:sz w:val="32"/>
          <w:szCs w:val="32"/>
        </w:rPr>
      </w:pPr>
      <w:r>
        <w:rPr>
          <w:rFonts w:hint="eastAsia" w:ascii="仿宋_GB2312" w:eastAsia="仿宋_GB2312"/>
          <w:b/>
          <w:bCs/>
          <w:color w:val="auto"/>
          <w:sz w:val="32"/>
          <w:szCs w:val="32"/>
        </w:rPr>
        <w:t>（一）促进农业经营增效措施。</w:t>
      </w:r>
      <w:r>
        <w:rPr>
          <w:rFonts w:hint="eastAsia" w:eastAsia="仿宋_GB2312" w:cs="仿宋_GB2312"/>
          <w:b/>
          <w:bCs/>
          <w:color w:val="auto"/>
          <w:kern w:val="44"/>
          <w:sz w:val="32"/>
          <w:szCs w:val="32"/>
        </w:rPr>
        <w:t>一是</w:t>
      </w:r>
      <w:r>
        <w:rPr>
          <w:rFonts w:hint="eastAsia" w:eastAsia="仿宋_GB2312" w:cs="仿宋_GB2312"/>
          <w:color w:val="auto"/>
          <w:kern w:val="44"/>
          <w:sz w:val="32"/>
          <w:szCs w:val="32"/>
        </w:rPr>
        <w:t>加大政策资金支持。统筹安排100万元项目资金用于农业社会化服务工作。</w:t>
      </w:r>
      <w:r>
        <w:rPr>
          <w:rFonts w:hint="eastAsia" w:eastAsia="仿宋_GB2312" w:cs="仿宋_GB2312"/>
          <w:color w:val="auto"/>
          <w:kern w:val="44"/>
          <w:sz w:val="32"/>
          <w:szCs w:val="32"/>
          <w:lang w:eastAsia="zh-CN"/>
        </w:rPr>
        <w:t>二</w:t>
      </w:r>
      <w:r>
        <w:rPr>
          <w:rFonts w:hint="eastAsia" w:eastAsia="仿宋_GB2312" w:cs="仿宋_GB2312"/>
          <w:b/>
          <w:bCs/>
          <w:color w:val="auto"/>
          <w:kern w:val="44"/>
          <w:sz w:val="32"/>
          <w:szCs w:val="32"/>
        </w:rPr>
        <w:t>是</w:t>
      </w:r>
      <w:r>
        <w:rPr>
          <w:rFonts w:hint="eastAsia" w:eastAsia="仿宋_GB2312" w:cs="仿宋_GB2312"/>
          <w:color w:val="auto"/>
          <w:kern w:val="44"/>
          <w:sz w:val="32"/>
          <w:szCs w:val="32"/>
        </w:rPr>
        <w:t>强化金融支持。加强对农业社会化服务组织的融资扶持力度,扩大农村土地经营权贷款覆盖面,实现融资贷款2亿元，年化利率最低达到3.85%，全市涉农贷款利率下浮1%左右。</w:t>
      </w:r>
    </w:p>
    <w:p>
      <w:pPr>
        <w:widowControl/>
        <w:spacing w:line="520" w:lineRule="exact"/>
        <w:ind w:firstLine="640"/>
        <w:rPr>
          <w:rFonts w:ascii="仿宋_GB2312" w:eastAsia="仿宋_GB2312"/>
          <w:color w:val="auto"/>
          <w:sz w:val="32"/>
          <w:szCs w:val="32"/>
        </w:rPr>
      </w:pPr>
      <w:r>
        <w:rPr>
          <w:rFonts w:hint="eastAsia" w:ascii="仿宋_GB2312" w:eastAsia="仿宋_GB2312"/>
          <w:b/>
          <w:bCs/>
          <w:color w:val="auto"/>
          <w:sz w:val="32"/>
          <w:szCs w:val="32"/>
        </w:rPr>
        <w:t>（</w:t>
      </w:r>
      <w:r>
        <w:rPr>
          <w:rFonts w:hint="eastAsia" w:ascii="仿宋_GB2312" w:eastAsia="仿宋_GB2312"/>
          <w:b/>
          <w:bCs/>
          <w:color w:val="auto"/>
          <w:sz w:val="32"/>
          <w:szCs w:val="32"/>
          <w:lang w:eastAsia="zh-CN"/>
        </w:rPr>
        <w:t>二</w:t>
      </w:r>
      <w:r>
        <w:rPr>
          <w:rFonts w:hint="eastAsia" w:ascii="仿宋_GB2312" w:eastAsia="仿宋_GB2312"/>
          <w:b/>
          <w:bCs/>
          <w:color w:val="auto"/>
          <w:sz w:val="32"/>
          <w:szCs w:val="32"/>
        </w:rPr>
        <w:t>）赋予农民更加充分的财产权益措施。一是</w:t>
      </w:r>
      <w:r>
        <w:rPr>
          <w:rFonts w:hint="eastAsia" w:ascii="仿宋_GB2312" w:hAnsi="仿宋_GB2312" w:eastAsia="仿宋_GB2312" w:cs="仿宋_GB2312"/>
          <w:color w:val="auto"/>
          <w:sz w:val="32"/>
          <w:szCs w:val="32"/>
        </w:rPr>
        <w:t>高起点、高标准打造政府主导、企业运营、</w:t>
      </w:r>
      <w:r>
        <w:rPr>
          <w:rFonts w:hint="eastAsia" w:ascii="仿宋_GB2312" w:hAnsi="仿宋_GB2312" w:eastAsia="仿宋_GB2312" w:cs="仿宋_GB2312"/>
          <w:color w:val="auto"/>
          <w:sz w:val="32"/>
          <w:szCs w:val="32"/>
          <w:lang w:eastAsia="zh-CN"/>
        </w:rPr>
        <w:t>委托</w:t>
      </w:r>
      <w:r>
        <w:rPr>
          <w:rFonts w:hint="eastAsia" w:ascii="仿宋_GB2312" w:hAnsi="仿宋_GB2312" w:eastAsia="仿宋_GB2312" w:cs="仿宋_GB2312"/>
          <w:color w:val="auto"/>
          <w:sz w:val="32"/>
          <w:szCs w:val="32"/>
        </w:rPr>
        <w:t>服务的农村综合产权交易平台--沙湾市农村综合产权交易中心。产权交易中心科学制定工作方案，明确工作职能，理顺工作机制，落实人员和经费保障，全力推进乡、村两级农村土地流转交易服务站点的建设，构建市、乡、村三级网络平台。为村集体和农民搭建了信息发布平台，也为农村资源资产有序流转、保值增值提供了实现路径，有效化解农村融资难、融资贵的难题，为线上线下土地经营权规范有序流转提供保障。</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lang w:eastAsia="zh-CN"/>
        </w:rPr>
        <w:t>市委、市政府</w:t>
      </w:r>
      <w:r>
        <w:rPr>
          <w:rFonts w:hint="eastAsia" w:ascii="仿宋_GB2312" w:hAnsi="仿宋_GB2312" w:eastAsia="仿宋_GB2312" w:cs="仿宋_GB2312"/>
          <w:color w:val="auto"/>
          <w:sz w:val="32"/>
          <w:szCs w:val="32"/>
        </w:rPr>
        <w:t>加强政策引领，</w:t>
      </w:r>
      <w:r>
        <w:rPr>
          <w:rFonts w:hint="eastAsia" w:ascii="仿宋_GB2312" w:eastAsia="仿宋_GB2312"/>
          <w:color w:val="auto"/>
          <w:sz w:val="32"/>
          <w:szCs w:val="32"/>
        </w:rPr>
        <w:t>发展壮大新型农村集体经济。引导村集体因地制宜选择适合的发展路径和经营方式。</w:t>
      </w:r>
      <w:r>
        <w:rPr>
          <w:rFonts w:hint="eastAsia" w:ascii="仿宋_GB2312" w:hAnsi="仿宋_GB2312" w:eastAsia="仿宋_GB2312" w:cs="仿宋_GB2312"/>
          <w:color w:val="auto"/>
          <w:sz w:val="32"/>
          <w:szCs w:val="32"/>
        </w:rPr>
        <w:t>通过集体资源发包、土地整合、抱团发展、成立实体等多种经营方式，发展壮大集体经济，增强集体经济硬实力。</w:t>
      </w:r>
      <w:r>
        <w:rPr>
          <w:rFonts w:hint="eastAsia" w:ascii="仿宋_GB2312" w:eastAsia="仿宋_GB2312"/>
          <w:b/>
          <w:bCs/>
          <w:color w:val="auto"/>
          <w:sz w:val="32"/>
          <w:szCs w:val="32"/>
        </w:rPr>
        <w:t>三是</w:t>
      </w:r>
      <w:r>
        <w:rPr>
          <w:rFonts w:hint="eastAsia" w:ascii="仿宋_GB2312" w:eastAsia="仿宋_GB2312"/>
          <w:color w:val="auto"/>
          <w:sz w:val="32"/>
          <w:szCs w:val="32"/>
        </w:rPr>
        <w:t>制定印发《沙湾市农村集体资产提质增效行动方案》，统筹推进集体资产规范化管理。扎实开展2022年度集体资产清查工作</w:t>
      </w:r>
      <w:r>
        <w:rPr>
          <w:rFonts w:hint="eastAsia" w:ascii="仿宋_GB2312" w:eastAsia="仿宋_GB2312"/>
          <w:color w:val="auto"/>
          <w:sz w:val="32"/>
          <w:szCs w:val="32"/>
          <w:lang w:eastAsia="zh-CN"/>
        </w:rPr>
        <w:t>，</w:t>
      </w:r>
      <w:r>
        <w:rPr>
          <w:rFonts w:hint="eastAsia" w:ascii="仿宋_GB2312" w:eastAsia="仿宋_GB2312"/>
          <w:color w:val="auto"/>
          <w:sz w:val="32"/>
          <w:szCs w:val="32"/>
        </w:rPr>
        <w:t>实施村级债务三年化解清零行动，</w:t>
      </w:r>
      <w:r>
        <w:rPr>
          <w:rFonts w:hint="eastAsia" w:ascii="仿宋_GB2312" w:eastAsia="仿宋_GB2312"/>
          <w:color w:val="auto"/>
          <w:sz w:val="32"/>
          <w:szCs w:val="32"/>
          <w:lang w:eastAsia="zh-CN"/>
        </w:rPr>
        <w:t>截至目前已</w:t>
      </w:r>
      <w:r>
        <w:rPr>
          <w:rFonts w:hint="eastAsia" w:ascii="仿宋_GB2312" w:eastAsia="仿宋_GB2312"/>
          <w:color w:val="auto"/>
          <w:sz w:val="32"/>
          <w:szCs w:val="32"/>
        </w:rPr>
        <w:t>化解债务6211万元，化解率33.2%。</w:t>
      </w:r>
    </w:p>
    <w:p>
      <w:pPr>
        <w:spacing w:line="52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w:t>
      </w:r>
      <w:r>
        <w:rPr>
          <w:rFonts w:hint="eastAsia" w:ascii="仿宋_GB2312" w:eastAsia="仿宋_GB2312"/>
          <w:b/>
          <w:bCs/>
          <w:color w:val="auto"/>
          <w:sz w:val="32"/>
          <w:szCs w:val="32"/>
          <w:lang w:eastAsia="zh-CN"/>
        </w:rPr>
        <w:t>三</w:t>
      </w:r>
      <w:r>
        <w:rPr>
          <w:rFonts w:hint="eastAsia" w:ascii="仿宋_GB2312" w:eastAsia="仿宋_GB2312"/>
          <w:b/>
          <w:bCs/>
          <w:color w:val="auto"/>
          <w:sz w:val="32"/>
          <w:szCs w:val="32"/>
        </w:rPr>
        <w:t>）促进农业经营增效完成情况。一是</w:t>
      </w:r>
      <w:r>
        <w:rPr>
          <w:rFonts w:hint="eastAsia" w:ascii="仿宋_GB2312" w:eastAsia="仿宋_GB2312"/>
          <w:color w:val="auto"/>
          <w:sz w:val="32"/>
          <w:szCs w:val="32"/>
        </w:rPr>
        <w:t>截至目前，我市农民专业合作社在工商部门注册的总数759家。2023年，我市完成示范家庭农场“一码通”赋码157家；申报自治区级示范合作社9家；申报地区级示范家庭农场10家。</w:t>
      </w:r>
      <w:r>
        <w:rPr>
          <w:rFonts w:hint="eastAsia" w:ascii="仿宋_GB2312" w:eastAsia="仿宋_GB2312"/>
          <w:b/>
          <w:bCs/>
          <w:color w:val="auto"/>
          <w:sz w:val="32"/>
          <w:szCs w:val="32"/>
        </w:rPr>
        <w:t>二是</w:t>
      </w:r>
      <w:r>
        <w:rPr>
          <w:rFonts w:hint="eastAsia" w:ascii="仿宋_GB2312" w:hAnsi="仿宋_GB2312" w:eastAsia="仿宋_GB2312" w:cs="仿宋_GB2312"/>
          <w:color w:val="auto"/>
          <w:sz w:val="32"/>
          <w:szCs w:val="32"/>
        </w:rPr>
        <w:t>沙湾市现有</w:t>
      </w:r>
      <w:r>
        <w:rPr>
          <w:rFonts w:hint="eastAsia" w:eastAsia="仿宋_GB2312" w:cs="仿宋_GB2312"/>
          <w:color w:val="auto"/>
          <w:kern w:val="44"/>
          <w:sz w:val="32"/>
          <w:szCs w:val="32"/>
        </w:rPr>
        <w:t>322个农业社会化服务组织，其中农民合作社125个，专业服务公司6个，农村集体经济组织4个，服务专业户176个，供销合作社11个，服务农户3.3万户，服务面积达176.8万亩，占到耕地总面积的78%。</w:t>
      </w:r>
      <w:r>
        <w:rPr>
          <w:rFonts w:hint="eastAsia" w:ascii="仿宋_GB2312" w:hAnsi="仿宋_GB2312" w:eastAsia="仿宋_GB2312" w:cs="仿宋_GB2312"/>
          <w:color w:val="auto"/>
          <w:sz w:val="32"/>
          <w:szCs w:val="32"/>
        </w:rPr>
        <w:t>2023年累计完成社会化服务面积300万亩次。</w:t>
      </w:r>
      <w:r>
        <w:rPr>
          <w:rFonts w:hint="eastAsia" w:ascii="仿宋_GB2312" w:eastAsia="仿宋_GB2312"/>
          <w:color w:val="auto"/>
          <w:sz w:val="32"/>
          <w:szCs w:val="32"/>
        </w:rPr>
        <w:t>2023年投入农业生产社会化服务项目资金100万元。</w:t>
      </w:r>
    </w:p>
    <w:p>
      <w:pPr>
        <w:snapToGrid w:val="0"/>
        <w:spacing w:line="520" w:lineRule="exact"/>
        <w:ind w:firstLine="643" w:firstLineChars="200"/>
        <w:rPr>
          <w:rFonts w:hint="eastAsia" w:ascii="仿宋_GB2312" w:hAnsi="仿宋" w:eastAsia="仿宋_GB2312"/>
          <w:color w:val="auto"/>
          <w:sz w:val="32"/>
          <w:szCs w:val="32"/>
        </w:rPr>
      </w:pPr>
      <w:r>
        <w:rPr>
          <w:rFonts w:hint="eastAsia" w:ascii="仿宋_GB2312" w:eastAsia="仿宋_GB2312"/>
          <w:b/>
          <w:bCs/>
          <w:color w:val="auto"/>
          <w:sz w:val="32"/>
          <w:szCs w:val="32"/>
          <w:lang w:eastAsia="zh-CN"/>
        </w:rPr>
        <w:t>（四</w:t>
      </w:r>
      <w:r>
        <w:rPr>
          <w:rFonts w:hint="eastAsia" w:ascii="仿宋_GB2312" w:eastAsia="仿宋_GB2312"/>
          <w:b/>
          <w:bCs/>
          <w:color w:val="auto"/>
          <w:sz w:val="32"/>
          <w:szCs w:val="32"/>
        </w:rPr>
        <w:t>）赋予农民更加充分的财产权益完成情况。一是</w:t>
      </w:r>
      <w:r>
        <w:rPr>
          <w:rFonts w:hint="eastAsia" w:ascii="仿宋_GB2312" w:hAnsi="仿宋_GB2312" w:eastAsia="仿宋_GB2312"/>
          <w:color w:val="auto"/>
          <w:sz w:val="32"/>
          <w:szCs w:val="32"/>
        </w:rPr>
        <w:t>全市流转土地面积43.2万亩，完成鉴证备案网签合同1582份，流转面积40.6万亩，土地流转规范化率达到90%以上</w:t>
      </w:r>
      <w:r>
        <w:rPr>
          <w:rFonts w:hint="eastAsia" w:ascii="仿宋_GB2312" w:hAnsi="仿宋_GB2312" w:eastAsia="仿宋_GB2312" w:cs="仿宋_GB2312"/>
          <w:color w:val="auto"/>
          <w:kern w:val="0"/>
          <w:sz w:val="32"/>
          <w:szCs w:val="32"/>
          <w:shd w:val="clear" w:color="auto" w:fill="FFFFFF"/>
          <w:lang w:bidi="ar"/>
        </w:rPr>
        <w:t>，</w:t>
      </w:r>
      <w:r>
        <w:rPr>
          <w:rFonts w:hint="eastAsia" w:ascii="仿宋_GB2312" w:hAnsi="仿宋_GB2312" w:eastAsia="仿宋_GB2312" w:cs="仿宋_GB2312"/>
          <w:color w:val="auto"/>
          <w:kern w:val="0"/>
          <w:sz w:val="32"/>
          <w:szCs w:val="32"/>
          <w:shd w:val="clear" w:color="auto" w:fill="FFFFFF"/>
          <w:lang w:val="en-US" w:eastAsia="zh-CN" w:bidi="ar"/>
        </w:rPr>
        <w:t>2023年</w:t>
      </w:r>
      <w:r>
        <w:rPr>
          <w:rFonts w:hint="eastAsia" w:ascii="仿宋_GB2312" w:hAnsi="仿宋_GB2312" w:eastAsia="仿宋_GB2312" w:cs="仿宋_GB2312"/>
          <w:color w:val="auto"/>
          <w:kern w:val="0"/>
          <w:sz w:val="32"/>
          <w:szCs w:val="32"/>
          <w:shd w:val="clear" w:color="auto" w:fill="FFFFFF"/>
          <w:lang w:bidi="ar"/>
        </w:rPr>
        <w:t>沙湾农村产权交易平台正式上线</w:t>
      </w:r>
      <w:r>
        <w:rPr>
          <w:rFonts w:hint="eastAsia" w:ascii="仿宋_GB2312" w:hAnsi="仿宋_GB2312" w:eastAsia="仿宋_GB2312" w:cs="仿宋_GB2312"/>
          <w:color w:val="auto"/>
          <w:kern w:val="0"/>
          <w:sz w:val="32"/>
          <w:szCs w:val="32"/>
          <w:shd w:val="clear" w:color="auto" w:fill="FFFFFF"/>
          <w:lang w:eastAsia="zh-CN" w:bidi="ar"/>
        </w:rPr>
        <w:t>交易</w:t>
      </w:r>
      <w:r>
        <w:rPr>
          <w:rFonts w:hint="eastAsia" w:ascii="仿宋_GB2312" w:hAnsi="仿宋_GB2312" w:eastAsia="仿宋_GB2312" w:cs="仿宋_GB2312"/>
          <w:color w:val="auto"/>
          <w:kern w:val="0"/>
          <w:sz w:val="32"/>
          <w:szCs w:val="32"/>
          <w:shd w:val="clear" w:color="auto" w:fill="FFFFFF"/>
          <w:lang w:bidi="ar"/>
        </w:rPr>
        <w:t>11个乡镇</w:t>
      </w:r>
      <w:r>
        <w:rPr>
          <w:rFonts w:hint="eastAsia" w:ascii="仿宋_GB2312" w:hAnsi="仿宋_GB2312" w:eastAsia="仿宋_GB2312" w:cs="仿宋_GB2312"/>
          <w:color w:val="auto"/>
          <w:kern w:val="0"/>
          <w:sz w:val="32"/>
          <w:szCs w:val="32"/>
          <w:shd w:val="clear" w:color="auto" w:fill="FFFFFF"/>
          <w:lang w:val="en-US" w:eastAsia="zh-CN" w:bidi="ar"/>
        </w:rPr>
        <w:t>8</w:t>
      </w:r>
      <w:r>
        <w:rPr>
          <w:rFonts w:hint="eastAsia" w:ascii="仿宋_GB2312" w:hAnsi="仿宋_GB2312" w:eastAsia="仿宋_GB2312" w:cs="仿宋_GB2312"/>
          <w:color w:val="auto"/>
          <w:kern w:val="0"/>
          <w:sz w:val="32"/>
          <w:szCs w:val="32"/>
          <w:shd w:val="clear" w:color="auto" w:fill="FFFFFF"/>
          <w:lang w:bidi="ar"/>
        </w:rPr>
        <w:t>万亩土地。</w:t>
      </w:r>
      <w:r>
        <w:rPr>
          <w:rFonts w:hint="eastAsia" w:ascii="仿宋_GB2312" w:hAnsi="仿宋_GB2312" w:eastAsia="仿宋_GB2312" w:cs="仿宋_GB2312"/>
          <w:b/>
          <w:bCs/>
          <w:color w:val="auto"/>
          <w:kern w:val="0"/>
          <w:sz w:val="32"/>
          <w:szCs w:val="32"/>
          <w:shd w:val="clear" w:color="auto" w:fill="FFFFFF"/>
          <w:lang w:bidi="ar"/>
        </w:rPr>
        <w:t>二是</w:t>
      </w:r>
      <w:r>
        <w:rPr>
          <w:rFonts w:hint="eastAsia" w:ascii="仿宋_GB2312" w:hAnsi="仿宋_GB2312" w:eastAsia="仿宋_GB2312" w:cs="仿宋_GB2312"/>
          <w:b/>
          <w:bCs/>
          <w:color w:val="auto"/>
          <w:sz w:val="32"/>
          <w:szCs w:val="32"/>
        </w:rPr>
        <w:t>1.争取项目资金，增加经营性资产。</w:t>
      </w:r>
      <w:r>
        <w:rPr>
          <w:rFonts w:hint="eastAsia" w:ascii="仿宋_GB2312" w:hAnsi="仿宋_GB2312" w:eastAsia="仿宋_GB2312" w:cs="仿宋_GB2312"/>
          <w:color w:val="auto"/>
          <w:sz w:val="32"/>
          <w:szCs w:val="32"/>
        </w:rPr>
        <w:t>四道河子镇常胜西村申请乡村振兴衔接资金1900万元，集体自筹115万元，建设棉花种业加工基地，租赁给企业经营，通过“党支部+股份经济合作社+企业+农户”的运营模式，培育推广高产、优质、抗逆棉花新品种，企业每年向</w:t>
      </w:r>
      <w:r>
        <w:rPr>
          <w:rFonts w:hint="eastAsia" w:ascii="仿宋_GB2312" w:hAnsi="仿宋_GB2312" w:eastAsia="仿宋_GB2312" w:cs="仿宋_GB2312"/>
          <w:color w:val="auto"/>
          <w:sz w:val="32"/>
          <w:szCs w:val="32"/>
          <w:lang w:eastAsia="zh-CN"/>
        </w:rPr>
        <w:t>村</w:t>
      </w:r>
      <w:r>
        <w:rPr>
          <w:rFonts w:hint="eastAsia" w:ascii="仿宋_GB2312" w:hAnsi="仿宋_GB2312" w:eastAsia="仿宋_GB2312" w:cs="仿宋_GB2312"/>
          <w:color w:val="auto"/>
          <w:sz w:val="32"/>
          <w:szCs w:val="32"/>
        </w:rPr>
        <w:t>集体经济组织上交50万元租金，同时带动本村30余名村民就近就业；2.</w:t>
      </w:r>
      <w:r>
        <w:rPr>
          <w:rFonts w:hint="eastAsia" w:ascii="仿宋_GB2312" w:hAnsi="仿宋_GB2312" w:eastAsia="仿宋_GB2312" w:cs="仿宋_GB2312"/>
          <w:b/>
          <w:bCs/>
          <w:color w:val="auto"/>
          <w:sz w:val="32"/>
          <w:szCs w:val="32"/>
          <w:shd w:val="clear" w:color="auto" w:fill="FFFFFF"/>
        </w:rPr>
        <w:t>土地整合，增加资源收入。</w:t>
      </w:r>
      <w:r>
        <w:rPr>
          <w:rFonts w:hint="eastAsia" w:ascii="仿宋_GB2312" w:hAnsi="仿宋_GB2312" w:eastAsia="仿宋_GB2312" w:cs="仿宋_GB2312"/>
          <w:color w:val="auto"/>
          <w:sz w:val="32"/>
          <w:szCs w:val="32"/>
        </w:rPr>
        <w:t>大泉乡东泉村投入80多万元整合出两大块机动地，共计4300亩，其中2650亩来自成员的零星地，经“四议两公开”程序此地发包收益用于成员分红，1650亩发包收益用于发展壮大村集体经济。较整合前发包收入增加330万元；</w:t>
      </w:r>
      <w:r>
        <w:rPr>
          <w:rFonts w:hint="eastAsia" w:ascii="仿宋_GB2312" w:hAnsi="仿宋_GB2312" w:eastAsia="仿宋_GB2312" w:cs="仿宋_GB2312"/>
          <w:b/>
          <w:bCs/>
          <w:color w:val="auto"/>
          <w:sz w:val="32"/>
          <w:szCs w:val="32"/>
        </w:rPr>
        <w:t>3.抱团发展，增强经济实力。</w:t>
      </w:r>
      <w:r>
        <w:rPr>
          <w:rFonts w:hint="eastAsia" w:ascii="仿宋_GB2312" w:hAnsi="仿宋_GB2312" w:eastAsia="仿宋_GB2312" w:cs="仿宋_GB2312"/>
          <w:color w:val="auto"/>
          <w:sz w:val="32"/>
          <w:szCs w:val="32"/>
        </w:rPr>
        <w:t>东湾镇20个村集体经济组织以资金入股方式，注册成立沙湾市鑫福盛达商贸有限公司，注册资金500万，各村集体经济组织占股比例为5%，按占股比例承担风险和享受收益分配。</w:t>
      </w:r>
      <w:r>
        <w:rPr>
          <w:rFonts w:hint="eastAsia" w:ascii="仿宋_GB2312" w:hAnsi="仿宋_GB2312" w:eastAsia="仿宋_GB2312" w:cs="仿宋_GB2312"/>
          <w:b/>
          <w:bCs/>
          <w:color w:val="auto"/>
          <w:sz w:val="32"/>
          <w:szCs w:val="32"/>
        </w:rPr>
        <w:t>4.成立经营实体，增强经营能力。</w:t>
      </w:r>
      <w:r>
        <w:rPr>
          <w:rFonts w:hint="eastAsia" w:ascii="仿宋_GB2312" w:hAnsi="仿宋_GB2312" w:eastAsia="仿宋_GB2312" w:cs="仿宋_GB2312"/>
          <w:color w:val="auto"/>
          <w:sz w:val="32"/>
          <w:szCs w:val="32"/>
        </w:rPr>
        <w:t>下八户村积极寻求壮大集体经济发展路径，成立沙湾市众兴合力种植农民专业合作社，村集体以机动地入股，农户自愿以家庭承包入股合作社，由农民专业合作社统一种植生产经营，按照股份分红，实行“党支部+集体股份经济+合作社+农户”的发展模式。村集体收入由2018年的165万元增加到2023年400万元。全市</w:t>
      </w:r>
      <w:r>
        <w:rPr>
          <w:rFonts w:ascii="仿宋_GB2312" w:hAnsi="仿宋_GB2312" w:eastAsia="仿宋_GB2312" w:cs="仿宋_GB2312"/>
          <w:color w:val="auto"/>
          <w:sz w:val="32"/>
          <w:szCs w:val="32"/>
        </w:rPr>
        <w:t>2023年村集体经济收入预计为2.459亿元，较2022年增长0.193亿元，增长率8.52%。</w:t>
      </w:r>
      <w:r>
        <w:rPr>
          <w:rFonts w:hint="eastAsia" w:ascii="仿宋_GB2312" w:hAnsi="仿宋_GB2312" w:eastAsia="仿宋_GB2312" w:cs="仿宋_GB2312"/>
          <w:color w:val="auto"/>
          <w:sz w:val="32"/>
          <w:szCs w:val="32"/>
          <w:lang w:val="en-US" w:eastAsia="zh-CN"/>
        </w:rPr>
        <w:t>2023年</w:t>
      </w:r>
      <w:r>
        <w:rPr>
          <w:rFonts w:hint="eastAsia" w:ascii="仿宋_GB2312" w:hAnsi="仿宋_GB2312" w:eastAsia="仿宋_GB2312" w:cs="仿宋_GB2312"/>
          <w:color w:val="auto"/>
          <w:sz w:val="32"/>
          <w:szCs w:val="32"/>
        </w:rPr>
        <w:t>，全市</w:t>
      </w:r>
      <w:r>
        <w:rPr>
          <w:rFonts w:hint="eastAsia" w:ascii="仿宋_GB2312" w:hAnsi="仿宋_GB2312" w:eastAsia="仿宋_GB2312" w:cs="仿宋_GB2312"/>
          <w:color w:val="auto"/>
          <w:sz w:val="32"/>
          <w:szCs w:val="32"/>
          <w:lang w:eastAsia="zh-CN"/>
        </w:rPr>
        <w:t>共有</w:t>
      </w:r>
      <w:r>
        <w:rPr>
          <w:rFonts w:hint="eastAsia" w:ascii="仿宋_GB2312" w:hAnsi="仿宋_GB2312" w:eastAsia="仿宋_GB2312" w:cs="仿宋_GB2312"/>
          <w:color w:val="auto"/>
          <w:sz w:val="32"/>
          <w:szCs w:val="32"/>
          <w:lang w:val="en-US" w:eastAsia="zh-CN"/>
        </w:rPr>
        <w:t>13个</w:t>
      </w:r>
      <w:r>
        <w:rPr>
          <w:rFonts w:hint="eastAsia" w:ascii="仿宋_GB2312" w:hAnsi="仿宋_GB2312" w:eastAsia="仿宋_GB2312" w:cs="仿宋_GB2312"/>
          <w:color w:val="auto"/>
          <w:sz w:val="32"/>
          <w:szCs w:val="32"/>
        </w:rPr>
        <w:t>集体经济组织实现向成员分红</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让成员切实享受到了改革带来的红利。</w:t>
      </w:r>
    </w:p>
    <w:p>
      <w:pPr>
        <w:bidi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2.年度总体绩效目标</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坚持以习近平新时代中国特色社会主义思想为指导，深入学习贯彻党的二十大精神，中央一号文件精神，深化农村土地制度改革，促进农村土地经营权规范化流转 抓好农村产权交易市场规范化建设。以全国农村产权交易规范化建设试点县为契机，健全完善产权交易运行机制。巩固农民合作社质量提升整县推进试点成果，突出抓好自治区农业生产社会化服务试点县改革任务，突出抓好自治区农业生产社会化服务试点县改革任务。创新开展农业生产社会化服务工作。强化监督管理，实现集体资产保值增值，落实农村集体资产监督管理制度。完善农村集体资产核算中心运行机制，科学规范做好村集体收益分配，充分保障集体经济组织权益。规范集体资源发包、资产租赁、资源使用权入股、土地股份合作等多种形式壮大集体经济。抓好股份经济合作社联合成立公司试点，发展新型集体经济，实现强村带弱村目标任务。实现集体经济组织向成员按股分红，使改革成果落到实处。</w:t>
      </w:r>
    </w:p>
    <w:p>
      <w:pPr>
        <w:bidi w:val="0"/>
        <w:rPr>
          <w:rFonts w:hint="eastAsia" w:ascii="仿宋_GB2312" w:hAnsi="仿宋_GB2312" w:eastAsia="仿宋_GB2312" w:cs="仿宋_GB2312"/>
          <w:b/>
          <w:bCs/>
          <w:color w:val="auto"/>
          <w:sz w:val="32"/>
          <w:szCs w:val="32"/>
          <w:lang w:val="en-US" w:eastAsia="zh-Hans"/>
        </w:rPr>
      </w:pPr>
      <w:r>
        <w:rPr>
          <w:rFonts w:hint="eastAsia" w:ascii="仿宋_GB2312" w:hAnsi="仿宋_GB2312" w:eastAsia="仿宋_GB2312" w:cs="仿宋_GB2312"/>
          <w:b/>
          <w:bCs/>
          <w:color w:val="auto"/>
          <w:sz w:val="32"/>
          <w:szCs w:val="32"/>
          <w:lang w:val="en-US" w:eastAsia="zh-CN"/>
        </w:rPr>
        <w:t>3.机构人员保障情况</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_GB2312" w:hAnsi="仿宋_GB2312" w:eastAsia="仿宋_GB2312" w:cs="仿宋_GB2312"/>
          <w:b w:val="0"/>
          <w:color w:val="auto"/>
          <w:sz w:val="32"/>
          <w:szCs w:val="32"/>
          <w:lang w:val="en-US" w:eastAsia="zh-CN" w:bidi="ar"/>
        </w:rPr>
        <w:t>沙湾市农村合作经济发展中心2023年通过本部门预算支出，</w:t>
      </w:r>
      <w:r>
        <w:rPr>
          <w:rStyle w:val="14"/>
          <w:rFonts w:hint="eastAsia" w:ascii="仿宋_GB2312" w:hAnsi="仿宋_GB2312" w:eastAsia="仿宋_GB2312" w:cs="仿宋_GB2312"/>
          <w:b w:val="0"/>
          <w:color w:val="auto"/>
          <w:sz w:val="32"/>
          <w:szCs w:val="32"/>
          <w:lang w:eastAsia="zh-Hans" w:bidi="ar"/>
        </w:rPr>
        <w:t>确保</w:t>
      </w:r>
      <w:r>
        <w:rPr>
          <w:rStyle w:val="14"/>
          <w:rFonts w:hint="eastAsia" w:ascii="仿宋_GB2312" w:hAnsi="仿宋_GB2312" w:eastAsia="仿宋_GB2312" w:cs="仿宋_GB2312"/>
          <w:b w:val="0"/>
          <w:color w:val="auto"/>
          <w:sz w:val="32"/>
          <w:szCs w:val="32"/>
          <w:lang w:val="en-US" w:eastAsia="zh-CN" w:bidi="ar"/>
        </w:rPr>
        <w:t>了6名</w:t>
      </w:r>
      <w:r>
        <w:rPr>
          <w:rStyle w:val="14"/>
          <w:rFonts w:hint="eastAsia" w:ascii="仿宋_GB2312" w:hAnsi="仿宋_GB2312" w:eastAsia="仿宋_GB2312" w:cs="仿宋_GB2312"/>
          <w:b w:val="0"/>
          <w:color w:val="auto"/>
          <w:sz w:val="32"/>
          <w:szCs w:val="32"/>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lang w:val="en-US" w:eastAsia="zh-CN" w:bidi="ar"/>
        </w:rPr>
        <w:t>7名</w:t>
      </w:r>
      <w:r>
        <w:rPr>
          <w:rStyle w:val="14"/>
          <w:rFonts w:hint="eastAsia" w:ascii="仿宋_GB2312" w:hAnsi="仿宋_GB2312" w:eastAsia="仿宋_GB2312" w:cs="仿宋_GB2312"/>
          <w:b w:val="0"/>
          <w:color w:val="auto"/>
          <w:sz w:val="32"/>
          <w:szCs w:val="32"/>
          <w:lang w:eastAsia="zh-Hans" w:bidi="ar"/>
        </w:rPr>
        <w:t>离退休人员的工资、医疗费等人员保障性经费能够依规、按时、足额发放或缴纳，提升部门人员工作积极性和服务质量。</w:t>
      </w:r>
      <w:r>
        <w:rPr>
          <w:rStyle w:val="14"/>
          <w:rFonts w:hint="eastAsia" w:ascii="仿宋_GB2312" w:hAnsi="仿宋_GB2312" w:eastAsia="仿宋_GB2312" w:cs="仿宋_GB2312"/>
          <w:b w:val="0"/>
          <w:color w:val="auto"/>
          <w:sz w:val="32"/>
          <w:szCs w:val="32"/>
          <w:lang w:val="en-US" w:eastAsia="zh-CN" w:bidi="ar"/>
        </w:rPr>
        <w:t>同时，</w:t>
      </w:r>
      <w:r>
        <w:rPr>
          <w:rStyle w:val="14"/>
          <w:rFonts w:hint="eastAsia" w:ascii="仿宋_GB2312" w:hAnsi="仿宋_GB2312" w:eastAsia="仿宋_GB2312" w:cs="仿宋_GB2312"/>
          <w:b w:val="0"/>
          <w:color w:val="auto"/>
          <w:sz w:val="32"/>
          <w:szCs w:val="32"/>
          <w:lang w:eastAsia="zh-Hans" w:bidi="ar"/>
        </w:rPr>
        <w:t>保障</w:t>
      </w:r>
      <w:r>
        <w:rPr>
          <w:rStyle w:val="14"/>
          <w:rFonts w:hint="eastAsia" w:ascii="仿宋_GB2312" w:hAnsi="仿宋_GB2312" w:eastAsia="仿宋_GB2312" w:cs="仿宋_GB2312"/>
          <w:b w:val="0"/>
          <w:color w:val="auto"/>
          <w:sz w:val="32"/>
          <w:szCs w:val="32"/>
          <w:lang w:val="en-US" w:eastAsia="zh-CN" w:bidi="ar"/>
        </w:rPr>
        <w:t>了</w:t>
      </w:r>
      <w:r>
        <w:rPr>
          <w:rStyle w:val="14"/>
          <w:rFonts w:hint="eastAsia" w:ascii="仿宋_GB2312" w:hAnsi="仿宋_GB2312" w:eastAsia="仿宋_GB2312" w:cs="仿宋_GB2312"/>
          <w:b w:val="0"/>
          <w:color w:val="auto"/>
          <w:sz w:val="32"/>
          <w:szCs w:val="32"/>
          <w:lang w:eastAsia="zh-Hans" w:bidi="ar"/>
        </w:rPr>
        <w:t>部门</w:t>
      </w:r>
      <w:r>
        <w:rPr>
          <w:rStyle w:val="14"/>
          <w:rFonts w:hint="eastAsia" w:ascii="仿宋_GB2312" w:hAnsi="仿宋_GB2312" w:eastAsia="仿宋_GB2312" w:cs="仿宋_GB2312"/>
          <w:b w:val="0"/>
          <w:color w:val="auto"/>
          <w:sz w:val="32"/>
          <w:szCs w:val="32"/>
          <w:lang w:val="en-US" w:eastAsia="zh-CN" w:bidi="ar"/>
        </w:rPr>
        <w:t>全年正</w:t>
      </w:r>
      <w:r>
        <w:rPr>
          <w:rStyle w:val="14"/>
          <w:rFonts w:hint="eastAsia" w:ascii="仿宋_GB2312" w:hAnsi="仿宋_GB2312" w:eastAsia="仿宋_GB2312" w:cs="仿宋_GB2312"/>
          <w:b w:val="0"/>
          <w:color w:val="auto"/>
          <w:sz w:val="32"/>
          <w:szCs w:val="32"/>
          <w:lang w:eastAsia="zh-Hans" w:bidi="ar"/>
        </w:rPr>
        <w:t>常运转，为部门正常履职和开展综合</w:t>
      </w:r>
      <w:r>
        <w:rPr>
          <w:rStyle w:val="14"/>
          <w:rFonts w:hint="eastAsia" w:ascii="仿宋_GB2312" w:hAnsi="仿宋_GB2312" w:eastAsia="仿宋_GB2312" w:cs="仿宋_GB2312"/>
          <w:b w:val="0"/>
          <w:color w:val="auto"/>
          <w:sz w:val="32"/>
          <w:szCs w:val="32"/>
          <w:highlight w:val="none"/>
          <w:lang w:eastAsia="zh-Hans" w:bidi="ar"/>
        </w:rPr>
        <w:t>性事务管理提供有效支撑。</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为进一步推进</w:t>
      </w:r>
      <w:r>
        <w:rPr>
          <w:rStyle w:val="14"/>
          <w:rFonts w:hint="eastAsia" w:ascii="仿宋" w:hAnsi="仿宋" w:eastAsia="仿宋" w:cs="仿宋"/>
          <w:b w:val="0"/>
          <w:color w:val="auto"/>
          <w:sz w:val="32"/>
          <w:szCs w:val="32"/>
          <w:highlight w:val="none"/>
          <w:lang w:eastAsia="zh-CN" w:bidi="ar"/>
        </w:rPr>
        <w:t>单位年度重点</w:t>
      </w:r>
      <w:r>
        <w:rPr>
          <w:rStyle w:val="14"/>
          <w:rFonts w:hint="eastAsia" w:ascii="仿宋" w:hAnsi="仿宋" w:eastAsia="仿宋" w:cs="仿宋"/>
          <w:b w:val="0"/>
          <w:color w:val="auto"/>
          <w:sz w:val="32"/>
          <w:szCs w:val="32"/>
          <w:highlight w:val="none"/>
          <w:lang w:bidi="ar"/>
        </w:rPr>
        <w:t>工作</w:t>
      </w:r>
      <w:r>
        <w:rPr>
          <w:rStyle w:val="14"/>
          <w:rFonts w:hint="eastAsia" w:ascii="仿宋" w:hAnsi="仿宋" w:eastAsia="仿宋" w:cs="仿宋"/>
          <w:b w:val="0"/>
          <w:color w:val="auto"/>
          <w:sz w:val="32"/>
          <w:szCs w:val="32"/>
          <w:highlight w:val="none"/>
          <w:lang w:eastAsia="zh-CN" w:bidi="ar"/>
        </w:rPr>
        <w:t>落地生效</w:t>
      </w:r>
      <w:r>
        <w:rPr>
          <w:rStyle w:val="14"/>
          <w:rFonts w:hint="eastAsia" w:ascii="仿宋" w:hAnsi="仿宋" w:eastAsia="仿宋" w:cs="仿宋"/>
          <w:b w:val="0"/>
          <w:color w:val="auto"/>
          <w:sz w:val="32"/>
          <w:szCs w:val="32"/>
          <w:highlight w:val="none"/>
          <w:lang w:bidi="ar"/>
        </w:rPr>
        <w:t>，</w:t>
      </w:r>
      <w:r>
        <w:rPr>
          <w:rStyle w:val="14"/>
          <w:rFonts w:hint="eastAsia" w:cs="仿宋"/>
          <w:b w:val="0"/>
          <w:color w:val="auto"/>
          <w:sz w:val="32"/>
          <w:szCs w:val="32"/>
          <w:highlight w:val="none"/>
          <w:lang w:val="en-US" w:eastAsia="zh-CN" w:bidi="ar"/>
        </w:rPr>
        <w:t>我</w:t>
      </w:r>
      <w:r>
        <w:rPr>
          <w:rStyle w:val="14"/>
          <w:rFonts w:hint="eastAsia" w:ascii="仿宋" w:hAnsi="仿宋" w:eastAsia="仿宋" w:cs="仿宋"/>
          <w:b w:val="0"/>
          <w:color w:val="auto"/>
          <w:sz w:val="32"/>
          <w:szCs w:val="32"/>
          <w:highlight w:val="none"/>
          <w:lang w:eastAsia="zh-CN" w:bidi="ar"/>
        </w:rPr>
        <w:t>单位</w:t>
      </w:r>
      <w:r>
        <w:rPr>
          <w:rStyle w:val="14"/>
          <w:rFonts w:hint="eastAsia" w:ascii="仿宋" w:hAnsi="仿宋" w:eastAsia="仿宋" w:cs="仿宋"/>
          <w:b w:val="0"/>
          <w:color w:val="auto"/>
          <w:sz w:val="32"/>
          <w:szCs w:val="32"/>
          <w:highlight w:val="none"/>
          <w:lang w:bidi="ar"/>
        </w:rPr>
        <w:t>成立了以局长为组长、各副局长为副组长，各业务股室和财务室为成员的重点工作小组，办公室设在</w:t>
      </w:r>
      <w:r>
        <w:rPr>
          <w:rStyle w:val="14"/>
          <w:rFonts w:hint="eastAsia" w:cs="仿宋"/>
          <w:b w:val="0"/>
          <w:color w:val="auto"/>
          <w:sz w:val="32"/>
          <w:szCs w:val="32"/>
          <w:highlight w:val="none"/>
          <w:lang w:val="en-US" w:eastAsia="zh-CN" w:bidi="ar"/>
        </w:rPr>
        <w:t>财务</w:t>
      </w:r>
      <w:r>
        <w:rPr>
          <w:rStyle w:val="14"/>
          <w:rFonts w:hint="eastAsia" w:ascii="仿宋" w:hAnsi="仿宋" w:eastAsia="仿宋" w:cs="仿宋"/>
          <w:b w:val="0"/>
          <w:color w:val="auto"/>
          <w:sz w:val="32"/>
          <w:szCs w:val="32"/>
          <w:highlight w:val="none"/>
          <w:lang w:bidi="ar"/>
        </w:rPr>
        <w:t>室，负责牵头完成</w:t>
      </w:r>
      <w:r>
        <w:rPr>
          <w:rStyle w:val="14"/>
          <w:rFonts w:hint="eastAsia" w:ascii="仿宋" w:hAnsi="仿宋" w:eastAsia="仿宋" w:cs="仿宋"/>
          <w:b w:val="0"/>
          <w:color w:val="auto"/>
          <w:sz w:val="32"/>
          <w:szCs w:val="32"/>
          <w:highlight w:val="none"/>
          <w:lang w:eastAsia="zh-CN" w:bidi="ar"/>
        </w:rPr>
        <w:t>年度</w:t>
      </w:r>
      <w:r>
        <w:rPr>
          <w:rStyle w:val="14"/>
          <w:rFonts w:hint="eastAsia" w:ascii="仿宋" w:hAnsi="仿宋" w:eastAsia="仿宋" w:cs="仿宋"/>
          <w:b w:val="0"/>
          <w:color w:val="auto"/>
          <w:sz w:val="32"/>
          <w:szCs w:val="32"/>
          <w:highlight w:val="none"/>
          <w:lang w:bidi="ar"/>
        </w:rPr>
        <w:t>重点工作。</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cs="仿宋"/>
          <w:b w:val="0"/>
          <w:color w:val="auto"/>
          <w:sz w:val="32"/>
          <w:szCs w:val="32"/>
          <w:highlight w:val="none"/>
          <w:lang w:eastAsia="zh-CN" w:bidi="ar"/>
        </w:rPr>
        <w:t>沙湾市农村合作经济发展中心</w:t>
      </w:r>
      <w:r>
        <w:rPr>
          <w:rStyle w:val="14"/>
          <w:rFonts w:hint="eastAsia" w:cs="仿宋"/>
          <w:b w:val="0"/>
          <w:color w:val="auto"/>
          <w:sz w:val="32"/>
          <w:szCs w:val="32"/>
          <w:highlight w:val="none"/>
          <w:lang w:val="en-US" w:eastAsia="zh-CN" w:bidi="ar"/>
        </w:rPr>
        <w:t>2023</w:t>
      </w:r>
      <w:r>
        <w:rPr>
          <w:rStyle w:val="14"/>
          <w:rFonts w:hint="eastAsia" w:ascii="仿宋" w:hAnsi="仿宋" w:eastAsia="仿宋" w:cs="仿宋"/>
          <w:b w:val="0"/>
          <w:color w:val="auto"/>
          <w:sz w:val="32"/>
          <w:szCs w:val="32"/>
          <w:highlight w:val="none"/>
          <w:lang w:bidi="ar"/>
        </w:rPr>
        <w:t>年度重点工作小组成员如下：</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组</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长：</w:t>
      </w:r>
      <w:r>
        <w:rPr>
          <w:rStyle w:val="14"/>
          <w:rFonts w:hint="eastAsia" w:cs="仿宋"/>
          <w:b w:val="0"/>
          <w:color w:val="auto"/>
          <w:sz w:val="32"/>
          <w:szCs w:val="32"/>
          <w:highlight w:val="none"/>
          <w:lang w:eastAsia="zh-CN" w:bidi="ar"/>
        </w:rPr>
        <w:t>刘保平</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局长</w:t>
      </w:r>
      <w:r>
        <w:rPr>
          <w:rStyle w:val="14"/>
          <w:rFonts w:hint="eastAsia" w:cs="仿宋"/>
          <w:b w:val="0"/>
          <w:color w:val="auto"/>
          <w:sz w:val="32"/>
          <w:szCs w:val="32"/>
          <w:highlight w:val="none"/>
          <w:lang w:eastAsia="zh-CN" w:bidi="ar"/>
        </w:rPr>
        <w:t>、党组书记</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副组长：</w:t>
      </w:r>
      <w:r>
        <w:rPr>
          <w:rStyle w:val="14"/>
          <w:rFonts w:hint="eastAsia" w:cs="仿宋"/>
          <w:b w:val="0"/>
          <w:color w:val="auto"/>
          <w:sz w:val="32"/>
          <w:szCs w:val="32"/>
          <w:highlight w:val="none"/>
          <w:lang w:eastAsia="zh-CN" w:bidi="ar"/>
        </w:rPr>
        <w:t>靳涛</w:t>
      </w:r>
      <w:r>
        <w:rPr>
          <w:rStyle w:val="14"/>
          <w:rFonts w:hint="eastAsia"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val="en-US" w:eastAsia="zh-CN" w:bidi="ar"/>
        </w:rPr>
        <w:t xml:space="preserve"> </w:t>
      </w:r>
      <w:r>
        <w:rPr>
          <w:rStyle w:val="14"/>
          <w:rFonts w:hint="eastAsia" w:cs="仿宋"/>
          <w:b w:val="0"/>
          <w:color w:val="auto"/>
          <w:sz w:val="32"/>
          <w:szCs w:val="32"/>
          <w:highlight w:val="none"/>
          <w:lang w:eastAsia="zh-CN" w:bidi="ar"/>
        </w:rPr>
        <w:t>党组成员、中心主任</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成</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员：</w:t>
      </w:r>
      <w:r>
        <w:rPr>
          <w:rStyle w:val="14"/>
          <w:rFonts w:hint="eastAsia" w:cs="仿宋"/>
          <w:b w:val="0"/>
          <w:color w:val="auto"/>
          <w:sz w:val="32"/>
          <w:szCs w:val="32"/>
          <w:highlight w:val="none"/>
          <w:lang w:eastAsia="zh-CN" w:bidi="ar"/>
        </w:rPr>
        <w:t>曹辉</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财务</w:t>
      </w:r>
      <w:r>
        <w:rPr>
          <w:rStyle w:val="14"/>
          <w:rFonts w:hint="eastAsia" w:cs="仿宋"/>
          <w:b w:val="0"/>
          <w:color w:val="auto"/>
          <w:sz w:val="32"/>
          <w:szCs w:val="32"/>
          <w:highlight w:val="none"/>
          <w:lang w:eastAsia="zh-CN" w:bidi="ar"/>
        </w:rPr>
        <w:t>科科</w:t>
      </w:r>
      <w:r>
        <w:rPr>
          <w:rStyle w:val="14"/>
          <w:rFonts w:hint="eastAsia" w:ascii="仿宋" w:hAnsi="仿宋" w:eastAsia="仿宋" w:cs="仿宋"/>
          <w:b w:val="0"/>
          <w:color w:val="auto"/>
          <w:sz w:val="32"/>
          <w:szCs w:val="32"/>
          <w:highlight w:val="none"/>
          <w:lang w:bidi="ar"/>
        </w:rPr>
        <w:t>长</w:t>
      </w:r>
    </w:p>
    <w:p>
      <w:pPr>
        <w:pageBreakBefore w:val="0"/>
        <w:kinsoku/>
        <w:wordWrap/>
        <w:overflowPunct/>
        <w:topLinePunct w:val="0"/>
        <w:autoSpaceDE/>
        <w:autoSpaceDN/>
        <w:bidi w:val="0"/>
        <w:snapToGrid w:val="0"/>
        <w:spacing w:line="560" w:lineRule="exact"/>
        <w:ind w:firstLine="1920" w:firstLineChars="600"/>
        <w:textAlignment w:val="auto"/>
        <w:rPr>
          <w:rStyle w:val="14"/>
          <w:rFonts w:ascii="仿宋" w:hAnsi="仿宋" w:eastAsia="仿宋" w:cs="仿宋"/>
          <w:b w:val="0"/>
          <w:color w:val="auto"/>
          <w:sz w:val="32"/>
          <w:szCs w:val="32"/>
          <w:highlight w:val="none"/>
          <w:lang w:bidi="ar"/>
        </w:rPr>
      </w:pPr>
      <w:r>
        <w:rPr>
          <w:rStyle w:val="14"/>
          <w:rFonts w:hint="eastAsia" w:cs="仿宋"/>
          <w:b w:val="0"/>
          <w:color w:val="auto"/>
          <w:sz w:val="32"/>
          <w:szCs w:val="32"/>
          <w:highlight w:val="none"/>
          <w:lang w:eastAsia="zh-CN" w:bidi="ar"/>
        </w:rPr>
        <w:t>秦怀华</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办公室主任</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_GB2312" w:hAnsi="仿宋_GB2312" w:eastAsia="仿宋" w:cs="仿宋_GB2312"/>
          <w:b w:val="0"/>
          <w:color w:val="auto"/>
          <w:sz w:val="32"/>
          <w:szCs w:val="32"/>
          <w:highlight w:val="none"/>
          <w:lang w:eastAsia="zh-CN" w:bidi="ar"/>
        </w:rPr>
      </w:pPr>
      <w:r>
        <w:rPr>
          <w:rStyle w:val="14"/>
          <w:rFonts w:hint="eastAsia" w:cs="仿宋"/>
          <w:b w:val="0"/>
          <w:color w:val="auto"/>
          <w:sz w:val="32"/>
          <w:szCs w:val="32"/>
          <w:highlight w:val="none"/>
          <w:lang w:eastAsia="zh-CN" w:bidi="ar"/>
        </w:rPr>
        <w:t>卢惠玲</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eastAsia="zh-CN" w:bidi="ar"/>
        </w:rPr>
        <w:t>会计</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部门单位整体预算规模及安排情况</w:t>
      </w:r>
    </w:p>
    <w:p>
      <w:pPr>
        <w:pStyle w:val="16"/>
        <w:snapToGrid w:val="0"/>
        <w:spacing w:line="570" w:lineRule="exact"/>
        <w:ind w:firstLine="643"/>
        <w:outlineLvl w:val="2"/>
        <w:rPr>
          <w:rStyle w:val="14"/>
          <w:rFonts w:ascii="仿宋_GB2312" w:hAnsi="仿宋_GB2312" w:eastAsia="仿宋_GB2312" w:cs="仿宋_GB2312"/>
          <w:b/>
          <w:bCs w:val="0"/>
          <w:color w:val="auto"/>
          <w:sz w:val="32"/>
          <w:szCs w:val="32"/>
          <w:highlight w:val="none"/>
          <w:lang w:bidi="ar"/>
        </w:rPr>
      </w:pPr>
      <w:r>
        <w:rPr>
          <w:rStyle w:val="14"/>
          <w:rFonts w:hint="eastAsia" w:ascii="仿宋_GB2312" w:hAnsi="仿宋_GB2312" w:eastAsia="仿宋_GB2312" w:cs="仿宋_GB2312"/>
          <w:b/>
          <w:bCs w:val="0"/>
          <w:color w:val="auto"/>
          <w:sz w:val="32"/>
          <w:szCs w:val="32"/>
          <w:highlight w:val="none"/>
          <w:lang w:bidi="ar"/>
        </w:rPr>
        <w:t>1.部门单位预算编制及分配依据</w:t>
      </w:r>
    </w:p>
    <w:p>
      <w:pPr>
        <w:pStyle w:val="16"/>
        <w:snapToGrid w:val="0"/>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本</w:t>
      </w:r>
      <w:r>
        <w:rPr>
          <w:rStyle w:val="14"/>
          <w:rFonts w:hint="eastAsia" w:ascii="仿宋_GB2312" w:hAnsi="仿宋_GB2312" w:eastAsia="仿宋_GB2312" w:cs="仿宋_GB2312"/>
          <w:b w:val="0"/>
          <w:color w:val="auto"/>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w:t>
      </w:r>
      <w:r>
        <w:rPr>
          <w:rStyle w:val="14"/>
          <w:rFonts w:hint="eastAsia" w:ascii="仿宋_GB2312" w:hAnsi="仿宋_GB2312" w:eastAsia="仿宋_GB2312" w:cs="仿宋_GB2312"/>
          <w:b w:val="0"/>
          <w:color w:val="auto"/>
          <w:sz w:val="32"/>
          <w:szCs w:val="32"/>
          <w:highlight w:val="none"/>
          <w:lang w:eastAsia="zh-CN" w:bidi="ar"/>
        </w:rPr>
        <w:t>其</w:t>
      </w:r>
      <w:r>
        <w:rPr>
          <w:rStyle w:val="14"/>
          <w:rFonts w:hint="eastAsia" w:ascii="仿宋_GB2312" w:hAnsi="仿宋_GB2312" w:eastAsia="仿宋_GB2312" w:cs="仿宋_GB2312"/>
          <w:b w:val="0"/>
          <w:color w:val="auto"/>
          <w:sz w:val="32"/>
          <w:szCs w:val="32"/>
          <w:highlight w:val="none"/>
          <w:lang w:bidi="ar"/>
        </w:rPr>
        <w:t>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2.分配结果</w:t>
      </w:r>
    </w:p>
    <w:p>
      <w:pPr>
        <w:widowControl/>
        <w:ind w:firstLine="643"/>
        <w:jc w:val="left"/>
        <w:rPr>
          <w:rStyle w:val="14"/>
          <w:rFonts w:hint="eastAsia" w:ascii="仿宋_GB2312" w:hAnsi="仿宋_GB2312" w:eastAsia="仿宋_GB2312" w:cs="仿宋_GB2312"/>
          <w:b w:val="0"/>
          <w:color w:val="auto"/>
          <w:kern w:val="2"/>
          <w:sz w:val="32"/>
          <w:szCs w:val="32"/>
          <w:highlight w:val="none"/>
          <w:lang w:val="en-US" w:eastAsia="zh-CN" w:bidi="ar"/>
        </w:rPr>
      </w:pPr>
      <w:r>
        <w:rPr>
          <w:rStyle w:val="14"/>
          <w:rFonts w:hint="eastAsia" w:ascii="仿宋_GB2312" w:hAnsi="仿宋_GB2312" w:eastAsia="仿宋_GB2312" w:cs="仿宋_GB2312"/>
          <w:b w:val="0"/>
          <w:color w:val="auto"/>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snapToGrid w:val="0"/>
        <w:spacing w:line="570" w:lineRule="exact"/>
        <w:ind w:firstLine="640"/>
        <w:rPr>
          <w:rFonts w:hint="eastAsia" w:ascii="仿宋_GB2312" w:eastAsia="仿宋_GB2312"/>
          <w:b/>
          <w:bCs/>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bidi="ar"/>
        </w:rPr>
        <w:t>预算编制和分配符合</w:t>
      </w:r>
      <w:r>
        <w:rPr>
          <w:rStyle w:val="14"/>
          <w:rFonts w:hint="eastAsia" w:ascii="仿宋_GB2312" w:hAnsi="仿宋_GB2312" w:eastAsia="仿宋_GB2312" w:cs="仿宋_GB2312"/>
          <w:b w:val="0"/>
          <w:color w:val="auto"/>
          <w:sz w:val="32"/>
          <w:szCs w:val="32"/>
          <w:highlight w:val="none"/>
          <w:lang w:eastAsia="zh-Hans" w:bidi="ar"/>
        </w:rPr>
        <w:t>本</w:t>
      </w:r>
      <w:r>
        <w:rPr>
          <w:rStyle w:val="14"/>
          <w:rFonts w:hint="eastAsia" w:ascii="仿宋_GB2312" w:hAnsi="仿宋_GB2312" w:eastAsia="仿宋_GB2312" w:cs="仿宋_GB2312"/>
          <w:b w:val="0"/>
          <w:color w:val="auto"/>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00" w:lineRule="exact"/>
        <w:ind w:firstLine="643" w:firstLineChars="200"/>
        <w:textAlignment w:val="auto"/>
        <w:rPr>
          <w:rStyle w:val="14"/>
          <w:rFonts w:hint="eastAsia" w:ascii="仿宋_GB2312" w:hAnsi="仿宋_GB2312" w:eastAsia="仿宋_GB2312" w:cs="仿宋_GB2312"/>
          <w:bCs w:val="0"/>
          <w:color w:val="auto"/>
          <w:kern w:val="2"/>
          <w:sz w:val="32"/>
          <w:szCs w:val="32"/>
          <w:highlight w:val="none"/>
          <w:lang w:val="en-US" w:eastAsia="zh-CN" w:bidi="ar"/>
        </w:rPr>
      </w:pPr>
      <w:r>
        <w:rPr>
          <w:rFonts w:hint="eastAsia" w:ascii="仿宋_GB2312" w:eastAsia="仿宋_GB2312"/>
          <w:b/>
          <w:bCs/>
          <w:color w:val="auto"/>
          <w:sz w:val="32"/>
          <w:szCs w:val="32"/>
          <w:highlight w:val="none"/>
          <w:lang w:val="en-US" w:eastAsia="zh-CN"/>
        </w:rPr>
        <w:t>3</w:t>
      </w:r>
      <w:r>
        <w:rPr>
          <w:rStyle w:val="14"/>
          <w:rFonts w:hint="eastAsia" w:ascii="仿宋_GB2312" w:hAnsi="仿宋_GB2312" w:eastAsia="仿宋_GB2312" w:cs="仿宋_GB2312"/>
          <w:bCs w:val="0"/>
          <w:color w:val="auto"/>
          <w:kern w:val="2"/>
          <w:sz w:val="32"/>
          <w:szCs w:val="32"/>
          <w:highlight w:val="none"/>
          <w:lang w:val="en-US" w:eastAsia="zh-CN" w:bidi="ar"/>
        </w:rPr>
        <w:t>.年初预算安排规模</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Style w:val="14"/>
          <w:rFonts w:hint="eastAsia" w:cs="仿宋"/>
          <w:b w:val="0"/>
          <w:color w:val="auto"/>
          <w:sz w:val="32"/>
          <w:szCs w:val="32"/>
          <w:highlight w:val="none"/>
          <w:lang w:val="en-US" w:eastAsia="zh-CN" w:bidi="ar"/>
        </w:rPr>
        <w:t>172.69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111.69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61</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cs="仿宋"/>
          <w:b w:val="0"/>
          <w:color w:val="auto"/>
          <w:sz w:val="32"/>
          <w:szCs w:val="32"/>
          <w:highlight w:val="none"/>
          <w:lang w:val="en-US" w:eastAsia="zh-CN" w:bidi="ar"/>
        </w:rPr>
        <w:t>化解ABCD</w:t>
      </w:r>
      <w:r>
        <w:rPr>
          <w:rStyle w:val="14"/>
          <w:rFonts w:hint="eastAsia" w:ascii="仿宋" w:hAnsi="仿宋" w:eastAsia="仿宋" w:cs="仿宋"/>
          <w:b w:val="0"/>
          <w:color w:val="auto"/>
          <w:sz w:val="32"/>
          <w:szCs w:val="32"/>
          <w:highlight w:val="none"/>
          <w:lang w:val="en-US" w:eastAsia="zh-CN" w:bidi="ar"/>
        </w:rPr>
        <w:t>项目</w:t>
      </w:r>
      <w:r>
        <w:rPr>
          <w:rStyle w:val="14"/>
          <w:rFonts w:hint="eastAsia" w:cs="仿宋"/>
          <w:b w:val="0"/>
          <w:color w:val="auto"/>
          <w:sz w:val="32"/>
          <w:szCs w:val="32"/>
          <w:highlight w:val="none"/>
          <w:lang w:val="en-US" w:eastAsia="zh-CN" w:bidi="ar"/>
        </w:rPr>
        <w:t>61</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支付农村土地承包经营权确权登记及数据库建设项目费用</w:t>
      </w:r>
      <w:r>
        <w:rPr>
          <w:rStyle w:val="14"/>
          <w:rFonts w:hint="eastAsia" w:ascii="仿宋" w:hAnsi="仿宋" w:eastAsia="仿宋" w:cs="仿宋"/>
          <w:b w:val="0"/>
          <w:color w:val="auto"/>
          <w:sz w:val="32"/>
          <w:szCs w:val="32"/>
          <w:highlight w:val="none"/>
          <w:lang w:bidi="ar"/>
        </w:rPr>
        <w:t>。</w:t>
      </w:r>
    </w:p>
    <w:p>
      <w:pPr>
        <w:pStyle w:val="2"/>
        <w:rPr>
          <w:rStyle w:val="14"/>
          <w:rFonts w:hint="eastAsia" w:ascii="仿宋_GB2312" w:hAnsi="仿宋_GB2312" w:eastAsia="仿宋_GB2312" w:cs="仿宋_GB2312"/>
          <w:b/>
          <w:bCs w:val="0"/>
          <w:color w:val="auto"/>
          <w:kern w:val="2"/>
          <w:sz w:val="32"/>
          <w:szCs w:val="32"/>
          <w:highlight w:val="none"/>
          <w:lang w:val="en-US" w:eastAsia="zh-CN" w:bidi="ar"/>
        </w:rPr>
      </w:pPr>
      <w:r>
        <w:rPr>
          <w:rStyle w:val="14"/>
          <w:rFonts w:hint="eastAsia" w:ascii="仿宋_GB2312" w:hAnsi="仿宋_GB2312" w:eastAsia="仿宋_GB2312" w:cs="仿宋_GB2312"/>
          <w:b/>
          <w:bCs w:val="0"/>
          <w:color w:val="auto"/>
          <w:kern w:val="2"/>
          <w:sz w:val="32"/>
          <w:szCs w:val="32"/>
          <w:highlight w:val="none"/>
          <w:lang w:val="en-US" w:eastAsia="zh-CN" w:bidi="ar"/>
        </w:rPr>
        <w:t>4</w:t>
      </w:r>
      <w:r>
        <w:rPr>
          <w:rStyle w:val="14"/>
          <w:rFonts w:hint="eastAsia" w:cs="仿宋_GB2312"/>
          <w:b/>
          <w:bCs w:val="0"/>
          <w:color w:val="auto"/>
          <w:kern w:val="2"/>
          <w:sz w:val="32"/>
          <w:szCs w:val="32"/>
          <w:highlight w:val="none"/>
          <w:lang w:val="en-US" w:eastAsia="zh-CN" w:bidi="ar"/>
        </w:rPr>
        <w:t>.</w:t>
      </w:r>
      <w:r>
        <w:rPr>
          <w:rStyle w:val="14"/>
          <w:rFonts w:hint="eastAsia" w:ascii="仿宋_GB2312" w:hAnsi="仿宋_GB2312" w:eastAsia="仿宋_GB2312" w:cs="仿宋_GB2312"/>
          <w:b/>
          <w:bCs w:val="0"/>
          <w:color w:val="auto"/>
          <w:kern w:val="2"/>
          <w:sz w:val="32"/>
          <w:szCs w:val="32"/>
          <w:highlight w:val="none"/>
          <w:lang w:val="en-US" w:eastAsia="zh-CN" w:bidi="ar"/>
        </w:rPr>
        <w:t>全年预算安排规模</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Fonts w:hint="eastAsia" w:cs="仿宋"/>
          <w:color w:val="auto"/>
          <w:sz w:val="32"/>
          <w:szCs w:val="32"/>
          <w:highlight w:val="none"/>
          <w:lang w:val="en-US" w:eastAsia="zh-CN"/>
        </w:rPr>
        <w:t>172.69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197.68</w:t>
      </w:r>
      <w:r>
        <w:rPr>
          <w:rStyle w:val="14"/>
          <w:rFonts w:hint="eastAsia" w:ascii="仿宋" w:hAnsi="仿宋" w:eastAsia="仿宋" w:cs="仿宋"/>
          <w:b w:val="0"/>
          <w:color w:val="auto"/>
          <w:sz w:val="32"/>
          <w:szCs w:val="32"/>
          <w:highlight w:val="none"/>
          <w:lang w:val="en-US" w:eastAsia="zh-CN" w:bidi="ar"/>
        </w:rPr>
        <w:t>万元，全年预算数为</w:t>
      </w:r>
      <w:r>
        <w:rPr>
          <w:rFonts w:hint="eastAsia" w:cs="仿宋"/>
          <w:color w:val="auto"/>
          <w:sz w:val="32"/>
          <w:szCs w:val="32"/>
          <w:highlight w:val="none"/>
          <w:lang w:val="en-US" w:eastAsia="zh-CN"/>
        </w:rPr>
        <w:t>370.37</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111.69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30.18</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141.87</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ind w:firstLine="640" w:firstLineChars="200"/>
        <w:rPr>
          <w:color w:val="auto"/>
          <w:highlight w:val="none"/>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61</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167.5</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228.5</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cs="仿宋"/>
          <w:b w:val="0"/>
          <w:color w:val="auto"/>
          <w:sz w:val="32"/>
          <w:szCs w:val="32"/>
          <w:highlight w:val="none"/>
          <w:lang w:val="en-US" w:eastAsia="zh-CN" w:bidi="ar"/>
        </w:rPr>
        <w:t>化解ABCD</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61</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61</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支付农村土地承包经营权确权登记及数据库建设项目费用</w:t>
      </w:r>
      <w:r>
        <w:rPr>
          <w:rStyle w:val="14"/>
          <w:rFonts w:hint="eastAsia" w:ascii="仿宋" w:hAnsi="仿宋" w:eastAsia="仿宋" w:cs="仿宋"/>
          <w:b w:val="0"/>
          <w:color w:val="auto"/>
          <w:sz w:val="32"/>
          <w:szCs w:val="32"/>
          <w:highlight w:val="none"/>
          <w:lang w:val="en-US" w:eastAsia="zh-CN" w:bidi="ar"/>
        </w:rPr>
        <w:t>；</w:t>
      </w:r>
      <w:r>
        <w:rPr>
          <w:rStyle w:val="14"/>
          <w:rFonts w:hint="eastAsia" w:cs="仿宋"/>
          <w:b w:val="0"/>
          <w:color w:val="auto"/>
          <w:sz w:val="32"/>
          <w:szCs w:val="32"/>
          <w:highlight w:val="none"/>
          <w:lang w:val="en-US" w:eastAsia="zh-CN" w:bidi="ar"/>
        </w:rPr>
        <w:t>为民办实事工作专项</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9.5</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9.5</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支付为民办实事工作费用</w:t>
      </w:r>
      <w:r>
        <w:rPr>
          <w:rStyle w:val="14"/>
          <w:rFonts w:hint="eastAsia" w:cs="仿宋"/>
          <w:b w:val="0"/>
          <w:color w:val="auto"/>
          <w:sz w:val="32"/>
          <w:szCs w:val="32"/>
          <w:highlight w:val="none"/>
          <w:lang w:eastAsia="zh-CN" w:bidi="ar"/>
        </w:rPr>
        <w:t>；</w:t>
      </w:r>
      <w:r>
        <w:rPr>
          <w:rStyle w:val="14"/>
          <w:rFonts w:hint="eastAsia" w:cs="仿宋"/>
          <w:b w:val="0"/>
          <w:color w:val="auto"/>
          <w:sz w:val="32"/>
          <w:szCs w:val="32"/>
          <w:highlight w:val="none"/>
          <w:lang w:val="en-US" w:eastAsia="zh-CN" w:bidi="ar"/>
        </w:rPr>
        <w:t>2023年中央农业经营主体能力提升资金[新型农业经营主体提升技术应用和生产经营能力]、农业生产社会化服务</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158</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158</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对新型经营主体（2个农民合作社、1个家庭农场）以及3万亩以小农户为主的农业社会化服务作业进行补助。</w:t>
      </w:r>
    </w:p>
    <w:p>
      <w:pPr>
        <w:pStyle w:val="3"/>
        <w:spacing w:line="570" w:lineRule="exact"/>
        <w:ind w:firstLine="640"/>
        <w:rPr>
          <w:rFonts w:ascii="黑体" w:hAnsi="黑体"/>
          <w:b w:val="0"/>
          <w:color w:val="auto"/>
          <w:sz w:val="32"/>
          <w:szCs w:val="32"/>
        </w:rPr>
      </w:pPr>
      <w:r>
        <w:rPr>
          <w:rFonts w:hint="eastAsia" w:ascii="黑体" w:hAnsi="黑体"/>
          <w:b w:val="0"/>
          <w:color w:val="auto"/>
          <w:sz w:val="32"/>
          <w:szCs w:val="32"/>
        </w:rPr>
        <w:t>二、部门单位整体支出管理及使用情况</w:t>
      </w:r>
    </w:p>
    <w:p>
      <w:pPr>
        <w:pStyle w:val="4"/>
        <w:numPr>
          <w:ilvl w:val="0"/>
          <w:numId w:val="0"/>
        </w:numPr>
        <w:spacing w:line="570" w:lineRule="exact"/>
        <w:ind w:left="420" w:leftChars="0" w:firstLine="321" w:firstLineChars="100"/>
        <w:rPr>
          <w:rFonts w:ascii="楷体_GB2312" w:eastAsia="楷体_GB2312"/>
          <w:color w:val="auto"/>
          <w:szCs w:val="32"/>
        </w:rPr>
      </w:pPr>
      <w:r>
        <w:rPr>
          <w:rFonts w:hint="eastAsia" w:ascii="楷体_GB2312" w:eastAsia="楷体_GB2312"/>
          <w:bCs/>
          <w:color w:val="auto"/>
          <w:szCs w:val="32"/>
          <w:lang w:eastAsia="zh-CN"/>
        </w:rPr>
        <w:t>（一）</w:t>
      </w:r>
      <w:r>
        <w:rPr>
          <w:rFonts w:hint="eastAsia" w:ascii="楷体_GB2312" w:eastAsia="楷体_GB2312"/>
          <w:bCs/>
          <w:color w:val="auto"/>
          <w:szCs w:val="32"/>
        </w:rPr>
        <w:t>预算管理情况</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lang w:bidi="ar"/>
        </w:rPr>
      </w:pPr>
      <w:r>
        <w:rPr>
          <w:rStyle w:val="14"/>
          <w:rFonts w:hint="eastAsia" w:ascii="仿宋_GB2312" w:hAnsi="仿宋_GB2312" w:eastAsia="仿宋_GB2312" w:cs="仿宋_GB2312"/>
          <w:bCs w:val="0"/>
          <w:color w:val="auto"/>
          <w:sz w:val="32"/>
          <w:szCs w:val="32"/>
          <w:lang w:bidi="ar"/>
        </w:rPr>
        <w:t>1.管理制度健全性</w:t>
      </w:r>
    </w:p>
    <w:p>
      <w:pPr>
        <w:ind w:firstLine="640"/>
        <w:rPr>
          <w:rStyle w:val="14"/>
          <w:rFonts w:ascii="仿宋_GB2312" w:eastAsia="仿宋_GB2312"/>
          <w:b w:val="0"/>
          <w:bCs w:val="0"/>
          <w:color w:val="auto"/>
          <w:sz w:val="32"/>
          <w:szCs w:val="32"/>
        </w:rPr>
      </w:pPr>
      <w:r>
        <w:rPr>
          <w:rStyle w:val="14"/>
          <w:rFonts w:hint="eastAsia" w:ascii="仿宋_GB2312" w:hAnsi="仿宋_GB2312" w:eastAsia="仿宋_GB2312" w:cs="仿宋_GB2312"/>
          <w:b w:val="0"/>
          <w:color w:val="auto"/>
          <w:sz w:val="32"/>
          <w:szCs w:val="32"/>
          <w:lang w:bidi="ar"/>
        </w:rPr>
        <w:t>本单位为加强预算管理，规范财务行为，已制定了《</w:t>
      </w:r>
      <w:r>
        <w:rPr>
          <w:rStyle w:val="14"/>
          <w:rFonts w:hint="eastAsia" w:ascii="仿宋_GB2312" w:hAnsi="仿宋_GB2312" w:eastAsia="仿宋_GB2312" w:cs="仿宋_GB2312"/>
          <w:b w:val="0"/>
          <w:color w:val="auto"/>
          <w:sz w:val="32"/>
          <w:szCs w:val="32"/>
          <w:lang w:eastAsia="zh-CN" w:bidi="ar"/>
        </w:rPr>
        <w:t>沙湾市农村合作经济发展中心</w:t>
      </w:r>
      <w:r>
        <w:rPr>
          <w:rStyle w:val="14"/>
          <w:rFonts w:hint="eastAsia" w:ascii="仿宋_GB2312" w:hAnsi="仿宋_GB2312" w:eastAsia="仿宋_GB2312" w:cs="仿宋_GB2312"/>
          <w:b w:val="0"/>
          <w:color w:val="auto"/>
          <w:sz w:val="32"/>
          <w:szCs w:val="32"/>
          <w:lang w:bidi="ar"/>
        </w:rPr>
        <w:t>部门单位预算绩效管理工作实施办法</w:t>
      </w:r>
      <w:r>
        <w:rPr>
          <w:rStyle w:val="14"/>
          <w:rFonts w:hint="eastAsia" w:ascii="仿宋_GB2312" w:hAnsi="仿宋_GB2312" w:eastAsia="仿宋_GB2312" w:cs="仿宋_GB2312"/>
          <w:b w:val="0"/>
          <w:color w:val="auto"/>
          <w:sz w:val="32"/>
          <w:szCs w:val="32"/>
          <w:lang w:eastAsia="zh-CN" w:bidi="ar"/>
        </w:rPr>
        <w:t>》《沙湾市农村合作经济发展中心</w:t>
      </w:r>
      <w:r>
        <w:rPr>
          <w:rStyle w:val="14"/>
          <w:rFonts w:hint="eastAsia" w:ascii="仿宋_GB2312" w:hAnsi="仿宋_GB2312" w:eastAsia="仿宋_GB2312" w:cs="仿宋_GB2312"/>
          <w:b w:val="0"/>
          <w:color w:val="auto"/>
          <w:sz w:val="32"/>
          <w:szCs w:val="32"/>
          <w:lang w:bidi="ar"/>
        </w:rPr>
        <w:t>单位财务管理制度》等较为健全的各项管理制度，</w:t>
      </w:r>
      <w:r>
        <w:rPr>
          <w:rFonts w:hint="eastAsia" w:ascii="仿宋_GB2312" w:eastAsia="仿宋_GB2312"/>
          <w:color w:val="auto"/>
          <w:sz w:val="32"/>
          <w:szCs w:val="32"/>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auto"/>
          <w:sz w:val="32"/>
          <w:szCs w:val="32"/>
          <w:lang w:bidi="ar"/>
        </w:rPr>
        <w:t>有效提高了本单位高效</w:t>
      </w:r>
      <w:r>
        <w:rPr>
          <w:rStyle w:val="14"/>
          <w:rFonts w:hint="eastAsia" w:ascii="仿宋_GB2312" w:hAnsi="仿宋_GB2312" w:eastAsia="仿宋_GB2312" w:cs="仿宋_GB2312"/>
          <w:b w:val="0"/>
          <w:color w:val="auto"/>
          <w:sz w:val="32"/>
          <w:szCs w:val="32"/>
          <w:lang w:eastAsia="zh-CN" w:bidi="ar"/>
        </w:rPr>
        <w:t>地</w:t>
      </w:r>
      <w:r>
        <w:rPr>
          <w:rStyle w:val="14"/>
          <w:rFonts w:hint="eastAsia" w:ascii="仿宋_GB2312" w:hAnsi="仿宋_GB2312" w:eastAsia="仿宋_GB2312" w:cs="仿宋_GB2312"/>
          <w:b w:val="0"/>
          <w:color w:val="auto"/>
          <w:sz w:val="32"/>
          <w:szCs w:val="32"/>
          <w:lang w:bidi="ar"/>
        </w:rPr>
        <w:t>履行工作职能，较好</w:t>
      </w:r>
      <w:r>
        <w:rPr>
          <w:rStyle w:val="14"/>
          <w:rFonts w:hint="eastAsia" w:ascii="仿宋_GB2312" w:hAnsi="仿宋_GB2312" w:eastAsia="仿宋_GB2312" w:cs="仿宋_GB2312"/>
          <w:b w:val="0"/>
          <w:color w:val="auto"/>
          <w:sz w:val="32"/>
          <w:szCs w:val="32"/>
          <w:lang w:eastAsia="zh-CN" w:bidi="ar"/>
        </w:rPr>
        <w:t>地</w:t>
      </w:r>
      <w:r>
        <w:rPr>
          <w:rStyle w:val="14"/>
          <w:rFonts w:hint="eastAsia" w:ascii="仿宋_GB2312" w:hAnsi="仿宋_GB2312" w:eastAsia="仿宋_GB2312" w:cs="仿宋_GB2312"/>
          <w:b w:val="0"/>
          <w:color w:val="auto"/>
          <w:sz w:val="32"/>
          <w:szCs w:val="32"/>
          <w:lang w:bidi="ar"/>
        </w:rPr>
        <w:t>促进了相关事业的发展。</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lang w:bidi="ar"/>
        </w:rPr>
      </w:pPr>
      <w:r>
        <w:rPr>
          <w:rStyle w:val="14"/>
          <w:rFonts w:hint="eastAsia" w:ascii="仿宋_GB2312" w:hAnsi="仿宋_GB2312" w:eastAsia="仿宋_GB2312" w:cs="仿宋_GB2312"/>
          <w:bCs w:val="0"/>
          <w:color w:val="auto"/>
          <w:sz w:val="32"/>
          <w:szCs w:val="32"/>
          <w:lang w:bidi="ar"/>
        </w:rPr>
        <w:t>2.资金使用合规性和安全性</w:t>
      </w:r>
    </w:p>
    <w:p>
      <w:pPr>
        <w:pStyle w:val="16"/>
        <w:snapToGrid w:val="0"/>
        <w:spacing w:line="570" w:lineRule="exact"/>
        <w:ind w:firstLine="640"/>
        <w:rPr>
          <w:rStyle w:val="14"/>
          <w:rFonts w:ascii="仿宋_GB2312" w:hAnsi="仿宋_GB2312" w:eastAsia="仿宋_GB2312" w:cs="仿宋_GB2312"/>
          <w:b w:val="0"/>
          <w:color w:val="auto"/>
          <w:sz w:val="32"/>
          <w:szCs w:val="32"/>
          <w:lang w:bidi="ar"/>
        </w:rPr>
      </w:pPr>
      <w:r>
        <w:rPr>
          <w:rStyle w:val="14"/>
          <w:rFonts w:hint="eastAsia" w:ascii="仿宋_GB2312" w:hAnsi="仿宋_GB2312" w:eastAsia="仿宋_GB2312" w:cs="仿宋_GB2312"/>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lang w:bidi="ar"/>
        </w:rPr>
      </w:pPr>
      <w:r>
        <w:rPr>
          <w:rStyle w:val="14"/>
          <w:rFonts w:hint="eastAsia" w:ascii="仿宋_GB2312" w:hAnsi="仿宋_GB2312" w:eastAsia="仿宋_GB2312" w:cs="仿宋_GB2312"/>
          <w:bCs w:val="0"/>
          <w:color w:val="auto"/>
          <w:sz w:val="32"/>
          <w:szCs w:val="32"/>
          <w:lang w:bidi="ar"/>
        </w:rPr>
        <w:t>3.预决算信息公开性</w:t>
      </w:r>
    </w:p>
    <w:p>
      <w:pPr>
        <w:pStyle w:val="16"/>
        <w:snapToGrid w:val="0"/>
        <w:spacing w:line="570" w:lineRule="exact"/>
        <w:ind w:firstLine="640"/>
        <w:rPr>
          <w:rStyle w:val="14"/>
          <w:rFonts w:ascii="仿宋_GB2312" w:hAnsi="仿宋_GB2312" w:eastAsia="仿宋_GB2312" w:cs="仿宋_GB2312"/>
          <w:b w:val="0"/>
          <w:color w:val="auto"/>
          <w:sz w:val="32"/>
          <w:szCs w:val="32"/>
          <w:lang w:bidi="ar"/>
        </w:rPr>
      </w:pPr>
      <w:r>
        <w:rPr>
          <w:rStyle w:val="14"/>
          <w:rFonts w:hint="eastAsia" w:ascii="仿宋_GB2312" w:hAnsi="仿宋_GB2312" w:eastAsia="仿宋_GB2312" w:cs="仿宋_GB2312"/>
          <w:b w:val="0"/>
          <w:color w:val="auto"/>
          <w:sz w:val="32"/>
          <w:szCs w:val="32"/>
          <w:lang w:bidi="ar"/>
        </w:rPr>
        <w:t>按照</w:t>
      </w:r>
      <w:r>
        <w:rPr>
          <w:rStyle w:val="14"/>
          <w:rFonts w:hint="eastAsia" w:ascii="仿宋_GB2312" w:hAnsi="仿宋_GB2312" w:eastAsia="仿宋_GB2312" w:cs="仿宋_GB2312"/>
          <w:b w:val="0"/>
          <w:color w:val="auto"/>
          <w:sz w:val="32"/>
          <w:szCs w:val="32"/>
          <w:lang w:eastAsia="zh-CN" w:bidi="ar"/>
        </w:rPr>
        <w:t>塔城</w:t>
      </w:r>
      <w:r>
        <w:rPr>
          <w:rStyle w:val="14"/>
          <w:rFonts w:hint="eastAsia" w:ascii="仿宋_GB2312" w:hAnsi="仿宋_GB2312" w:eastAsia="仿宋_GB2312" w:cs="仿宋_GB2312"/>
          <w:b w:val="0"/>
          <w:color w:val="auto"/>
          <w:sz w:val="32"/>
          <w:szCs w:val="32"/>
          <w:lang w:bidi="ar"/>
        </w:rPr>
        <w:t>地区财政局预决算信息公开工作要求，我单位在</w:t>
      </w:r>
      <w:r>
        <w:rPr>
          <w:rStyle w:val="14"/>
          <w:rFonts w:hint="eastAsia" w:ascii="仿宋_GB2312" w:hAnsi="仿宋_GB2312" w:eastAsia="仿宋_GB2312" w:cs="仿宋_GB2312"/>
          <w:b w:val="0"/>
          <w:color w:val="auto"/>
          <w:sz w:val="32"/>
          <w:szCs w:val="32"/>
          <w:lang w:eastAsia="zh-CN" w:bidi="ar"/>
        </w:rPr>
        <w:t>沙湾市人民</w:t>
      </w:r>
      <w:r>
        <w:rPr>
          <w:rStyle w:val="14"/>
          <w:rFonts w:hint="eastAsia" w:ascii="仿宋_GB2312" w:hAnsi="仿宋_GB2312" w:eastAsia="仿宋_GB2312" w:cs="仿宋_GB2312"/>
          <w:b w:val="0"/>
          <w:color w:val="auto"/>
          <w:sz w:val="32"/>
          <w:szCs w:val="32"/>
          <w:lang w:bidi="ar"/>
        </w:rPr>
        <w:t>政府信息网财政信息公开专栏对本单位预决算信息进行了公开。公开内容主要包括：本单位主要职能、机构及人员情况，收入、支出预算安排及决算情况，</w:t>
      </w:r>
      <w:r>
        <w:rPr>
          <w:rStyle w:val="14"/>
          <w:rFonts w:hint="eastAsia" w:ascii="仿宋_GB2312" w:hAnsi="仿宋_GB2312" w:eastAsia="仿宋_GB2312" w:cs="仿宋_GB2312"/>
          <w:b w:val="0"/>
          <w:color w:val="auto"/>
          <w:sz w:val="32"/>
          <w:szCs w:val="32"/>
          <w:lang w:eastAsia="zh-CN" w:bidi="ar"/>
        </w:rPr>
        <w:t>“三公”经费</w:t>
      </w:r>
      <w:r>
        <w:rPr>
          <w:rStyle w:val="14"/>
          <w:rFonts w:hint="eastAsia" w:ascii="仿宋_GB2312" w:hAnsi="仿宋_GB2312" w:eastAsia="仿宋_GB2312" w:cs="仿宋_GB2312"/>
          <w:b w:val="0"/>
          <w:color w:val="auto"/>
          <w:sz w:val="32"/>
          <w:szCs w:val="32"/>
          <w:lang w:bidi="ar"/>
        </w:rPr>
        <w:t>预算安排及决算情况，政府采购情况，国有资产占用情况，预算绩效情况等信息，主动接受社会各界监督。</w:t>
      </w:r>
    </w:p>
    <w:p>
      <w:pPr>
        <w:pStyle w:val="4"/>
        <w:numPr>
          <w:ilvl w:val="0"/>
          <w:numId w:val="0"/>
        </w:numPr>
        <w:spacing w:line="570" w:lineRule="exact"/>
        <w:ind w:left="420" w:leftChars="0"/>
        <w:rPr>
          <w:rFonts w:ascii="楷体_GB2312" w:eastAsia="楷体_GB2312"/>
          <w:bCs/>
          <w:color w:val="auto"/>
          <w:szCs w:val="32"/>
        </w:rPr>
      </w:pPr>
      <w:r>
        <w:rPr>
          <w:rFonts w:hint="eastAsia" w:ascii="楷体_GB2312" w:eastAsia="楷体_GB2312"/>
          <w:bCs/>
          <w:color w:val="auto"/>
          <w:szCs w:val="32"/>
          <w:lang w:eastAsia="zh-CN"/>
        </w:rPr>
        <w:t>（二）</w:t>
      </w:r>
      <w:r>
        <w:rPr>
          <w:rFonts w:hint="eastAsia" w:ascii="楷体_GB2312" w:eastAsia="楷体_GB2312"/>
          <w:bCs/>
          <w:color w:val="auto"/>
          <w:szCs w:val="32"/>
        </w:rPr>
        <w:t>基本支出预算安排及支出情况</w:t>
      </w:r>
    </w:p>
    <w:p>
      <w:pPr>
        <w:spacing w:line="570" w:lineRule="exact"/>
        <w:ind w:firstLine="643"/>
        <w:rPr>
          <w:rFonts w:ascii="仿宋_GB2312" w:eastAsia="仿宋_GB2312"/>
          <w:b/>
          <w:bCs/>
          <w:color w:val="auto"/>
          <w:sz w:val="32"/>
          <w:szCs w:val="32"/>
        </w:rPr>
      </w:pPr>
      <w:r>
        <w:rPr>
          <w:rFonts w:hint="eastAsia" w:ascii="仿宋_GB2312" w:eastAsia="仿宋_GB2312"/>
          <w:b/>
          <w:bCs/>
          <w:color w:val="auto"/>
          <w:sz w:val="32"/>
          <w:szCs w:val="32"/>
        </w:rPr>
        <w:t>1.基本支出情况</w:t>
      </w:r>
    </w:p>
    <w:p>
      <w:pPr>
        <w:spacing w:line="570" w:lineRule="exact"/>
        <w:ind w:firstLine="64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w:t>
      </w:r>
      <w:r>
        <w:rPr>
          <w:rStyle w:val="14"/>
          <w:rFonts w:hint="eastAsia" w:ascii="仿宋_GB2312" w:hAnsi="仿宋_GB2312" w:eastAsia="仿宋_GB2312" w:cs="仿宋_GB2312"/>
          <w:b w:val="0"/>
          <w:color w:val="auto"/>
          <w:sz w:val="32"/>
          <w:szCs w:val="32"/>
          <w:lang w:eastAsia="zh-CN" w:bidi="ar"/>
        </w:rPr>
        <w:t>沙湾市农村合作经济发展中心</w:t>
      </w:r>
      <w:r>
        <w:rPr>
          <w:rFonts w:hint="eastAsia" w:ascii="仿宋_GB2312" w:eastAsia="仿宋_GB2312"/>
          <w:color w:val="auto"/>
          <w:sz w:val="32"/>
          <w:szCs w:val="32"/>
        </w:rPr>
        <w:t>基本支出年初预算金额为</w:t>
      </w:r>
      <w:r>
        <w:rPr>
          <w:rFonts w:hint="eastAsia" w:ascii="仿宋_GB2312" w:eastAsia="仿宋_GB2312"/>
          <w:color w:val="auto"/>
          <w:sz w:val="32"/>
          <w:szCs w:val="32"/>
          <w:lang w:val="en-US" w:eastAsia="zh-CN"/>
        </w:rPr>
        <w:t>111.69</w:t>
      </w:r>
      <w:r>
        <w:rPr>
          <w:rFonts w:hint="eastAsia" w:ascii="仿宋_GB2312" w:eastAsia="仿宋_GB2312"/>
          <w:color w:val="auto"/>
          <w:sz w:val="32"/>
          <w:szCs w:val="32"/>
        </w:rPr>
        <w:t>万元，实际支出金额为</w:t>
      </w:r>
      <w:r>
        <w:rPr>
          <w:rFonts w:hint="eastAsia" w:ascii="仿宋_GB2312" w:eastAsia="仿宋_GB2312"/>
          <w:color w:val="auto"/>
          <w:sz w:val="32"/>
          <w:szCs w:val="32"/>
          <w:lang w:val="en-US" w:eastAsia="zh-CN"/>
        </w:rPr>
        <w:t>111.69</w:t>
      </w:r>
      <w:r>
        <w:rPr>
          <w:rFonts w:hint="eastAsia" w:ascii="仿宋_GB2312" w:eastAsia="仿宋_GB2312"/>
          <w:color w:val="auto"/>
          <w:sz w:val="32"/>
          <w:szCs w:val="32"/>
        </w:rPr>
        <w:t>万元，预算执行率为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r>
        <w:rPr>
          <w:rFonts w:hint="eastAsia" w:ascii="仿宋_GB2312" w:eastAsia="仿宋_GB2312"/>
          <w:color w:val="auto"/>
          <w:sz w:val="32"/>
          <w:szCs w:val="32"/>
          <w:lang w:eastAsia="zh-CN"/>
        </w:rPr>
        <w:t>；</w:t>
      </w:r>
      <w:r>
        <w:rPr>
          <w:rFonts w:hint="eastAsia" w:ascii="仿宋_GB2312" w:eastAsia="仿宋_GB2312"/>
          <w:color w:val="auto"/>
          <w:sz w:val="32"/>
          <w:szCs w:val="32"/>
        </w:rPr>
        <w:t>年中调整预算金额为</w:t>
      </w:r>
      <w:r>
        <w:rPr>
          <w:rFonts w:hint="eastAsia" w:ascii="仿宋_GB2312" w:eastAsia="仿宋_GB2312"/>
          <w:color w:val="auto"/>
          <w:sz w:val="32"/>
          <w:szCs w:val="32"/>
          <w:lang w:val="en-US" w:eastAsia="zh-CN"/>
        </w:rPr>
        <w:t>30.18</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调整后基本支出总预算金额为141.87</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全年基本支出总预算执行率为100</w:t>
      </w:r>
      <w:r>
        <w:rPr>
          <w:rFonts w:hint="eastAsia" w:ascii="仿宋_GB2312" w:eastAsia="仿宋_GB2312"/>
          <w:color w:val="auto"/>
          <w:sz w:val="32"/>
          <w:szCs w:val="32"/>
        </w:rPr>
        <w:t>%</w:t>
      </w:r>
      <w:r>
        <w:rPr>
          <w:rFonts w:hint="eastAsia" w:ascii="仿宋_GB2312" w:eastAsia="仿宋_GB2312"/>
          <w:color w:val="auto"/>
          <w:sz w:val="32"/>
          <w:szCs w:val="32"/>
          <w:lang w:eastAsia="zh-CN"/>
        </w:rPr>
        <w:t>。</w:t>
      </w:r>
    </w:p>
    <w:p>
      <w:pPr>
        <w:spacing w:line="570" w:lineRule="exact"/>
        <w:ind w:firstLine="640"/>
        <w:rPr>
          <w:rFonts w:hint="eastAsia" w:ascii="仿宋_GB2312" w:eastAsia="仿宋_GB2312"/>
          <w:color w:val="auto"/>
          <w:sz w:val="32"/>
          <w:szCs w:val="32"/>
        </w:rPr>
      </w:pPr>
      <w:r>
        <w:rPr>
          <w:rFonts w:hint="eastAsia" w:ascii="仿宋_GB2312" w:eastAsia="仿宋_GB2312"/>
          <w:color w:val="auto"/>
          <w:sz w:val="32"/>
          <w:szCs w:val="32"/>
        </w:rPr>
        <w:t>综上所述，我单位基本支出预算总额为</w:t>
      </w:r>
      <w:r>
        <w:rPr>
          <w:rFonts w:hint="eastAsia" w:ascii="仿宋_GB2312" w:eastAsia="仿宋_GB2312"/>
          <w:color w:val="auto"/>
          <w:sz w:val="32"/>
          <w:szCs w:val="32"/>
          <w:lang w:val="en-US" w:eastAsia="zh-CN"/>
        </w:rPr>
        <w:t>141.87</w:t>
      </w:r>
      <w:r>
        <w:rPr>
          <w:rFonts w:hint="eastAsia" w:ascii="仿宋_GB2312" w:eastAsia="仿宋_GB2312"/>
          <w:color w:val="auto"/>
          <w:sz w:val="32"/>
          <w:szCs w:val="32"/>
        </w:rPr>
        <w:t>万元，实际支出总额为</w:t>
      </w:r>
      <w:r>
        <w:rPr>
          <w:rFonts w:hint="eastAsia" w:ascii="仿宋_GB2312" w:eastAsia="仿宋_GB2312"/>
          <w:color w:val="auto"/>
          <w:sz w:val="32"/>
          <w:szCs w:val="32"/>
          <w:lang w:val="en-US" w:eastAsia="zh-CN"/>
        </w:rPr>
        <w:t>141.87</w:t>
      </w:r>
      <w:r>
        <w:rPr>
          <w:rFonts w:hint="eastAsia" w:ascii="仿宋_GB2312" w:eastAsia="仿宋_GB2312"/>
          <w:color w:val="auto"/>
          <w:sz w:val="32"/>
          <w:szCs w:val="32"/>
        </w:rPr>
        <w:t>万元，预算总执行率为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%，其中人员经费</w:t>
      </w:r>
      <w:r>
        <w:rPr>
          <w:rFonts w:hint="eastAsia" w:ascii="仿宋_GB2312" w:eastAsia="仿宋_GB2312"/>
          <w:color w:val="auto"/>
          <w:sz w:val="32"/>
          <w:szCs w:val="32"/>
          <w:lang w:val="en-US" w:eastAsia="zh-CN"/>
        </w:rPr>
        <w:t>135.02</w:t>
      </w:r>
      <w:r>
        <w:rPr>
          <w:rFonts w:hint="eastAsia" w:ascii="仿宋_GB2312" w:eastAsia="仿宋_GB2312"/>
          <w:color w:val="auto"/>
          <w:sz w:val="32"/>
          <w:szCs w:val="32"/>
        </w:rPr>
        <w:t>万元，公用经费</w:t>
      </w:r>
      <w:r>
        <w:rPr>
          <w:rFonts w:hint="eastAsia" w:ascii="仿宋_GB2312" w:eastAsia="仿宋_GB2312"/>
          <w:color w:val="auto"/>
          <w:sz w:val="32"/>
          <w:szCs w:val="32"/>
          <w:lang w:val="en-US" w:eastAsia="zh-CN"/>
        </w:rPr>
        <w:t>6.85</w:t>
      </w:r>
      <w:r>
        <w:rPr>
          <w:rFonts w:hint="eastAsia" w:ascii="仿宋_GB2312" w:eastAsia="仿宋_GB2312"/>
          <w:color w:val="auto"/>
          <w:sz w:val="32"/>
          <w:szCs w:val="32"/>
        </w:rPr>
        <w:t>万元。</w:t>
      </w:r>
    </w:p>
    <w:p>
      <w:pPr>
        <w:spacing w:line="57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570" w:lineRule="exact"/>
        <w:ind w:firstLine="643"/>
        <w:rPr>
          <w:rFonts w:ascii="仿宋_GB2312" w:eastAsia="仿宋_GB2312"/>
          <w:b/>
          <w:bCs/>
          <w:color w:val="auto"/>
          <w:sz w:val="32"/>
          <w:szCs w:val="32"/>
        </w:rPr>
      </w:pPr>
      <w:r>
        <w:rPr>
          <w:rFonts w:hint="eastAsia" w:ascii="仿宋_GB2312" w:eastAsia="仿宋_GB2312"/>
          <w:b/>
          <w:bCs/>
          <w:color w:val="auto"/>
          <w:sz w:val="32"/>
          <w:szCs w:val="32"/>
        </w:rPr>
        <w:t>2.“三公”经费情况</w:t>
      </w:r>
    </w:p>
    <w:p>
      <w:pPr>
        <w:pStyle w:val="16"/>
        <w:snapToGrid w:val="0"/>
        <w:spacing w:line="570" w:lineRule="exact"/>
        <w:ind w:firstLine="640"/>
        <w:rPr>
          <w:rFonts w:hint="eastAsia" w:ascii="仿宋_GB2312" w:eastAsia="仿宋_GB2312" w:cs="宋体"/>
          <w:bCs/>
          <w:color w:val="auto"/>
          <w:sz w:val="32"/>
          <w:szCs w:val="32"/>
          <w:lang w:bidi="ar"/>
        </w:rPr>
      </w:pPr>
      <w:r>
        <w:rPr>
          <w:rFonts w:hint="eastAsia" w:ascii="仿宋_GB2312" w:eastAsia="仿宋_GB2312" w:cs="宋体"/>
          <w:bCs/>
          <w:color w:val="auto"/>
          <w:sz w:val="32"/>
          <w:szCs w:val="32"/>
          <w:lang w:bidi="ar"/>
        </w:rPr>
        <w:t>本单位坚决贯彻落实中央、自治区、地委行署厉行勤俭办公的工作要求，</w:t>
      </w:r>
      <w:r>
        <w:rPr>
          <w:rFonts w:hint="eastAsia" w:ascii="仿宋_GB2312" w:eastAsia="仿宋_GB2312" w:cs="宋体"/>
          <w:color w:val="auto"/>
          <w:sz w:val="32"/>
          <w:szCs w:val="32"/>
        </w:rPr>
        <w:t>严格执行《党政机关厉行节约反对浪费条例》</w:t>
      </w:r>
      <w:r>
        <w:rPr>
          <w:rFonts w:hint="eastAsia" w:ascii="仿宋_GB2312" w:eastAsia="仿宋_GB2312" w:cs="宋体"/>
          <w:color w:val="auto"/>
          <w:sz w:val="32"/>
          <w:szCs w:val="32"/>
          <w:lang w:eastAsia="zh-CN"/>
        </w:rPr>
        <w:t>，</w:t>
      </w:r>
      <w:r>
        <w:rPr>
          <w:rFonts w:hint="eastAsia" w:ascii="仿宋_GB2312" w:eastAsia="仿宋_GB2312" w:cs="宋体"/>
          <w:bCs/>
          <w:color w:val="auto"/>
          <w:sz w:val="32"/>
          <w:szCs w:val="32"/>
          <w:lang w:bidi="ar"/>
        </w:rPr>
        <w:t>提倡本单位全体干部职工，勤俭节约，切实降低行政运行成本，确保每年</w:t>
      </w:r>
      <w:r>
        <w:rPr>
          <w:rFonts w:hint="eastAsia" w:ascii="仿宋_GB2312" w:eastAsia="仿宋_GB2312" w:cs="宋体"/>
          <w:bCs/>
          <w:color w:val="auto"/>
          <w:sz w:val="32"/>
          <w:szCs w:val="32"/>
          <w:lang w:eastAsia="zh-CN" w:bidi="ar"/>
        </w:rPr>
        <w:t>“三公”经费</w:t>
      </w:r>
      <w:r>
        <w:rPr>
          <w:rFonts w:hint="eastAsia" w:ascii="仿宋_GB2312" w:eastAsia="仿宋_GB2312" w:cs="宋体"/>
          <w:bCs/>
          <w:color w:val="auto"/>
          <w:sz w:val="32"/>
          <w:szCs w:val="32"/>
          <w:lang w:bidi="ar"/>
        </w:rPr>
        <w:t>只减不增。</w:t>
      </w:r>
      <w:r>
        <w:rPr>
          <w:rFonts w:hint="eastAsia" w:ascii="仿宋_GB2312" w:eastAsia="仿宋_GB2312" w:cs="宋体"/>
          <w:bCs/>
          <w:color w:val="auto"/>
          <w:sz w:val="32"/>
          <w:szCs w:val="32"/>
          <w:lang w:eastAsia="zh-CN" w:bidi="ar"/>
        </w:rPr>
        <w:t>2023</w:t>
      </w:r>
      <w:r>
        <w:rPr>
          <w:rFonts w:hint="eastAsia" w:ascii="仿宋_GB2312" w:eastAsia="仿宋_GB2312" w:cs="宋体"/>
          <w:bCs/>
          <w:color w:val="auto"/>
          <w:sz w:val="32"/>
          <w:szCs w:val="32"/>
          <w:lang w:bidi="ar"/>
        </w:rPr>
        <w:t>年</w:t>
      </w:r>
      <w:r>
        <w:rPr>
          <w:rFonts w:hint="eastAsia" w:ascii="仿宋_GB2312" w:eastAsia="仿宋_GB2312" w:cs="宋体"/>
          <w:bCs/>
          <w:color w:val="auto"/>
          <w:sz w:val="32"/>
          <w:szCs w:val="32"/>
          <w:lang w:eastAsia="zh-CN" w:bidi="ar"/>
        </w:rPr>
        <w:t>“三公”经费</w:t>
      </w:r>
      <w:r>
        <w:rPr>
          <w:rFonts w:hint="eastAsia" w:ascii="仿宋_GB2312" w:eastAsia="仿宋_GB2312" w:cs="宋体"/>
          <w:bCs/>
          <w:color w:val="auto"/>
          <w:sz w:val="32"/>
          <w:szCs w:val="32"/>
          <w:lang w:bidi="ar"/>
        </w:rPr>
        <w:t>预算为</w:t>
      </w:r>
      <w:r>
        <w:rPr>
          <w:rFonts w:hint="eastAsia" w:ascii="仿宋_GB2312" w:eastAsia="仿宋_GB2312"/>
          <w:color w:val="auto"/>
          <w:sz w:val="32"/>
          <w:szCs w:val="32"/>
          <w:lang w:val="en-US" w:eastAsia="zh-CN"/>
        </w:rPr>
        <w:t>1.78</w:t>
      </w:r>
      <w:r>
        <w:rPr>
          <w:rFonts w:hint="eastAsia" w:ascii="仿宋_GB2312" w:eastAsia="仿宋_GB2312" w:cs="宋体"/>
          <w:bCs/>
          <w:color w:val="auto"/>
          <w:sz w:val="32"/>
          <w:szCs w:val="32"/>
          <w:lang w:bidi="ar"/>
        </w:rPr>
        <w:t>万元，实际支出</w:t>
      </w:r>
      <w:r>
        <w:rPr>
          <w:rFonts w:hint="eastAsia" w:ascii="仿宋_GB2312" w:eastAsia="仿宋_GB2312"/>
          <w:color w:val="auto"/>
          <w:sz w:val="32"/>
          <w:szCs w:val="32"/>
          <w:lang w:val="en-US" w:eastAsia="zh-CN"/>
        </w:rPr>
        <w:t>1.04</w:t>
      </w:r>
      <w:r>
        <w:rPr>
          <w:rFonts w:hint="eastAsia" w:ascii="仿宋_GB2312" w:eastAsia="仿宋_GB2312" w:cs="宋体"/>
          <w:bCs/>
          <w:color w:val="auto"/>
          <w:sz w:val="32"/>
          <w:szCs w:val="32"/>
          <w:lang w:bidi="ar"/>
        </w:rPr>
        <w:t>万元，</w:t>
      </w:r>
      <w:r>
        <w:rPr>
          <w:rFonts w:hint="eastAsia" w:ascii="仿宋_GB2312" w:eastAsia="仿宋_GB2312" w:cs="宋体"/>
          <w:color w:val="auto"/>
          <w:sz w:val="32"/>
          <w:szCs w:val="32"/>
        </w:rPr>
        <w:t>较上年“三公”经费决算支出</w:t>
      </w:r>
      <w:r>
        <w:rPr>
          <w:rFonts w:hint="eastAsia" w:ascii="仿宋_GB2312" w:eastAsia="仿宋_GB2312"/>
          <w:color w:val="auto"/>
          <w:sz w:val="32"/>
          <w:szCs w:val="32"/>
          <w:lang w:val="en-US" w:eastAsia="zh-CN"/>
        </w:rPr>
        <w:t>1.78</w:t>
      </w:r>
      <w:r>
        <w:rPr>
          <w:rFonts w:hint="eastAsia" w:ascii="仿宋_GB2312" w:eastAsia="仿宋_GB2312" w:cs="宋体"/>
          <w:color w:val="auto"/>
          <w:sz w:val="32"/>
          <w:szCs w:val="32"/>
        </w:rPr>
        <w:t>万元，减少</w:t>
      </w:r>
      <w:r>
        <w:rPr>
          <w:rFonts w:hint="eastAsia" w:ascii="仿宋_GB2312" w:eastAsia="仿宋_GB2312"/>
          <w:color w:val="auto"/>
          <w:sz w:val="32"/>
          <w:szCs w:val="32"/>
          <w:lang w:val="en-US" w:eastAsia="zh-CN"/>
        </w:rPr>
        <w:t>0.74</w:t>
      </w:r>
      <w:r>
        <w:rPr>
          <w:rFonts w:hint="eastAsia" w:ascii="仿宋_GB2312" w:eastAsia="仿宋_GB2312" w:cs="宋体"/>
          <w:color w:val="auto"/>
          <w:sz w:val="32"/>
          <w:szCs w:val="32"/>
        </w:rPr>
        <w:t>万元，下降</w:t>
      </w:r>
      <w:r>
        <w:rPr>
          <w:rFonts w:hint="eastAsia" w:ascii="仿宋_GB2312" w:eastAsia="仿宋_GB2312" w:cs="宋体"/>
          <w:color w:val="auto"/>
          <w:sz w:val="32"/>
          <w:szCs w:val="32"/>
          <w:lang w:val="en-US" w:eastAsia="zh-CN"/>
        </w:rPr>
        <w:t>41.4</w:t>
      </w:r>
      <w:r>
        <w:rPr>
          <w:rFonts w:hint="eastAsia" w:ascii="仿宋_GB2312" w:eastAsia="仿宋_GB2312" w:cs="宋体"/>
          <w:color w:val="auto"/>
          <w:sz w:val="32"/>
          <w:szCs w:val="32"/>
        </w:rPr>
        <w:t>%</w:t>
      </w:r>
      <w:r>
        <w:rPr>
          <w:rFonts w:hint="eastAsia" w:ascii="仿宋_GB2312" w:eastAsia="仿宋_GB2312" w:cs="宋体"/>
          <w:color w:val="auto"/>
          <w:sz w:val="32"/>
          <w:szCs w:val="32"/>
          <w:lang w:eastAsia="zh-CN"/>
        </w:rPr>
        <w:t>；</w:t>
      </w:r>
      <w:r>
        <w:rPr>
          <w:rFonts w:hint="eastAsia" w:ascii="仿宋_GB2312" w:eastAsia="仿宋_GB2312" w:cs="宋体"/>
          <w:bCs/>
          <w:color w:val="auto"/>
          <w:sz w:val="32"/>
          <w:szCs w:val="32"/>
          <w:lang w:bidi="ar"/>
        </w:rPr>
        <w:t>其中：因公出国（境）费预算为</w:t>
      </w:r>
      <w:r>
        <w:rPr>
          <w:rFonts w:hint="eastAsia" w:ascii="仿宋_GB2312" w:eastAsia="仿宋_GB2312"/>
          <w:color w:val="auto"/>
          <w:sz w:val="32"/>
          <w:szCs w:val="32"/>
          <w:lang w:val="en-US" w:eastAsia="zh-CN"/>
        </w:rPr>
        <w:t>0</w:t>
      </w:r>
      <w:r>
        <w:rPr>
          <w:rFonts w:hint="eastAsia" w:ascii="仿宋_GB2312" w:eastAsia="仿宋_GB2312" w:cs="宋体"/>
          <w:bCs/>
          <w:color w:val="auto"/>
          <w:sz w:val="32"/>
          <w:szCs w:val="32"/>
          <w:lang w:bidi="ar"/>
        </w:rPr>
        <w:t>万元，实际支出</w:t>
      </w:r>
      <w:r>
        <w:rPr>
          <w:rFonts w:hint="eastAsia" w:ascii="仿宋_GB2312" w:eastAsia="仿宋_GB2312"/>
          <w:color w:val="auto"/>
          <w:sz w:val="32"/>
          <w:szCs w:val="32"/>
          <w:lang w:val="en-US" w:eastAsia="zh-CN"/>
        </w:rPr>
        <w:t>0</w:t>
      </w:r>
      <w:r>
        <w:rPr>
          <w:rFonts w:hint="eastAsia" w:ascii="仿宋_GB2312" w:eastAsia="仿宋_GB2312" w:cs="宋体"/>
          <w:bCs/>
          <w:color w:val="auto"/>
          <w:sz w:val="32"/>
          <w:szCs w:val="32"/>
          <w:lang w:bidi="ar"/>
        </w:rPr>
        <w:t>万元；公务接待费预算为</w:t>
      </w:r>
      <w:r>
        <w:rPr>
          <w:rFonts w:hint="eastAsia" w:ascii="仿宋_GB2312" w:eastAsia="仿宋_GB2312"/>
          <w:color w:val="auto"/>
          <w:sz w:val="32"/>
          <w:szCs w:val="32"/>
          <w:lang w:val="en-US" w:eastAsia="zh-CN"/>
        </w:rPr>
        <w:t>0.29</w:t>
      </w:r>
      <w:r>
        <w:rPr>
          <w:rFonts w:hint="eastAsia" w:ascii="仿宋_GB2312" w:eastAsia="仿宋_GB2312" w:cs="宋体"/>
          <w:bCs/>
          <w:color w:val="auto"/>
          <w:sz w:val="32"/>
          <w:szCs w:val="32"/>
          <w:lang w:bidi="ar"/>
        </w:rPr>
        <w:t>万元，实际支出</w:t>
      </w:r>
      <w:r>
        <w:rPr>
          <w:rFonts w:hint="eastAsia" w:ascii="仿宋_GB2312" w:eastAsia="仿宋_GB2312"/>
          <w:color w:val="auto"/>
          <w:sz w:val="32"/>
          <w:szCs w:val="32"/>
          <w:lang w:val="en-US" w:eastAsia="zh-CN"/>
        </w:rPr>
        <w:t>0.04</w:t>
      </w:r>
      <w:r>
        <w:rPr>
          <w:rFonts w:hint="eastAsia" w:ascii="仿宋_GB2312" w:eastAsia="仿宋_GB2312" w:cs="宋体"/>
          <w:bCs/>
          <w:color w:val="auto"/>
          <w:sz w:val="32"/>
          <w:szCs w:val="32"/>
          <w:lang w:bidi="ar"/>
        </w:rPr>
        <w:t>万元；公务用车购置费预算为</w:t>
      </w:r>
      <w:r>
        <w:rPr>
          <w:rFonts w:hint="eastAsia" w:ascii="仿宋_GB2312" w:eastAsia="仿宋_GB2312"/>
          <w:color w:val="auto"/>
          <w:sz w:val="32"/>
          <w:szCs w:val="32"/>
          <w:lang w:val="en-US" w:eastAsia="zh-CN"/>
        </w:rPr>
        <w:t>0</w:t>
      </w:r>
      <w:r>
        <w:rPr>
          <w:rFonts w:hint="eastAsia" w:ascii="仿宋_GB2312" w:eastAsia="仿宋_GB2312" w:cs="宋体"/>
          <w:bCs/>
          <w:color w:val="auto"/>
          <w:sz w:val="32"/>
          <w:szCs w:val="32"/>
          <w:lang w:bidi="ar"/>
        </w:rPr>
        <w:t>万元，实际支出</w:t>
      </w:r>
      <w:r>
        <w:rPr>
          <w:rFonts w:hint="eastAsia" w:ascii="仿宋_GB2312" w:eastAsia="仿宋_GB2312"/>
          <w:color w:val="auto"/>
          <w:sz w:val="32"/>
          <w:szCs w:val="32"/>
          <w:lang w:val="en-US" w:eastAsia="zh-CN"/>
        </w:rPr>
        <w:t>0</w:t>
      </w:r>
      <w:r>
        <w:rPr>
          <w:rFonts w:hint="eastAsia" w:ascii="仿宋_GB2312" w:eastAsia="仿宋_GB2312" w:cs="宋体"/>
          <w:bCs/>
          <w:color w:val="auto"/>
          <w:sz w:val="32"/>
          <w:szCs w:val="32"/>
          <w:lang w:bidi="ar"/>
        </w:rPr>
        <w:t>万元；公务用车运行维护费预算为</w:t>
      </w:r>
      <w:r>
        <w:rPr>
          <w:rFonts w:hint="eastAsia" w:ascii="仿宋_GB2312" w:eastAsia="仿宋_GB2312" w:cs="宋体"/>
          <w:bCs/>
          <w:color w:val="auto"/>
          <w:sz w:val="32"/>
          <w:szCs w:val="32"/>
          <w:lang w:val="en-US" w:eastAsia="zh-CN" w:bidi="ar"/>
        </w:rPr>
        <w:t>1</w:t>
      </w:r>
      <w:r>
        <w:rPr>
          <w:rFonts w:hint="eastAsia" w:ascii="仿宋_GB2312" w:eastAsia="仿宋_GB2312" w:cs="宋体"/>
          <w:bCs/>
          <w:color w:val="auto"/>
          <w:sz w:val="32"/>
          <w:szCs w:val="32"/>
          <w:lang w:bidi="ar"/>
        </w:rPr>
        <w:t>万元，实际支出</w:t>
      </w:r>
      <w:r>
        <w:rPr>
          <w:rFonts w:hint="eastAsia" w:ascii="仿宋_GB2312" w:eastAsia="仿宋_GB2312"/>
          <w:color w:val="auto"/>
          <w:sz w:val="32"/>
          <w:szCs w:val="32"/>
          <w:lang w:val="en-US" w:eastAsia="zh-CN"/>
        </w:rPr>
        <w:t>1</w:t>
      </w:r>
      <w:r>
        <w:rPr>
          <w:rFonts w:hint="eastAsia" w:ascii="仿宋_GB2312" w:eastAsia="仿宋_GB2312" w:cs="宋体"/>
          <w:bCs/>
          <w:color w:val="auto"/>
          <w:sz w:val="32"/>
          <w:szCs w:val="32"/>
          <w:lang w:bidi="ar"/>
        </w:rPr>
        <w:t>万元，</w:t>
      </w:r>
      <w:r>
        <w:rPr>
          <w:rFonts w:hint="eastAsia" w:ascii="仿宋_GB2312" w:eastAsia="仿宋_GB2312" w:cs="宋体"/>
          <w:bCs/>
          <w:color w:val="auto"/>
          <w:sz w:val="32"/>
          <w:szCs w:val="32"/>
          <w:lang w:eastAsia="zh-Hans" w:bidi="ar"/>
        </w:rPr>
        <w:t>各项支出均</w:t>
      </w:r>
      <w:r>
        <w:rPr>
          <w:rFonts w:hint="eastAsia" w:ascii="仿宋_GB2312" w:eastAsia="仿宋_GB2312" w:cs="宋体"/>
          <w:bCs/>
          <w:color w:val="auto"/>
          <w:sz w:val="32"/>
          <w:szCs w:val="32"/>
          <w:lang w:bidi="ar"/>
        </w:rPr>
        <w:t>符合财政部门本年预算要求和相关管理制度要求。</w:t>
      </w:r>
    </w:p>
    <w:p>
      <w:pPr>
        <w:pStyle w:val="4"/>
        <w:numPr>
          <w:ilvl w:val="0"/>
          <w:numId w:val="0"/>
        </w:numPr>
        <w:spacing w:line="570" w:lineRule="exact"/>
        <w:ind w:left="420" w:leftChars="0"/>
        <w:rPr>
          <w:rFonts w:hint="eastAsia" w:ascii="楷体_GB2312" w:eastAsia="楷体_GB2312"/>
          <w:bCs/>
          <w:color w:val="auto"/>
          <w:szCs w:val="32"/>
        </w:rPr>
      </w:pPr>
      <w:r>
        <w:rPr>
          <w:rFonts w:hint="eastAsia" w:ascii="楷体_GB2312" w:eastAsia="楷体_GB2312"/>
          <w:bCs/>
          <w:color w:val="auto"/>
          <w:szCs w:val="32"/>
          <w:lang w:eastAsia="zh-CN"/>
        </w:rPr>
        <w:t>（三）</w:t>
      </w:r>
      <w:r>
        <w:rPr>
          <w:rFonts w:hint="eastAsia" w:ascii="楷体_GB2312" w:eastAsia="楷体_GB2312"/>
          <w:bCs/>
          <w:color w:val="auto"/>
          <w:szCs w:val="32"/>
        </w:rPr>
        <w:t>项目支出预算安排及支出情况</w:t>
      </w:r>
    </w:p>
    <w:p>
      <w:pPr>
        <w:ind w:firstLine="643"/>
        <w:rPr>
          <w:rFonts w:ascii="仿宋_GB2312" w:eastAsia="仿宋_GB2312"/>
          <w:b/>
          <w:bCs/>
          <w:color w:val="auto"/>
          <w:sz w:val="32"/>
          <w:szCs w:val="32"/>
        </w:rPr>
      </w:pPr>
      <w:r>
        <w:rPr>
          <w:rFonts w:hint="eastAsia" w:ascii="仿宋_GB2312" w:eastAsia="仿宋_GB2312"/>
          <w:b/>
          <w:bCs/>
          <w:color w:val="auto"/>
          <w:sz w:val="32"/>
          <w:szCs w:val="32"/>
        </w:rPr>
        <w:t>1.项目支出情况</w:t>
      </w:r>
    </w:p>
    <w:p>
      <w:pPr>
        <w:bidi w:val="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2023</w:t>
      </w:r>
      <w:r>
        <w:rPr>
          <w:rFonts w:hint="eastAsia" w:ascii="仿宋_GB2312" w:hAnsi="仿宋_GB2312" w:eastAsia="仿宋_GB2312" w:cs="仿宋_GB2312"/>
          <w:color w:val="auto"/>
          <w:sz w:val="32"/>
          <w:szCs w:val="32"/>
        </w:rPr>
        <w:t>年，</w:t>
      </w:r>
      <w:r>
        <w:rPr>
          <w:rStyle w:val="14"/>
          <w:rFonts w:hint="eastAsia" w:ascii="仿宋_GB2312" w:hAnsi="仿宋_GB2312" w:eastAsia="仿宋_GB2312" w:cs="仿宋_GB2312"/>
          <w:b w:val="0"/>
          <w:color w:val="auto"/>
          <w:sz w:val="32"/>
          <w:szCs w:val="32"/>
          <w:lang w:eastAsia="zh-CN" w:bidi="ar"/>
        </w:rPr>
        <w:t>沙湾市农村合作经济发展中心</w:t>
      </w:r>
      <w:r>
        <w:rPr>
          <w:rFonts w:hint="eastAsia" w:ascii="仿宋_GB2312" w:hAnsi="仿宋_GB2312" w:eastAsia="仿宋_GB2312" w:cs="仿宋_GB2312"/>
          <w:color w:val="auto"/>
          <w:sz w:val="32"/>
          <w:szCs w:val="32"/>
        </w:rPr>
        <w:t>项目支出年初预算金额为</w:t>
      </w:r>
      <w:r>
        <w:rPr>
          <w:rFonts w:hint="eastAsia" w:ascii="仿宋_GB2312" w:hAnsi="仿宋_GB2312" w:eastAsia="仿宋_GB2312" w:cs="仿宋_GB2312"/>
          <w:color w:val="auto"/>
          <w:sz w:val="32"/>
          <w:szCs w:val="32"/>
          <w:lang w:val="en-US" w:eastAsia="zh-CN"/>
        </w:rPr>
        <w:t>61</w:t>
      </w:r>
      <w:r>
        <w:rPr>
          <w:rFonts w:hint="eastAsia" w:ascii="仿宋_GB2312" w:hAnsi="仿宋_GB2312" w:eastAsia="仿宋_GB2312" w:cs="仿宋_GB2312"/>
          <w:color w:val="auto"/>
          <w:sz w:val="32"/>
          <w:szCs w:val="32"/>
        </w:rPr>
        <w:t>万元，实际支出金额为</w:t>
      </w:r>
      <w:r>
        <w:rPr>
          <w:rFonts w:hint="eastAsia" w:ascii="仿宋_GB2312" w:hAnsi="仿宋_GB2312" w:eastAsia="仿宋_GB2312" w:cs="仿宋_GB2312"/>
          <w:color w:val="auto"/>
          <w:sz w:val="32"/>
          <w:szCs w:val="32"/>
          <w:lang w:val="en-US" w:eastAsia="zh-CN"/>
        </w:rPr>
        <w:t>61</w:t>
      </w:r>
      <w:r>
        <w:rPr>
          <w:rFonts w:hint="eastAsia" w:ascii="仿宋_GB2312" w:hAnsi="仿宋_GB2312" w:eastAsia="仿宋_GB2312" w:cs="仿宋_GB2312"/>
          <w:color w:val="auto"/>
          <w:sz w:val="32"/>
          <w:szCs w:val="32"/>
        </w:rPr>
        <w:t>万元，预算执行率为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年中调整预算金额为</w:t>
      </w:r>
      <w:r>
        <w:rPr>
          <w:rFonts w:hint="eastAsia" w:ascii="仿宋_GB2312" w:hAnsi="仿宋_GB2312" w:eastAsia="仿宋_GB2312" w:cs="仿宋_GB2312"/>
          <w:color w:val="auto"/>
          <w:sz w:val="32"/>
          <w:szCs w:val="32"/>
          <w:lang w:val="en-US" w:eastAsia="zh-CN"/>
        </w:rPr>
        <w:t>167.5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调整后项目支出预算总额</w:t>
      </w: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lang w:val="en-US" w:eastAsia="zh-CN"/>
        </w:rPr>
        <w:t>228.5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全年项目预算</w:t>
      </w:r>
      <w:r>
        <w:rPr>
          <w:rFonts w:hint="eastAsia" w:ascii="仿宋_GB2312" w:hAnsi="仿宋_GB2312" w:eastAsia="仿宋_GB2312" w:cs="仿宋_GB2312"/>
          <w:color w:val="auto"/>
          <w:sz w:val="32"/>
          <w:szCs w:val="32"/>
        </w:rPr>
        <w:t>支出总额为</w:t>
      </w:r>
      <w:r>
        <w:rPr>
          <w:rFonts w:hint="eastAsia" w:ascii="仿宋_GB2312" w:hAnsi="仿宋_GB2312" w:eastAsia="仿宋_GB2312" w:cs="仿宋_GB2312"/>
          <w:color w:val="auto"/>
          <w:sz w:val="32"/>
          <w:szCs w:val="32"/>
          <w:lang w:val="en-US" w:eastAsia="zh-CN"/>
        </w:rPr>
        <w:t>228.5</w:t>
      </w:r>
      <w:r>
        <w:rPr>
          <w:rFonts w:hint="eastAsia" w:ascii="仿宋_GB2312" w:hAnsi="仿宋_GB2312" w:eastAsia="仿宋_GB2312" w:cs="仿宋_GB2312"/>
          <w:color w:val="auto"/>
          <w:sz w:val="32"/>
          <w:szCs w:val="32"/>
        </w:rPr>
        <w:t>万元，预算总执行率为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bidi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2023</w:t>
      </w:r>
      <w:r>
        <w:rPr>
          <w:rFonts w:hint="eastAsia" w:ascii="仿宋_GB2312" w:hAnsi="仿宋_GB2312" w:eastAsia="仿宋_GB2312" w:cs="仿宋_GB2312"/>
          <w:color w:val="auto"/>
          <w:sz w:val="32"/>
          <w:szCs w:val="32"/>
        </w:rPr>
        <w:t>年，</w:t>
      </w:r>
      <w:r>
        <w:rPr>
          <w:rStyle w:val="14"/>
          <w:rFonts w:hint="eastAsia" w:ascii="仿宋_GB2312" w:hAnsi="仿宋_GB2312" w:eastAsia="仿宋_GB2312" w:cs="仿宋_GB2312"/>
          <w:b w:val="0"/>
          <w:color w:val="auto"/>
          <w:sz w:val="32"/>
          <w:szCs w:val="32"/>
          <w:lang w:eastAsia="zh-CN" w:bidi="ar"/>
        </w:rPr>
        <w:t>沙湾市农村合作经济发展中心</w:t>
      </w:r>
      <w:r>
        <w:rPr>
          <w:rFonts w:hint="eastAsia" w:ascii="仿宋_GB2312" w:hAnsi="仿宋_GB2312" w:eastAsia="仿宋_GB2312" w:cs="仿宋_GB2312"/>
          <w:color w:val="auto"/>
          <w:sz w:val="32"/>
          <w:szCs w:val="32"/>
        </w:rPr>
        <w:t>共有</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个中央、自治区、地区</w:t>
      </w:r>
      <w:r>
        <w:rPr>
          <w:rFonts w:hint="eastAsia" w:ascii="仿宋_GB2312" w:hAnsi="仿宋_GB2312" w:eastAsia="仿宋_GB2312" w:cs="仿宋_GB2312"/>
          <w:color w:val="auto"/>
          <w:sz w:val="32"/>
          <w:szCs w:val="32"/>
          <w:lang w:eastAsia="zh-CN"/>
        </w:rPr>
        <w:t>及</w:t>
      </w:r>
      <w:r>
        <w:rPr>
          <w:rFonts w:hint="eastAsia" w:ascii="仿宋_GB2312" w:hAnsi="仿宋_GB2312" w:eastAsia="仿宋_GB2312" w:cs="仿宋_GB2312"/>
          <w:color w:val="auto"/>
          <w:sz w:val="32"/>
          <w:szCs w:val="32"/>
        </w:rPr>
        <w:t>本级财力安排</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项目，已</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rPr>
        <w:t>完成项目</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个、未完成项目</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color w:val="auto"/>
          <w:sz w:val="32"/>
          <w:szCs w:val="32"/>
          <w:lang w:val="en-US" w:eastAsia="zh-CN"/>
        </w:rPr>
        <w:t>具体项目实施及资金支出情况如下：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（1）中央及自治区专项：</w:t>
      </w:r>
      <w:r>
        <w:rPr>
          <w:rStyle w:val="14"/>
          <w:rFonts w:hint="eastAsia" w:cs="仿宋"/>
          <w:b w:val="0"/>
          <w:color w:val="auto"/>
          <w:sz w:val="32"/>
          <w:szCs w:val="32"/>
          <w:highlight w:val="none"/>
          <w:lang w:val="en-US" w:eastAsia="zh-CN" w:bidi="ar"/>
        </w:rPr>
        <w:t>2023年中央农业经营主体能力提升资金-新型农业经营主体提升技术应用和生产经营能力、农业生产社会化服务</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158</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Style w:val="14"/>
          <w:rFonts w:hint="eastAsia" w:cs="仿宋"/>
          <w:b w:val="0"/>
          <w:color w:val="auto"/>
          <w:sz w:val="32"/>
          <w:szCs w:val="32"/>
          <w:highlight w:val="none"/>
          <w:lang w:val="en-US" w:eastAsia="zh-CN" w:bidi="ar"/>
        </w:rPr>
        <w:t>为民办实事</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以上项目是本单位2023年度实施的中央和自治区</w:t>
      </w:r>
      <w:r>
        <w:rPr>
          <w:rFonts w:hint="eastAsia" w:ascii="仿宋_GB2312" w:hAnsi="仿宋_GB2312" w:eastAsia="仿宋_GB2312" w:cs="仿宋_GB2312"/>
          <w:color w:val="auto"/>
          <w:sz w:val="32"/>
          <w:szCs w:val="32"/>
        </w:rPr>
        <w:t>专项项目。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本级项目：化解ABCD</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61</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61</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p>
    <w:p>
      <w:pPr>
        <w:ind w:firstLine="643"/>
        <w:rPr>
          <w:rFonts w:hint="eastAsia" w:ascii="仿宋_GB2312" w:eastAsia="仿宋_GB2312"/>
          <w:b/>
          <w:bCs/>
          <w:color w:val="auto"/>
          <w:sz w:val="32"/>
          <w:szCs w:val="32"/>
        </w:rPr>
      </w:pPr>
      <w:r>
        <w:rPr>
          <w:rFonts w:hint="eastAsia" w:ascii="仿宋_GB2312" w:eastAsia="仿宋_GB2312"/>
          <w:b/>
          <w:bCs/>
          <w:color w:val="auto"/>
          <w:sz w:val="32"/>
          <w:szCs w:val="32"/>
          <w:lang w:val="en-US" w:eastAsia="zh-CN"/>
        </w:rPr>
        <w:t>2.</w:t>
      </w:r>
      <w:r>
        <w:rPr>
          <w:rFonts w:hint="eastAsia" w:ascii="仿宋_GB2312" w:eastAsia="仿宋_GB2312"/>
          <w:b/>
          <w:bCs/>
          <w:color w:val="auto"/>
          <w:sz w:val="32"/>
          <w:szCs w:val="32"/>
        </w:rPr>
        <w:t>专项资金总投入及实际使用情况分析</w:t>
      </w:r>
    </w:p>
    <w:p>
      <w:pPr>
        <w:pStyle w:val="10"/>
        <w:widowControl/>
        <w:spacing w:before="0" w:beforeAutospacing="0" w:after="0" w:afterAutospacing="0" w:line="570" w:lineRule="exact"/>
        <w:ind w:firstLine="640"/>
        <w:jc w:val="both"/>
        <w:rPr>
          <w:rFonts w:ascii="仿宋_GB2312" w:eastAsia="仿宋_GB2312" w:cs="仿宋"/>
          <w:color w:val="auto"/>
          <w:sz w:val="32"/>
          <w:szCs w:val="32"/>
        </w:rPr>
      </w:pPr>
      <w:r>
        <w:rPr>
          <w:rFonts w:hint="eastAsia" w:ascii="仿宋_GB2312" w:eastAsia="仿宋_GB2312" w:cs="仿宋"/>
          <w:color w:val="auto"/>
          <w:sz w:val="32"/>
          <w:szCs w:val="32"/>
          <w:lang w:eastAsia="zh-CN"/>
        </w:rPr>
        <w:t>2023</w:t>
      </w:r>
      <w:r>
        <w:rPr>
          <w:rFonts w:hint="eastAsia" w:ascii="仿宋_GB2312" w:eastAsia="仿宋_GB2312" w:cs="仿宋"/>
          <w:color w:val="auto"/>
          <w:sz w:val="32"/>
          <w:szCs w:val="32"/>
        </w:rPr>
        <w:t>年，中央和自治区专项转移支付预算安排专项资金</w:t>
      </w:r>
      <w:r>
        <w:rPr>
          <w:rFonts w:hint="eastAsia" w:ascii="仿宋_GB2312" w:eastAsia="仿宋_GB2312"/>
          <w:color w:val="auto"/>
          <w:sz w:val="32"/>
          <w:szCs w:val="32"/>
          <w:lang w:val="en-US" w:eastAsia="zh-CN"/>
        </w:rPr>
        <w:t>167.5</w:t>
      </w:r>
      <w:r>
        <w:rPr>
          <w:rFonts w:hint="eastAsia" w:ascii="仿宋_GB2312" w:eastAsia="仿宋_GB2312" w:cs="仿宋"/>
          <w:color w:val="auto"/>
          <w:sz w:val="32"/>
          <w:szCs w:val="32"/>
        </w:rPr>
        <w:t>万元，实际使用</w:t>
      </w:r>
      <w:r>
        <w:rPr>
          <w:rFonts w:hint="eastAsia" w:ascii="仿宋_GB2312" w:eastAsia="仿宋_GB2312"/>
          <w:color w:val="auto"/>
          <w:sz w:val="32"/>
          <w:szCs w:val="32"/>
          <w:lang w:val="en-US" w:eastAsia="zh-CN"/>
        </w:rPr>
        <w:t>167.5</w:t>
      </w:r>
      <w:r>
        <w:rPr>
          <w:rFonts w:hint="eastAsia" w:ascii="仿宋_GB2312" w:eastAsia="仿宋_GB2312" w:cs="仿宋"/>
          <w:color w:val="auto"/>
          <w:sz w:val="32"/>
          <w:szCs w:val="32"/>
        </w:rPr>
        <w:t>万元</w:t>
      </w:r>
      <w:r>
        <w:rPr>
          <w:rFonts w:hint="eastAsia" w:ascii="仿宋_GB2312" w:eastAsia="仿宋_GB2312" w:cs="仿宋"/>
          <w:color w:val="auto"/>
          <w:sz w:val="32"/>
          <w:szCs w:val="32"/>
          <w:lang w:eastAsia="zh-CN"/>
        </w:rPr>
        <w:t>，</w:t>
      </w:r>
      <w:r>
        <w:rPr>
          <w:rFonts w:hint="eastAsia" w:ascii="仿宋_GB2312" w:eastAsia="仿宋_GB2312" w:cs="仿宋"/>
          <w:color w:val="auto"/>
          <w:sz w:val="32"/>
          <w:szCs w:val="32"/>
        </w:rPr>
        <w:t>结转</w:t>
      </w:r>
      <w:r>
        <w:rPr>
          <w:rFonts w:hint="eastAsia" w:ascii="仿宋_GB2312" w:eastAsia="仿宋_GB2312"/>
          <w:color w:val="auto"/>
          <w:sz w:val="32"/>
          <w:szCs w:val="32"/>
          <w:lang w:val="en-US" w:eastAsia="zh-CN"/>
        </w:rPr>
        <w:t>0</w:t>
      </w:r>
      <w:r>
        <w:rPr>
          <w:rFonts w:hint="eastAsia" w:ascii="仿宋_GB2312" w:eastAsia="仿宋_GB2312" w:cs="仿宋"/>
          <w:color w:val="auto"/>
          <w:sz w:val="32"/>
          <w:szCs w:val="32"/>
        </w:rPr>
        <w:t>万元。结转项目</w:t>
      </w:r>
      <w:r>
        <w:rPr>
          <w:rFonts w:hint="eastAsia" w:ascii="仿宋_GB2312" w:eastAsia="仿宋_GB2312" w:cs="仿宋"/>
          <w:color w:val="auto"/>
          <w:sz w:val="32"/>
          <w:szCs w:val="32"/>
          <w:lang w:eastAsia="zh-CN"/>
        </w:rPr>
        <w:t>无。</w:t>
      </w:r>
    </w:p>
    <w:p>
      <w:pPr>
        <w:pStyle w:val="3"/>
        <w:spacing w:line="570" w:lineRule="exact"/>
        <w:ind w:firstLine="640"/>
        <w:rPr>
          <w:rFonts w:hint="eastAsia" w:ascii="黑体" w:hAnsi="黑体" w:eastAsia="黑体"/>
          <w:b w:val="0"/>
          <w:color w:val="auto"/>
          <w:sz w:val="32"/>
          <w:szCs w:val="32"/>
          <w:lang w:val="en-US" w:eastAsia="zh-CN"/>
        </w:rPr>
      </w:pPr>
      <w:r>
        <w:rPr>
          <w:rFonts w:hint="eastAsia" w:ascii="黑体" w:hAnsi="黑体"/>
          <w:b w:val="0"/>
          <w:color w:val="auto"/>
          <w:sz w:val="32"/>
          <w:szCs w:val="32"/>
          <w:lang w:val="en-US" w:eastAsia="zh-CN"/>
        </w:rPr>
        <w:t>三</w:t>
      </w:r>
      <w:r>
        <w:rPr>
          <w:rFonts w:hint="eastAsia" w:ascii="黑体" w:hAnsi="黑体"/>
          <w:b w:val="0"/>
          <w:color w:val="auto"/>
          <w:sz w:val="32"/>
          <w:szCs w:val="32"/>
        </w:rPr>
        <w:t>、部门单位整体支出</w:t>
      </w:r>
      <w:r>
        <w:rPr>
          <w:rFonts w:hint="eastAsia" w:ascii="黑体" w:hAnsi="黑体"/>
          <w:b w:val="0"/>
          <w:color w:val="auto"/>
          <w:sz w:val="32"/>
          <w:szCs w:val="32"/>
          <w:lang w:val="en-US" w:eastAsia="zh-CN"/>
        </w:rPr>
        <w:t>绩效分析</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（一）</w:t>
      </w:r>
      <w:r>
        <w:rPr>
          <w:rFonts w:hint="eastAsia" w:ascii="楷体_GB2312" w:eastAsia="楷体_GB2312"/>
          <w:color w:val="auto"/>
          <w:szCs w:val="32"/>
          <w:lang w:val="en-US" w:eastAsia="zh-CN"/>
        </w:rPr>
        <w:t>指标一：</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创建示范性合作社个数</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5个”，</w:t>
      </w:r>
      <w:r>
        <w:rPr>
          <w:rFonts w:hint="eastAsia" w:ascii="仿宋_GB2312" w:eastAsia="仿宋_GB2312"/>
          <w:color w:val="auto"/>
          <w:sz w:val="32"/>
          <w:szCs w:val="32"/>
          <w:highlight w:val="none"/>
          <w:lang w:val="en-US" w:eastAsia="zh-CN"/>
        </w:rPr>
        <w:t>年中绩效运行监控完成值为“8个”，全年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16个</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106.7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年中绩效运行监控完成值不存在偏差，全年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值存在6.7%的偏差。全年本单位履职尽责，严格贯彻了中央一号文件精神，落实了</w:t>
      </w:r>
      <w:r>
        <w:rPr>
          <w:rFonts w:hint="eastAsia" w:ascii="仿宋_GB2312" w:eastAsia="仿宋_GB2312" w:cs="Times New Roman"/>
          <w:color w:val="auto"/>
          <w:sz w:val="32"/>
          <w:szCs w:val="32"/>
          <w:highlight w:val="none"/>
          <w:lang w:val="en-US" w:eastAsia="zh-CN"/>
        </w:rPr>
        <w:t>农民合作社质量提升整县推进试点成果，突出抓好自治区农业生产社会化服务试点县改革任</w:t>
      </w:r>
      <w:r>
        <w:rPr>
          <w:rFonts w:hint="eastAsia" w:ascii="仿宋_GB2312" w:eastAsia="仿宋_GB2312"/>
          <w:color w:val="auto"/>
          <w:sz w:val="32"/>
          <w:szCs w:val="32"/>
          <w:highlight w:val="none"/>
          <w:lang w:val="en-US" w:eastAsia="zh-CN"/>
        </w:rPr>
        <w:t>务。通过</w:t>
      </w:r>
      <w:r>
        <w:rPr>
          <w:rFonts w:hint="eastAsia" w:ascii="仿宋_GB2312" w:eastAsia="仿宋_GB2312"/>
          <w:color w:val="auto"/>
          <w:sz w:val="32"/>
          <w:szCs w:val="32"/>
          <w:highlight w:val="none"/>
          <w:lang w:eastAsia="zh-CN"/>
        </w:rPr>
        <w:t>创建示范性合作社</w:t>
      </w:r>
      <w:r>
        <w:rPr>
          <w:rFonts w:hint="eastAsia" w:ascii="仿宋_GB2312" w:eastAsia="仿宋_GB2312"/>
          <w:color w:val="auto"/>
          <w:sz w:val="32"/>
          <w:szCs w:val="32"/>
          <w:highlight w:val="none"/>
          <w:lang w:val="en-US" w:eastAsia="zh-CN"/>
        </w:rPr>
        <w:t>工作的有效完成，解决了</w:t>
      </w:r>
      <w:r>
        <w:rPr>
          <w:rFonts w:hint="eastAsia" w:ascii="仿宋_GB2312" w:hAnsi="仿宋_GB2312" w:eastAsia="仿宋_GB2312" w:cs="仿宋_GB2312"/>
          <w:b w:val="0"/>
          <w:bCs w:val="0"/>
          <w:color w:val="auto"/>
          <w:sz w:val="32"/>
          <w:szCs w:val="32"/>
          <w:lang w:val="en-US" w:eastAsia="zh-CN"/>
        </w:rPr>
        <w:t>新型农业经营主体</w:t>
      </w:r>
      <w:r>
        <w:rPr>
          <w:rFonts w:hint="eastAsia" w:ascii="仿宋_GB2312" w:eastAsia="仿宋_GB2312"/>
          <w:color w:val="auto"/>
          <w:sz w:val="32"/>
          <w:szCs w:val="32"/>
          <w:highlight w:val="none"/>
          <w:lang w:val="en-US" w:eastAsia="zh-CN"/>
        </w:rPr>
        <w:t>申报各级项目补助所需的条件，显著提高了</w:t>
      </w:r>
      <w:r>
        <w:rPr>
          <w:rFonts w:hint="eastAsia" w:ascii="仿宋_GB2312" w:hAnsi="仿宋_GB2312" w:eastAsia="仿宋_GB2312" w:cs="仿宋_GB2312"/>
          <w:b w:val="0"/>
          <w:bCs w:val="0"/>
          <w:color w:val="auto"/>
          <w:sz w:val="32"/>
          <w:szCs w:val="32"/>
          <w:lang w:val="en-US" w:eastAsia="zh-CN"/>
        </w:rPr>
        <w:t>新型农业经营主体</w:t>
      </w:r>
      <w:r>
        <w:rPr>
          <w:rFonts w:hint="eastAsia" w:ascii="仿宋_GB2312" w:eastAsia="仿宋_GB2312"/>
          <w:color w:val="auto"/>
          <w:sz w:val="32"/>
          <w:szCs w:val="32"/>
          <w:highlight w:val="none"/>
          <w:lang w:val="en-US" w:eastAsia="zh-CN"/>
        </w:rPr>
        <w:t>的运营能力，明显改善了</w:t>
      </w:r>
      <w:r>
        <w:rPr>
          <w:rFonts w:hint="eastAsia" w:ascii="仿宋_GB2312" w:hAnsi="仿宋_GB2312" w:eastAsia="仿宋_GB2312" w:cs="仿宋_GB2312"/>
          <w:b w:val="0"/>
          <w:bCs w:val="0"/>
          <w:color w:val="auto"/>
          <w:sz w:val="32"/>
          <w:szCs w:val="32"/>
          <w:lang w:val="en-US" w:eastAsia="zh-CN"/>
        </w:rPr>
        <w:t>新型农业经营主体</w:t>
      </w:r>
      <w:r>
        <w:rPr>
          <w:rFonts w:hint="eastAsia" w:ascii="仿宋_GB2312" w:eastAsia="仿宋_GB2312"/>
          <w:color w:val="auto"/>
          <w:sz w:val="32"/>
          <w:szCs w:val="32"/>
          <w:highlight w:val="none"/>
          <w:lang w:val="en-US" w:eastAsia="zh-CN"/>
        </w:rPr>
        <w:t>的运行环境，提升了</w:t>
      </w:r>
      <w:r>
        <w:rPr>
          <w:rFonts w:hint="eastAsia" w:ascii="仿宋_GB2312" w:hAnsi="仿宋_GB2312" w:eastAsia="仿宋_GB2312" w:cs="仿宋_GB2312"/>
          <w:b w:val="0"/>
          <w:bCs w:val="0"/>
          <w:color w:val="auto"/>
          <w:sz w:val="32"/>
          <w:szCs w:val="32"/>
          <w:lang w:val="en-US" w:eastAsia="zh-CN"/>
        </w:rPr>
        <w:t>新型农业经营主体</w:t>
      </w:r>
      <w:r>
        <w:rPr>
          <w:rFonts w:hint="eastAsia" w:ascii="仿宋_GB2312" w:eastAsia="仿宋_GB2312"/>
          <w:color w:val="auto"/>
          <w:sz w:val="32"/>
          <w:szCs w:val="32"/>
          <w:highlight w:val="none"/>
          <w:lang w:val="en-US" w:eastAsia="zh-CN"/>
        </w:rPr>
        <w:t>带动农户致富的服务意识，增强了</w:t>
      </w:r>
      <w:r>
        <w:rPr>
          <w:rFonts w:hint="eastAsia" w:ascii="仿宋_GB2312" w:hAnsi="仿宋_GB2312" w:eastAsia="仿宋_GB2312" w:cs="仿宋_GB2312"/>
          <w:b w:val="0"/>
          <w:bCs w:val="0"/>
          <w:color w:val="auto"/>
          <w:sz w:val="32"/>
          <w:szCs w:val="32"/>
          <w:lang w:val="en-US" w:eastAsia="zh-CN"/>
        </w:rPr>
        <w:t>新型农业经营主体市场竞争力</w:t>
      </w:r>
      <w:r>
        <w:rPr>
          <w:rFonts w:hint="eastAsia" w:ascii="仿宋_GB2312" w:eastAsia="仿宋_GB2312"/>
          <w:color w:val="auto"/>
          <w:sz w:val="32"/>
          <w:szCs w:val="32"/>
          <w:highlight w:val="none"/>
          <w:lang w:val="en-US" w:eastAsia="zh-CN"/>
        </w:rPr>
        <w:t>。</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综上，该指标分值20分，得20分。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w:t>
      </w:r>
      <w:r>
        <w:rPr>
          <w:rFonts w:hint="eastAsia" w:ascii="楷体_GB2312" w:eastAsia="楷体_GB2312"/>
          <w:color w:val="auto"/>
          <w:szCs w:val="32"/>
          <w:lang w:val="en-US" w:eastAsia="zh-CN"/>
        </w:rPr>
        <w:t>二</w:t>
      </w:r>
      <w:r>
        <w:rPr>
          <w:rFonts w:hint="eastAsia" w:ascii="楷体_GB2312" w:eastAsia="楷体_GB2312"/>
          <w:color w:val="auto"/>
          <w:szCs w:val="32"/>
        </w:rPr>
        <w:t>）</w:t>
      </w:r>
      <w:r>
        <w:rPr>
          <w:rFonts w:hint="eastAsia" w:ascii="楷体_GB2312" w:eastAsia="楷体_GB2312"/>
          <w:color w:val="auto"/>
          <w:szCs w:val="32"/>
          <w:lang w:val="en-US" w:eastAsia="zh-CN"/>
        </w:rPr>
        <w:t>指标二：</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“创建示范性家庭农场个数”指标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个</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年中绩效运行监控完成值为“0”，全年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50个</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年中绩效运行监控完成值偏差率50%，偏差原因是：由于在监控节点时，上级创建申报要求没有下达，导致偏差。全年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0%。偏差原因是：无偏差。全年本单位履职尽责，贯彻落实中央一号文件精神，深化农村土地改革，有效促进了农村土地经营权规范化流转，以全国农村产权交易规范化建设试点县为契机，健全完善了产权交易运行机制，实现了我市农村土地的规范化流转，巩固了农村合作社质量提升整县推进试点成果。</w:t>
      </w:r>
    </w:p>
    <w:p>
      <w:pPr>
        <w:pStyle w:val="16"/>
        <w:snapToGrid w:val="0"/>
        <w:spacing w:line="570" w:lineRule="exact"/>
        <w:ind w:firstLine="624"/>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综上，该指标分值15分，按照指标评分规则，扣0分，得15分。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w:t>
      </w:r>
      <w:r>
        <w:rPr>
          <w:rFonts w:hint="eastAsia" w:ascii="楷体_GB2312" w:eastAsia="楷体_GB2312"/>
          <w:color w:val="auto"/>
          <w:szCs w:val="32"/>
          <w:lang w:val="en-US" w:eastAsia="zh-CN"/>
        </w:rPr>
        <w:t>三</w:t>
      </w:r>
      <w:r>
        <w:rPr>
          <w:rFonts w:hint="eastAsia" w:ascii="楷体_GB2312" w:eastAsia="楷体_GB2312"/>
          <w:color w:val="auto"/>
          <w:szCs w:val="32"/>
        </w:rPr>
        <w:t>）</w:t>
      </w:r>
      <w:r>
        <w:rPr>
          <w:rFonts w:hint="eastAsia" w:ascii="楷体_GB2312" w:eastAsia="楷体_GB2312"/>
          <w:color w:val="auto"/>
          <w:szCs w:val="32"/>
          <w:lang w:val="en-US" w:eastAsia="zh-CN"/>
        </w:rPr>
        <w:t>指标三：</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“农村集体机动地线上交易面积”指标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6万亩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年中绩效运行监控完成值为“4.2万亩”，全年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6.2万亩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103.3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年中绩效运行监控完成值偏差率33%，偏差原因是：由于在监控节点时，线上交易在上半年交易面积多，导致偏差。全年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0%。偏差原因是：无偏差。全年本单位履职尽责，贯彻落实中央一号文件精神，深化农村土地改革，有效促进了农村土地经营权规范化流转，以全国农村产权交易规范化建设试点县为契机，健全完善了产权交易运行机制，实现了我市农村土地的规范化流转。</w:t>
      </w:r>
    </w:p>
    <w:p>
      <w:pPr>
        <w:spacing w:line="570" w:lineRule="exact"/>
        <w:ind w:firstLine="640"/>
        <w:rPr>
          <w:rFonts w:hint="eastAsia"/>
          <w:color w:val="auto"/>
          <w:lang w:val="en-US" w:eastAsia="zh-CN"/>
        </w:rPr>
      </w:pPr>
      <w:r>
        <w:rPr>
          <w:rFonts w:hint="eastAsia" w:ascii="仿宋_GB2312" w:eastAsia="仿宋_GB2312"/>
          <w:color w:val="auto"/>
          <w:sz w:val="32"/>
          <w:szCs w:val="32"/>
          <w:highlight w:val="none"/>
          <w:lang w:val="en-US" w:eastAsia="zh-CN"/>
        </w:rPr>
        <w:t>综上，该指标分值15分，得15分。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w:t>
      </w:r>
      <w:r>
        <w:rPr>
          <w:rFonts w:hint="eastAsia" w:ascii="楷体_GB2312" w:eastAsia="楷体_GB2312"/>
          <w:color w:val="auto"/>
          <w:szCs w:val="32"/>
          <w:lang w:val="en-US" w:eastAsia="zh-CN"/>
        </w:rPr>
        <w:t>指标四：</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“实现改革分红的农村集体经济组织个数”指标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20个</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年中绩效运行监控完成值为“1个”，全年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13个</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65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年中绩效运行监控完成值偏差率40%，偏差原因是：由于在监控节点时，集体经济组织收益没有核算完成，导致偏差。全年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值偏差35%。偏差原因是：由于本年度，经过集体经济组织的收益核算，可以进行分红的集体经济组织数量减少，导致偏差。</w:t>
      </w:r>
    </w:p>
    <w:p>
      <w:pPr>
        <w:pStyle w:val="16"/>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下一步工作措施：根据工作实际，对集体经济组织的财务收支进行精准核算，严格按照产权制度改革的要求，实现集体经济组织收益分红，让集体经济组织成员享受改革红利。</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综上，该指标分值20分，得13分。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w:t>
      </w:r>
      <w:r>
        <w:rPr>
          <w:rFonts w:hint="eastAsia" w:ascii="楷体_GB2312" w:eastAsia="楷体_GB2312"/>
          <w:color w:val="auto"/>
          <w:szCs w:val="32"/>
          <w:lang w:val="en-US" w:eastAsia="zh-CN"/>
        </w:rPr>
        <w:t>五</w:t>
      </w:r>
      <w:r>
        <w:rPr>
          <w:rFonts w:hint="eastAsia" w:ascii="楷体_GB2312" w:eastAsia="楷体_GB2312"/>
          <w:color w:val="auto"/>
          <w:szCs w:val="32"/>
        </w:rPr>
        <w:t>）</w:t>
      </w:r>
      <w:r>
        <w:rPr>
          <w:rFonts w:hint="eastAsia" w:ascii="楷体_GB2312" w:eastAsia="楷体_GB2312"/>
          <w:color w:val="auto"/>
          <w:szCs w:val="32"/>
          <w:lang w:val="en-US" w:eastAsia="zh-CN"/>
        </w:rPr>
        <w:t>指标五：</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农村土地经营权流转网签率</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60%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年中绩效运行监控完成值为“30%”，全年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61%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101.67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了中央一号文件精神，深化农村土地改革，有效促进了农村土地经营权规范化流转，以全国农村产权交易规范化建设试点县为契机，健全完善了产权交易运行机制。通过</w:t>
      </w:r>
      <w:r>
        <w:rPr>
          <w:rFonts w:hint="eastAsia" w:ascii="仿宋_GB2312" w:eastAsia="仿宋_GB2312"/>
          <w:color w:val="auto"/>
          <w:sz w:val="32"/>
          <w:szCs w:val="32"/>
          <w:highlight w:val="none"/>
          <w:lang w:eastAsia="zh-CN"/>
        </w:rPr>
        <w:t>农村土地经营权流转网签</w:t>
      </w:r>
      <w:r>
        <w:rPr>
          <w:rFonts w:hint="eastAsia" w:ascii="仿宋_GB2312" w:eastAsia="仿宋_GB2312"/>
          <w:color w:val="auto"/>
          <w:sz w:val="32"/>
          <w:szCs w:val="32"/>
          <w:highlight w:val="none"/>
          <w:lang w:val="en-US" w:eastAsia="zh-CN"/>
        </w:rPr>
        <w:t>工作的有效完成，解决了农民土地流转合同签订过程繁琐的问题，显著提高了农民土地流转收益。</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综上，该指标分值10分，得10分。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rPr>
        <w:t>（</w:t>
      </w:r>
      <w:r>
        <w:rPr>
          <w:rFonts w:hint="eastAsia" w:ascii="楷体_GB2312" w:eastAsia="楷体_GB2312"/>
          <w:color w:val="auto"/>
          <w:szCs w:val="32"/>
          <w:lang w:val="en-US" w:eastAsia="zh-CN"/>
        </w:rPr>
        <w:t>六</w:t>
      </w:r>
      <w:r>
        <w:rPr>
          <w:rFonts w:hint="eastAsia" w:ascii="楷体_GB2312" w:eastAsia="楷体_GB2312"/>
          <w:color w:val="auto"/>
          <w:szCs w:val="32"/>
        </w:rPr>
        <w:t>）</w:t>
      </w:r>
      <w:r>
        <w:rPr>
          <w:rFonts w:hint="eastAsia" w:ascii="楷体_GB2312" w:eastAsia="楷体_GB2312"/>
          <w:color w:val="auto"/>
          <w:szCs w:val="32"/>
          <w:lang w:val="en-US" w:eastAsia="zh-CN"/>
        </w:rPr>
        <w:t>指标六：</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农村土地流转规范化率</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95%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年中绩效运行监控完成值为“80%”，全年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95%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贯彻落实中央一号文件精神，深化农村土地改革，有效促进了农村土地经营权规范化流转，以全国农村产权交易规范化建设试点县为契机，健全完善了产权交易运行机制，实现了我市农村土地的规范化流转。通过</w:t>
      </w:r>
      <w:r>
        <w:rPr>
          <w:rFonts w:hint="eastAsia" w:ascii="仿宋_GB2312" w:eastAsia="仿宋_GB2312"/>
          <w:color w:val="auto"/>
          <w:sz w:val="32"/>
          <w:szCs w:val="32"/>
          <w:highlight w:val="none"/>
          <w:lang w:eastAsia="zh-CN"/>
        </w:rPr>
        <w:t>农村土地流转规范化</w:t>
      </w:r>
      <w:r>
        <w:rPr>
          <w:rFonts w:hint="eastAsia" w:ascii="仿宋_GB2312" w:eastAsia="仿宋_GB2312"/>
          <w:color w:val="auto"/>
          <w:sz w:val="32"/>
          <w:szCs w:val="32"/>
          <w:highlight w:val="none"/>
          <w:lang w:val="en-US" w:eastAsia="zh-CN"/>
        </w:rPr>
        <w:t>工作的有效完成，解决了农民因土地流转不规范发生的纠纷问题，显著提高了农民土地流转收益。</w:t>
      </w:r>
    </w:p>
    <w:p>
      <w:pPr>
        <w:spacing w:line="570" w:lineRule="exact"/>
        <w:ind w:firstLine="640"/>
        <w:rPr>
          <w:rFonts w:hint="eastAsia"/>
          <w:color w:val="auto"/>
          <w:lang w:val="en-US" w:eastAsia="zh-CN"/>
        </w:rPr>
      </w:pPr>
      <w:r>
        <w:rPr>
          <w:rFonts w:hint="eastAsia" w:ascii="仿宋_GB2312" w:eastAsia="仿宋_GB2312"/>
          <w:color w:val="auto"/>
          <w:sz w:val="32"/>
          <w:szCs w:val="32"/>
          <w:highlight w:val="none"/>
          <w:lang w:val="en-US" w:eastAsia="zh-CN"/>
        </w:rPr>
        <w:t>综上，该指标分值10分，得10分。</w:t>
      </w:r>
    </w:p>
    <w:p>
      <w:pPr>
        <w:pStyle w:val="3"/>
        <w:numPr>
          <w:ilvl w:val="0"/>
          <w:numId w:val="2"/>
        </w:numPr>
        <w:spacing w:line="570" w:lineRule="exact"/>
        <w:ind w:firstLine="640"/>
        <w:rPr>
          <w:rFonts w:hint="eastAsia" w:ascii="黑体" w:hAnsi="黑体"/>
          <w:b w:val="0"/>
          <w:color w:val="auto"/>
          <w:sz w:val="32"/>
          <w:szCs w:val="32"/>
          <w:lang w:val="en-US" w:eastAsia="zh-CN"/>
        </w:rPr>
      </w:pPr>
      <w:r>
        <w:rPr>
          <w:rFonts w:hint="eastAsia" w:ascii="黑体" w:hAnsi="黑体"/>
          <w:b w:val="0"/>
          <w:color w:val="auto"/>
          <w:sz w:val="32"/>
          <w:szCs w:val="32"/>
          <w:lang w:val="en-US" w:eastAsia="zh-CN"/>
        </w:rPr>
        <w:t>评价结论</w:t>
      </w:r>
    </w:p>
    <w:p>
      <w:pPr>
        <w:spacing w:line="570" w:lineRule="exact"/>
        <w:ind w:firstLine="640"/>
        <w:rPr>
          <w:rFonts w:hint="default"/>
          <w:color w:val="auto"/>
          <w:lang w:val="en-US" w:eastAsia="zh-CN"/>
        </w:rPr>
      </w:pPr>
      <w:r>
        <w:rPr>
          <w:rFonts w:hint="eastAsia" w:ascii="仿宋_GB2312" w:eastAsia="仿宋_GB2312"/>
          <w:color w:val="auto"/>
          <w:sz w:val="32"/>
          <w:szCs w:val="32"/>
          <w:highlight w:val="none"/>
          <w:lang w:val="en-US" w:eastAsia="zh-CN"/>
        </w:rPr>
        <w:t>2023年度</w:t>
      </w:r>
      <w:r>
        <w:rPr>
          <w:rFonts w:hint="eastAsia" w:ascii="仿宋_GB2312" w:eastAsia="仿宋_GB2312"/>
          <w:color w:val="auto"/>
          <w:sz w:val="32"/>
          <w:szCs w:val="32"/>
          <w:highlight w:val="none"/>
          <w:lang w:eastAsia="zh-CN"/>
        </w:rPr>
        <w:t>沙湾市农村合作经济发展中心</w:t>
      </w:r>
      <w:r>
        <w:rPr>
          <w:rFonts w:hint="eastAsia" w:ascii="仿宋_GB2312" w:eastAsia="仿宋_GB2312"/>
          <w:color w:val="auto"/>
          <w:sz w:val="32"/>
          <w:szCs w:val="32"/>
          <w:highlight w:val="none"/>
          <w:lang w:val="en-US" w:eastAsia="zh-CN"/>
        </w:rPr>
        <w:t>部门整体支出绩效自评综合得分92.5分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评价结果为“</w:t>
      </w:r>
      <w:r>
        <w:rPr>
          <w:rFonts w:hint="eastAsia" w:ascii="仿宋_GB2312" w:eastAsia="仿宋_GB2312"/>
          <w:color w:val="auto"/>
          <w:sz w:val="32"/>
          <w:szCs w:val="32"/>
          <w:highlight w:val="none"/>
          <w:lang w:eastAsia="zh-CN"/>
        </w:rPr>
        <w:t>优</w:t>
      </w:r>
      <w:r>
        <w:rPr>
          <w:rFonts w:hint="eastAsia" w:ascii="仿宋_GB2312" w:eastAsia="仿宋_GB2312"/>
          <w:color w:val="auto"/>
          <w:sz w:val="32"/>
          <w:szCs w:val="32"/>
          <w:highlight w:val="none"/>
          <w:lang w:val="en-US" w:eastAsia="zh-CN"/>
        </w:rPr>
        <w:t>”。</w:t>
      </w:r>
    </w:p>
    <w:p>
      <w:pPr>
        <w:pStyle w:val="3"/>
        <w:spacing w:line="570" w:lineRule="exact"/>
        <w:ind w:firstLine="640"/>
        <w:rPr>
          <w:rFonts w:hint="default" w:ascii="黑体" w:hAnsi="黑体" w:eastAsia="黑体"/>
          <w:b w:val="0"/>
          <w:color w:val="auto"/>
          <w:sz w:val="32"/>
          <w:szCs w:val="32"/>
          <w:lang w:val="en-US" w:eastAsia="zh-CN"/>
        </w:rPr>
      </w:pPr>
      <w:r>
        <w:rPr>
          <w:rFonts w:hint="eastAsia" w:ascii="黑体" w:hAnsi="黑体"/>
          <w:b w:val="0"/>
          <w:color w:val="auto"/>
          <w:sz w:val="32"/>
          <w:szCs w:val="32"/>
          <w:lang w:val="en-US" w:eastAsia="zh-CN"/>
        </w:rPr>
        <w:t>五</w:t>
      </w:r>
      <w:r>
        <w:rPr>
          <w:rFonts w:hint="eastAsia" w:ascii="黑体" w:hAnsi="黑体"/>
          <w:b w:val="0"/>
          <w:color w:val="auto"/>
          <w:sz w:val="32"/>
          <w:szCs w:val="32"/>
        </w:rPr>
        <w:t>、存在的主要问题</w:t>
      </w:r>
      <w:r>
        <w:rPr>
          <w:rFonts w:hint="eastAsia" w:ascii="黑体" w:hAnsi="黑体"/>
          <w:b w:val="0"/>
          <w:color w:val="auto"/>
          <w:sz w:val="32"/>
          <w:szCs w:val="32"/>
          <w:lang w:val="en-US" w:eastAsia="zh-CN"/>
        </w:rPr>
        <w:t>及原因分析</w:t>
      </w:r>
    </w:p>
    <w:p>
      <w:pPr>
        <w:pStyle w:val="4"/>
        <w:spacing w:line="570" w:lineRule="exact"/>
        <w:ind w:firstLine="643"/>
        <w:rPr>
          <w:rFonts w:hint="default" w:ascii="楷体_GB2312" w:eastAsia="楷体_GB2312"/>
          <w:color w:val="auto"/>
          <w:szCs w:val="32"/>
          <w:lang w:val="en-US" w:eastAsia="zh-CN"/>
        </w:rPr>
      </w:pPr>
      <w:r>
        <w:rPr>
          <w:rFonts w:hint="eastAsia" w:ascii="楷体_GB2312" w:eastAsia="楷体_GB2312"/>
          <w:color w:val="auto"/>
          <w:szCs w:val="32"/>
          <w:lang w:val="en-US" w:eastAsia="zh-CN"/>
        </w:rPr>
        <w:t>（一）绩效管理方面</w:t>
      </w:r>
    </w:p>
    <w:p>
      <w:pPr>
        <w:pageBreakBefore w:val="0"/>
        <w:widowControl w:val="0"/>
        <w:numPr>
          <w:ilvl w:val="0"/>
          <w:numId w:val="3"/>
        </w:numPr>
        <w:kinsoku/>
        <w:wordWrap/>
        <w:overflowPunct/>
        <w:topLinePunct w:val="0"/>
        <w:autoSpaceDE/>
        <w:autoSpaceDN/>
        <w:bidi w:val="0"/>
        <w:adjustRightInd/>
        <w:snapToGrid w:val="0"/>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由于预算绩效管理工作专业性强，缺乏系统的培训，造成单位财务人员对预算绩效管理认识不到位，理解不充分，对预算绩效管理工作重点把握不到位。</w:t>
      </w:r>
    </w:p>
    <w:p>
      <w:pPr>
        <w:numPr>
          <w:ilvl w:val="0"/>
          <w:numId w:val="3"/>
        </w:num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绩效目标的设置有待进一步细化和量化，预算绩效管理工作时间紧、任务重、专业性强，在目标设置中存在与实际完成情况偏离过大的现象，我单位的预算绩效还存在一些不足之处需要完善。</w:t>
      </w:r>
    </w:p>
    <w:p>
      <w:pPr>
        <w:pStyle w:val="4"/>
        <w:pageBreakBefore w:val="0"/>
        <w:widowControl w:val="0"/>
        <w:numPr>
          <w:ilvl w:val="0"/>
          <w:numId w:val="4"/>
        </w:numPr>
        <w:kinsoku/>
        <w:wordWrap/>
        <w:overflowPunct/>
        <w:topLinePunct w:val="0"/>
        <w:autoSpaceDE/>
        <w:autoSpaceDN/>
        <w:bidi w:val="0"/>
        <w:adjustRightInd/>
        <w:snapToGrid w:val="0"/>
        <w:spacing w:line="570" w:lineRule="exact"/>
        <w:ind w:firstLine="643"/>
        <w:textAlignment w:val="auto"/>
        <w:rPr>
          <w:rFonts w:hint="eastAsia" w:ascii="楷体_GB2312" w:eastAsia="楷体_GB2312"/>
          <w:color w:val="auto"/>
          <w:szCs w:val="32"/>
          <w:lang w:val="en-US" w:eastAsia="zh-CN"/>
        </w:rPr>
      </w:pPr>
      <w:r>
        <w:rPr>
          <w:rFonts w:hint="eastAsia" w:ascii="楷体_GB2312" w:eastAsia="楷体_GB2312"/>
          <w:color w:val="auto"/>
          <w:szCs w:val="32"/>
          <w:lang w:val="en-US" w:eastAsia="zh-CN"/>
        </w:rPr>
        <w:t>资产管理方面</w:t>
      </w:r>
    </w:p>
    <w:p>
      <w:pPr>
        <w:pStyle w:val="4"/>
        <w:keepNext/>
        <w:keepLines/>
        <w:pageBreakBefore w:val="0"/>
        <w:widowControl w:val="0"/>
        <w:numPr>
          <w:ilvl w:val="0"/>
          <w:numId w:val="5"/>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单位资产管理制度不规范、不完整。未能按照要求对该报废的资产及时进行报废处理。</w:t>
      </w:r>
    </w:p>
    <w:p>
      <w:pPr>
        <w:pStyle w:val="4"/>
        <w:keepNext/>
        <w:keepLines/>
        <w:pageBreakBefore w:val="0"/>
        <w:widowControl w:val="0"/>
        <w:numPr>
          <w:ilvl w:val="0"/>
          <w:numId w:val="5"/>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hAnsi="Arial" w:eastAsia="仿宋_GB2312" w:cs="Times New Roman"/>
          <w:b w:val="0"/>
          <w:bCs/>
          <w:color w:val="auto"/>
          <w:kern w:val="2"/>
          <w:sz w:val="32"/>
          <w:szCs w:val="32"/>
          <w:highlight w:val="none"/>
          <w:lang w:val="en-US" w:eastAsia="zh-CN" w:bidi="ar-SA"/>
        </w:rPr>
        <w:t>固定资产日常管理不够规范。未能及时按照《行政事业单位内部控制规范（试行）》（财会</w:t>
      </w:r>
      <w:r>
        <w:rPr>
          <w:rFonts w:hint="eastAsia" w:ascii="仿宋_GB2312" w:hAnsi="宋体" w:eastAsia="仿宋_GB2312" w:cs="宋体"/>
          <w:bCs/>
          <w:color w:val="auto"/>
          <w:kern w:val="0"/>
          <w:sz w:val="32"/>
          <w:szCs w:val="32"/>
          <w:lang w:val="en-US" w:eastAsia="zh-CN" w:bidi="ar"/>
        </w:rPr>
        <w:t>〔2012〕21号</w:t>
      </w:r>
      <w:r>
        <w:rPr>
          <w:rFonts w:hint="eastAsia" w:ascii="仿宋_GB2312" w:hAnsi="Arial" w:eastAsia="仿宋_GB2312" w:cs="Times New Roman"/>
          <w:b w:val="0"/>
          <w:bCs/>
          <w:color w:val="auto"/>
          <w:kern w:val="2"/>
          <w:sz w:val="32"/>
          <w:szCs w:val="32"/>
          <w:highlight w:val="none"/>
          <w:lang w:val="en-US" w:eastAsia="zh-CN" w:bidi="ar-SA"/>
        </w:rPr>
        <w:t>）文件规定定期对固定资产进行盘点。</w:t>
      </w:r>
    </w:p>
    <w:p>
      <w:pPr>
        <w:pStyle w:val="4"/>
        <w:numPr>
          <w:ilvl w:val="0"/>
          <w:numId w:val="4"/>
        </w:numPr>
        <w:spacing w:line="570" w:lineRule="exact"/>
        <w:ind w:firstLine="643"/>
        <w:rPr>
          <w:rFonts w:hint="eastAsia" w:ascii="楷体_GB2312" w:eastAsia="楷体_GB2312"/>
          <w:color w:val="auto"/>
          <w:szCs w:val="32"/>
          <w:lang w:val="en-US" w:eastAsia="zh-CN"/>
        </w:rPr>
      </w:pPr>
      <w:r>
        <w:rPr>
          <w:rFonts w:hint="eastAsia" w:ascii="楷体_GB2312" w:eastAsia="楷体_GB2312"/>
          <w:color w:val="auto"/>
          <w:szCs w:val="32"/>
          <w:lang w:val="en-US" w:eastAsia="zh-CN"/>
        </w:rPr>
        <w:t>业务管理方面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default"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单位部分工作项目完成不及时。按照《年初工作计划》，本单位实施的实现改革分红的农村集体经济组织个数没有完成年初计划的20个，因本年度，经过集体经济组织的收益核算，可以进行分红的集体经济组织数量减少，导致没有完成计划数；农村集体机动地线上交易面积超过计划数0.2万亩，是由于机动地线上交易为村集体增加了集体收入，增加了村集体经济组织的线上交易积极性，导致实际完成数超过了计划面积。</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default"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2.项目管理制度不健全。由于没有专业的项目管理培训，项目管理人员对于项目的具体实施情况理解不透彻，导致在项目的执行过程中出现完成不及时，支付进度低。</w:t>
      </w:r>
    </w:p>
    <w:p>
      <w:pPr>
        <w:pStyle w:val="4"/>
        <w:numPr>
          <w:ilvl w:val="0"/>
          <w:numId w:val="4"/>
        </w:numPr>
        <w:spacing w:line="570" w:lineRule="exact"/>
        <w:ind w:firstLine="643"/>
        <w:rPr>
          <w:rFonts w:hint="eastAsia" w:ascii="楷体_GB2312" w:eastAsia="楷体_GB2312"/>
          <w:color w:val="auto"/>
          <w:szCs w:val="32"/>
          <w:lang w:val="en-US" w:eastAsia="zh-CN"/>
        </w:rPr>
      </w:pPr>
      <w:r>
        <w:rPr>
          <w:rFonts w:hint="eastAsia" w:ascii="楷体_GB2312" w:eastAsia="楷体_GB2312"/>
          <w:color w:val="auto"/>
          <w:szCs w:val="32"/>
          <w:lang w:val="en-US" w:eastAsia="zh-CN"/>
        </w:rPr>
        <w:t>预算管理方面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1.单位预算编制精准度不高。在执行中由于预算编制精准度不高出现不确定性，实际经费核算的科目、支出内容与预算出现一定偏差。</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eastAsia="仿宋_GB2312"/>
          <w:b w:val="0"/>
          <w:bCs/>
          <w:color w:val="auto"/>
          <w:sz w:val="32"/>
          <w:szCs w:val="32"/>
          <w:highlight w:val="none"/>
          <w:lang w:val="en-US" w:eastAsia="zh-CN"/>
        </w:rPr>
        <w:t>2.单位财务人员业务素质有待进一步提高。由于缺乏系统学习，财务人员对预算绩效管理认识不到位、理解不充分，对预算绩效管理业务不了解、不熟悉，对工作重点把握不到位，导致绩效评价工作质量不高。</w:t>
      </w:r>
    </w:p>
    <w:p>
      <w:pPr>
        <w:ind w:firstLine="624"/>
        <w:rPr>
          <w:rFonts w:ascii="仿宋_GB2312" w:eastAsia="仿宋_GB2312"/>
          <w:color w:val="auto"/>
          <w:spacing w:val="-4"/>
          <w:sz w:val="32"/>
          <w:szCs w:val="32"/>
        </w:rPr>
      </w:pPr>
      <w:r>
        <w:rPr>
          <w:rFonts w:hint="eastAsia" w:ascii="仿宋_GB2312" w:eastAsia="仿宋_GB2312"/>
          <w:color w:val="auto"/>
          <w:spacing w:val="-4"/>
          <w:sz w:val="32"/>
          <w:szCs w:val="32"/>
        </w:rPr>
        <w:t>202</w:t>
      </w:r>
      <w:r>
        <w:rPr>
          <w:rFonts w:hint="eastAsia" w:ascii="仿宋_GB2312" w:eastAsia="仿宋_GB2312"/>
          <w:color w:val="auto"/>
          <w:spacing w:val="-4"/>
          <w:sz w:val="32"/>
          <w:szCs w:val="32"/>
          <w:lang w:val="en-US" w:eastAsia="zh-CN"/>
        </w:rPr>
        <w:t>3</w:t>
      </w:r>
      <w:r>
        <w:rPr>
          <w:rFonts w:hint="eastAsia" w:ascii="仿宋_GB2312" w:eastAsia="仿宋_GB2312"/>
          <w:color w:val="auto"/>
          <w:spacing w:val="-4"/>
          <w:sz w:val="32"/>
          <w:szCs w:val="32"/>
        </w:rPr>
        <w:t>年本单位</w:t>
      </w:r>
      <w:r>
        <w:rPr>
          <w:rFonts w:hint="eastAsia" w:ascii="仿宋_GB2312" w:eastAsia="仿宋_GB2312"/>
          <w:color w:val="auto"/>
          <w:spacing w:val="-4"/>
          <w:sz w:val="32"/>
          <w:szCs w:val="32"/>
          <w:lang w:val="en-US" w:eastAsia="zh-CN"/>
        </w:rPr>
        <w:t>部门</w:t>
      </w:r>
      <w:r>
        <w:rPr>
          <w:rFonts w:hint="eastAsia" w:ascii="仿宋_GB2312" w:eastAsia="仿宋_GB2312"/>
          <w:color w:val="auto"/>
          <w:spacing w:val="-4"/>
          <w:sz w:val="32"/>
          <w:szCs w:val="32"/>
        </w:rPr>
        <w:t>整体支出绩效目标中</w:t>
      </w:r>
      <w:r>
        <w:rPr>
          <w:rFonts w:hint="eastAsia" w:ascii="仿宋_GB2312" w:eastAsia="仿宋_GB2312"/>
          <w:color w:val="auto"/>
          <w:spacing w:val="-4"/>
          <w:sz w:val="32"/>
          <w:szCs w:val="32"/>
          <w:lang w:val="en-US" w:eastAsia="zh-CN"/>
        </w:rPr>
        <w:t>2</w:t>
      </w:r>
      <w:r>
        <w:rPr>
          <w:rFonts w:hint="eastAsia" w:ascii="仿宋_GB2312" w:eastAsia="仿宋_GB2312"/>
          <w:color w:val="auto"/>
          <w:spacing w:val="-4"/>
          <w:sz w:val="32"/>
          <w:szCs w:val="32"/>
        </w:rPr>
        <w:t>个指标未完成，具体情况如下：</w:t>
      </w:r>
    </w:p>
    <w:p>
      <w:pPr>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农村集体机动地线上交易面积</w:t>
      </w:r>
      <w:r>
        <w:rPr>
          <w:rFonts w:hint="eastAsia" w:ascii="仿宋_GB2312" w:eastAsia="仿宋_GB2312"/>
          <w:color w:val="auto"/>
          <w:sz w:val="32"/>
          <w:szCs w:val="32"/>
        </w:rPr>
        <w:t>”指标</w:t>
      </w:r>
      <w:r>
        <w:rPr>
          <w:rFonts w:hint="eastAsia" w:ascii="仿宋_GB2312" w:eastAsia="仿宋_GB2312"/>
          <w:color w:val="auto"/>
          <w:sz w:val="32"/>
          <w:szCs w:val="32"/>
          <w:lang w:eastAsia="zh-CN"/>
        </w:rPr>
        <w:t>，</w:t>
      </w:r>
      <w:r>
        <w:rPr>
          <w:rFonts w:hint="eastAsia" w:ascii="仿宋_GB2312" w:eastAsia="仿宋_GB2312"/>
          <w:color w:val="auto"/>
          <w:sz w:val="32"/>
          <w:szCs w:val="32"/>
        </w:rPr>
        <w:t>预期指标值为“</w:t>
      </w:r>
      <w:r>
        <w:rPr>
          <w:rFonts w:hint="eastAsia" w:ascii="仿宋_GB2312" w:eastAsia="仿宋_GB2312"/>
          <w:color w:val="auto"/>
          <w:sz w:val="32"/>
          <w:szCs w:val="32"/>
          <w:lang w:eastAsia="zh-CN"/>
        </w:rPr>
        <w:t>大于等于</w:t>
      </w:r>
      <w:r>
        <w:rPr>
          <w:rFonts w:hint="eastAsia" w:ascii="仿宋_GB2312" w:eastAsia="仿宋_GB2312"/>
          <w:color w:val="auto"/>
          <w:sz w:val="32"/>
          <w:szCs w:val="32"/>
          <w:lang w:val="en-US" w:eastAsia="zh-CN"/>
        </w:rPr>
        <w:t>6万亩</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6.2万亩</w:t>
      </w:r>
      <w:r>
        <w:rPr>
          <w:rFonts w:hint="eastAsia" w:ascii="仿宋_GB2312" w:eastAsia="仿宋_GB2312"/>
          <w:color w:val="auto"/>
          <w:sz w:val="32"/>
          <w:szCs w:val="32"/>
        </w:rPr>
        <w:t>”，指标完成率为</w:t>
      </w:r>
      <w:r>
        <w:rPr>
          <w:rFonts w:hint="eastAsia" w:ascii="仿宋_GB2312" w:eastAsia="仿宋_GB2312"/>
          <w:color w:val="auto"/>
          <w:sz w:val="32"/>
          <w:szCs w:val="32"/>
          <w:lang w:val="en-US" w:eastAsia="zh-CN"/>
        </w:rPr>
        <w:t>103.33</w:t>
      </w:r>
      <w:r>
        <w:rPr>
          <w:rFonts w:hint="eastAsia" w:ascii="仿宋_GB2312" w:eastAsia="仿宋_GB2312"/>
          <w:color w:val="auto"/>
          <w:sz w:val="32"/>
          <w:szCs w:val="32"/>
        </w:rPr>
        <w:t>%</w:t>
      </w:r>
      <w:r>
        <w:rPr>
          <w:rFonts w:hint="eastAsia" w:ascii="仿宋_GB2312" w:eastAsia="仿宋_GB2312"/>
          <w:color w:val="auto"/>
          <w:sz w:val="32"/>
          <w:szCs w:val="32"/>
          <w:lang w:eastAsia="zh-CN"/>
        </w:rPr>
        <w:t>；</w:t>
      </w:r>
      <w:r>
        <w:rPr>
          <w:rFonts w:hint="eastAsia" w:ascii="仿宋_GB2312" w:eastAsia="仿宋_GB2312"/>
          <w:color w:val="auto"/>
          <w:sz w:val="32"/>
          <w:szCs w:val="32"/>
        </w:rPr>
        <w:t>未完成原因</w:t>
      </w:r>
      <w:r>
        <w:rPr>
          <w:rFonts w:hint="eastAsia" w:ascii="仿宋_GB2312" w:eastAsia="仿宋_GB2312"/>
          <w:color w:val="auto"/>
          <w:sz w:val="32"/>
          <w:szCs w:val="32"/>
          <w:lang w:val="en-US" w:eastAsia="zh-CN"/>
        </w:rPr>
        <w:t>是：</w:t>
      </w:r>
      <w:r>
        <w:rPr>
          <w:rFonts w:hint="eastAsia" w:ascii="仿宋_GB2312" w:eastAsia="仿宋_GB2312"/>
          <w:b w:val="0"/>
          <w:bCs/>
          <w:color w:val="auto"/>
          <w:sz w:val="32"/>
          <w:szCs w:val="32"/>
          <w:highlight w:val="none"/>
          <w:lang w:val="en-US" w:eastAsia="zh-CN"/>
        </w:rPr>
        <w:t>是由于机动地线上交易为村集体增加了集体收入，增加了村集体经济组织的线上交易积极性，导致实际完成数超过了计划面积。</w:t>
      </w:r>
    </w:p>
    <w:p>
      <w:pPr>
        <w:ind w:firstLine="640"/>
        <w:rPr>
          <w:rFonts w:hint="eastAsia" w:ascii="仿宋_GB2312" w:eastAsia="仿宋_GB2312"/>
          <w:color w:val="auto"/>
          <w:sz w:val="32"/>
          <w:szCs w:val="32"/>
          <w:lang w:val="en-US" w:eastAsia="zh-CN"/>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实现改革分红的农村集体经济组织个数</w:t>
      </w:r>
      <w:r>
        <w:rPr>
          <w:rFonts w:hint="eastAsia" w:ascii="仿宋_GB2312" w:eastAsia="仿宋_GB2312"/>
          <w:color w:val="auto"/>
          <w:sz w:val="32"/>
          <w:szCs w:val="32"/>
        </w:rPr>
        <w:t>”指标</w:t>
      </w:r>
      <w:r>
        <w:rPr>
          <w:rFonts w:hint="eastAsia" w:ascii="仿宋_GB2312" w:eastAsia="仿宋_GB2312"/>
          <w:color w:val="auto"/>
          <w:sz w:val="32"/>
          <w:szCs w:val="32"/>
          <w:lang w:eastAsia="zh-CN"/>
        </w:rPr>
        <w:t>，</w:t>
      </w:r>
      <w:r>
        <w:rPr>
          <w:rFonts w:hint="eastAsia" w:ascii="仿宋_GB2312" w:eastAsia="仿宋_GB2312"/>
          <w:color w:val="auto"/>
          <w:sz w:val="32"/>
          <w:szCs w:val="32"/>
        </w:rPr>
        <w:t>预期指标值为“</w:t>
      </w:r>
      <w:r>
        <w:rPr>
          <w:rFonts w:hint="eastAsia" w:ascii="仿宋_GB2312" w:eastAsia="仿宋_GB2312"/>
          <w:color w:val="auto"/>
          <w:sz w:val="32"/>
          <w:szCs w:val="32"/>
          <w:lang w:eastAsia="zh-CN"/>
        </w:rPr>
        <w:t>大于等于</w:t>
      </w:r>
      <w:r>
        <w:rPr>
          <w:rFonts w:hint="eastAsia" w:ascii="仿宋_GB2312" w:eastAsia="仿宋_GB2312"/>
          <w:color w:val="auto"/>
          <w:sz w:val="32"/>
          <w:szCs w:val="32"/>
          <w:lang w:val="en-US" w:eastAsia="zh-CN"/>
        </w:rPr>
        <w:t>20个</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13</w:t>
      </w:r>
      <w:r>
        <w:rPr>
          <w:rFonts w:hint="eastAsia" w:ascii="仿宋_GB2312" w:eastAsia="仿宋_GB2312"/>
          <w:color w:val="auto"/>
          <w:sz w:val="32"/>
          <w:szCs w:val="32"/>
        </w:rPr>
        <w:t>”，指标完成率为</w:t>
      </w:r>
      <w:r>
        <w:rPr>
          <w:rFonts w:hint="eastAsia" w:ascii="仿宋_GB2312" w:eastAsia="仿宋_GB2312"/>
          <w:color w:val="auto"/>
          <w:sz w:val="32"/>
          <w:szCs w:val="32"/>
          <w:lang w:val="en-US" w:eastAsia="zh-CN"/>
        </w:rPr>
        <w:t>65</w:t>
      </w:r>
      <w:r>
        <w:rPr>
          <w:rFonts w:hint="eastAsia" w:ascii="仿宋_GB2312" w:eastAsia="仿宋_GB2312"/>
          <w:color w:val="auto"/>
          <w:sz w:val="32"/>
          <w:szCs w:val="32"/>
        </w:rPr>
        <w:t>%</w:t>
      </w:r>
      <w:r>
        <w:rPr>
          <w:rFonts w:hint="eastAsia" w:ascii="仿宋_GB2312" w:eastAsia="仿宋_GB2312"/>
          <w:color w:val="auto"/>
          <w:sz w:val="32"/>
          <w:szCs w:val="32"/>
          <w:lang w:eastAsia="zh-CN"/>
        </w:rPr>
        <w:t>；</w:t>
      </w:r>
      <w:r>
        <w:rPr>
          <w:rFonts w:hint="eastAsia" w:ascii="仿宋_GB2312" w:eastAsia="仿宋_GB2312"/>
          <w:color w:val="auto"/>
          <w:sz w:val="32"/>
          <w:szCs w:val="32"/>
        </w:rPr>
        <w:t>未完成原因</w:t>
      </w:r>
      <w:r>
        <w:rPr>
          <w:rFonts w:hint="eastAsia" w:ascii="仿宋_GB2312" w:eastAsia="仿宋_GB2312"/>
          <w:color w:val="auto"/>
          <w:sz w:val="32"/>
          <w:szCs w:val="32"/>
          <w:lang w:val="en-US" w:eastAsia="zh-CN"/>
        </w:rPr>
        <w:t>是：</w:t>
      </w:r>
      <w:r>
        <w:rPr>
          <w:rFonts w:hint="eastAsia" w:ascii="仿宋_GB2312" w:eastAsia="仿宋_GB2312"/>
          <w:color w:val="auto"/>
          <w:sz w:val="32"/>
          <w:szCs w:val="32"/>
          <w:highlight w:val="none"/>
          <w:lang w:val="en-US" w:eastAsia="zh-CN"/>
        </w:rPr>
        <w:t>经过集体经济组织的收益核算，可以进行分红的集体经济组织数量减少</w:t>
      </w:r>
      <w:r>
        <w:rPr>
          <w:rFonts w:hint="eastAsia" w:ascii="仿宋_GB2312" w:eastAsia="仿宋_GB2312"/>
          <w:b w:val="0"/>
          <w:bCs/>
          <w:color w:val="auto"/>
          <w:sz w:val="32"/>
          <w:szCs w:val="32"/>
          <w:highlight w:val="none"/>
          <w:lang w:val="en-US" w:eastAsia="zh-CN"/>
        </w:rPr>
        <w:t>，导致没有完成计划数。</w:t>
      </w:r>
      <w:r>
        <w:rPr>
          <w:rFonts w:hint="eastAsia" w:ascii="仿宋_GB2312" w:eastAsia="仿宋_GB2312"/>
          <w:color w:val="auto"/>
          <w:sz w:val="32"/>
          <w:szCs w:val="32"/>
          <w:lang w:val="en-US" w:eastAsia="zh-CN"/>
        </w:rPr>
        <w:t xml:space="preserve">  </w:t>
      </w:r>
    </w:p>
    <w:p>
      <w:pPr>
        <w:pStyle w:val="3"/>
        <w:spacing w:line="570" w:lineRule="exact"/>
        <w:ind w:firstLine="640"/>
        <w:rPr>
          <w:rFonts w:ascii="仿宋_GB2312" w:eastAsia="仿宋_GB2312"/>
          <w:color w:val="auto"/>
          <w:spacing w:val="-4"/>
          <w:sz w:val="32"/>
          <w:szCs w:val="32"/>
          <w:lang w:eastAsia="zh-Hans"/>
        </w:rPr>
      </w:pPr>
      <w:r>
        <w:rPr>
          <w:rFonts w:hint="eastAsia" w:ascii="黑体" w:hAnsi="黑体"/>
          <w:b w:val="0"/>
          <w:color w:val="auto"/>
          <w:sz w:val="32"/>
          <w:szCs w:val="32"/>
          <w:lang w:val="en-US" w:eastAsia="zh-CN"/>
        </w:rPr>
        <w:t>六</w:t>
      </w:r>
      <w:r>
        <w:rPr>
          <w:rFonts w:hint="eastAsia" w:ascii="黑体" w:hAnsi="黑体"/>
          <w:b w:val="0"/>
          <w:color w:val="auto"/>
          <w:sz w:val="32"/>
          <w:szCs w:val="32"/>
        </w:rPr>
        <w:t>、改进措施和建议</w:t>
      </w:r>
    </w:p>
    <w:p>
      <w:pPr>
        <w:pStyle w:val="2"/>
        <w:numPr>
          <w:ilvl w:val="0"/>
          <w:numId w:val="0"/>
        </w:numPr>
        <w:spacing w:line="570" w:lineRule="exact"/>
        <w:ind w:firstLine="643" w:firstLineChars="200"/>
        <w:rPr>
          <w:rFonts w:ascii="楷体_GB2312" w:hAnsi="楷体_GB2312" w:eastAsia="楷体_GB2312" w:cs="楷体_GB2312"/>
          <w:color w:val="auto"/>
          <w:sz w:val="32"/>
          <w:lang w:eastAsia="zh-Hans"/>
        </w:rPr>
      </w:pPr>
      <w:r>
        <w:rPr>
          <w:rFonts w:hint="eastAsia" w:ascii="楷体_GB2312" w:hAnsi="楷体_GB2312" w:eastAsia="楷体_GB2312" w:cs="楷体_GB2312"/>
          <w:color w:val="auto"/>
          <w:sz w:val="32"/>
          <w:lang w:val="en-US" w:eastAsia="zh-CN"/>
        </w:rPr>
        <w:t>(一）</w:t>
      </w:r>
      <w:r>
        <w:rPr>
          <w:rFonts w:hint="eastAsia" w:ascii="楷体_GB2312" w:hAnsi="楷体_GB2312" w:eastAsia="楷体_GB2312" w:cs="楷体_GB2312"/>
          <w:color w:val="auto"/>
          <w:sz w:val="32"/>
          <w:lang w:eastAsia="zh-Hans"/>
        </w:rPr>
        <w:t>改进措施</w:t>
      </w:r>
    </w:p>
    <w:p>
      <w:pPr>
        <w:pStyle w:val="16"/>
        <w:numPr>
          <w:ilvl w:val="0"/>
          <w:numId w:val="6"/>
        </w:numPr>
        <w:snapToGrid w:val="0"/>
        <w:spacing w:line="570" w:lineRule="exact"/>
        <w:ind w:firstLine="624"/>
        <w:rPr>
          <w:rStyle w:val="14"/>
          <w:rFonts w:hint="eastAsia" w:ascii="仿宋_GB2312" w:hAnsi="仿宋_GB2312" w:eastAsia="仿宋_GB2312" w:cs="仿宋_GB2312"/>
          <w:b w:val="0"/>
          <w:bCs w:val="0"/>
          <w:color w:val="auto"/>
          <w:spacing w:val="-4"/>
          <w:sz w:val="32"/>
          <w:szCs w:val="32"/>
          <w:lang w:val="en-US" w:eastAsia="zh-CN"/>
        </w:rPr>
      </w:pPr>
      <w:r>
        <w:rPr>
          <w:rStyle w:val="14"/>
          <w:rFonts w:hint="eastAsia" w:ascii="仿宋_GB2312" w:hAnsi="仿宋_GB2312" w:eastAsia="仿宋_GB2312" w:cs="仿宋_GB2312"/>
          <w:b w:val="0"/>
          <w:bCs w:val="0"/>
          <w:color w:val="auto"/>
          <w:spacing w:val="-4"/>
          <w:sz w:val="32"/>
          <w:szCs w:val="32"/>
          <w:lang w:val="en-US" w:eastAsia="zh-CN"/>
        </w:rPr>
        <w:t>完整准确编制预算内容，按照单位收入和支出，编细编准支出的功能分类、经济分类及预算金额等内容，使预算编制更加完整、准确。同时为绩效目标提供准确的依据。</w:t>
      </w:r>
    </w:p>
    <w:p>
      <w:pPr>
        <w:pStyle w:val="16"/>
        <w:snapToGrid w:val="0"/>
        <w:spacing w:line="570" w:lineRule="exact"/>
        <w:ind w:firstLine="624"/>
        <w:rPr>
          <w:rStyle w:val="14"/>
          <w:rFonts w:hint="eastAsia" w:ascii="仿宋_GB2312" w:hAnsi="仿宋_GB2312" w:eastAsia="仿宋_GB2312" w:cs="仿宋_GB2312"/>
          <w:b w:val="0"/>
          <w:bCs w:val="0"/>
          <w:color w:val="auto"/>
          <w:spacing w:val="-4"/>
          <w:sz w:val="32"/>
          <w:szCs w:val="32"/>
        </w:rPr>
      </w:pPr>
      <w:r>
        <w:rPr>
          <w:rStyle w:val="14"/>
          <w:rFonts w:ascii="仿宋_GB2312" w:hAnsi="仿宋_GB2312" w:eastAsia="仿宋_GB2312" w:cs="仿宋_GB2312"/>
          <w:b w:val="0"/>
          <w:bCs w:val="0"/>
          <w:color w:val="auto"/>
          <w:spacing w:val="-4"/>
          <w:sz w:val="32"/>
          <w:szCs w:val="32"/>
        </w:rPr>
        <w:t xml:space="preserve"> </w:t>
      </w:r>
      <w:r>
        <w:rPr>
          <w:rStyle w:val="14"/>
          <w:rFonts w:hint="eastAsia" w:ascii="仿宋_GB2312" w:hAnsi="仿宋_GB2312" w:eastAsia="仿宋_GB2312" w:cs="仿宋_GB2312"/>
          <w:b w:val="0"/>
          <w:bCs w:val="0"/>
          <w:color w:val="auto"/>
          <w:spacing w:val="-4"/>
          <w:sz w:val="32"/>
          <w:szCs w:val="32"/>
          <w:lang w:val="en-US" w:eastAsia="zh-CN"/>
        </w:rPr>
        <w:t>2</w:t>
      </w:r>
      <w:r>
        <w:rPr>
          <w:rStyle w:val="14"/>
          <w:rFonts w:hint="eastAsia" w:ascii="仿宋_GB2312" w:hAnsi="仿宋_GB2312" w:eastAsia="仿宋_GB2312" w:cs="仿宋_GB2312"/>
          <w:b w:val="0"/>
          <w:bCs w:val="0"/>
          <w:color w:val="auto"/>
          <w:spacing w:val="-4"/>
          <w:sz w:val="32"/>
          <w:szCs w:val="32"/>
        </w:rPr>
        <w:t>.</w:t>
      </w:r>
      <w:r>
        <w:rPr>
          <w:rStyle w:val="14"/>
          <w:rFonts w:hint="eastAsia" w:ascii="仿宋_GB2312" w:hAnsi="仿宋_GB2312" w:eastAsia="仿宋_GB2312" w:cs="仿宋_GB2312"/>
          <w:b w:val="0"/>
          <w:bCs w:val="0"/>
          <w:color w:val="auto"/>
          <w:spacing w:val="-4"/>
          <w:sz w:val="32"/>
          <w:szCs w:val="32"/>
          <w:lang w:eastAsia="zh-CN"/>
        </w:rPr>
        <w:t>提升指标设置的全面性、准确性。</w:t>
      </w:r>
      <w:r>
        <w:rPr>
          <w:rStyle w:val="14"/>
          <w:rFonts w:hint="eastAsia" w:ascii="仿宋_GB2312" w:hAnsi="仿宋_GB2312" w:eastAsia="仿宋_GB2312" w:cs="仿宋_GB2312"/>
          <w:b w:val="0"/>
          <w:bCs w:val="0"/>
          <w:color w:val="auto"/>
          <w:spacing w:val="-4"/>
          <w:sz w:val="32"/>
          <w:szCs w:val="32"/>
        </w:rPr>
        <w:t>通过设定明确可衡量的绩效目标，更清楚地了解资金支出所要取得的社会和经济效益，对预算执行情况进行分析，准确做好各项资金测算，合理安排收支预算。</w:t>
      </w:r>
    </w:p>
    <w:p>
      <w:pPr>
        <w:pStyle w:val="16"/>
        <w:snapToGrid w:val="0"/>
        <w:spacing w:line="570" w:lineRule="exact"/>
        <w:ind w:firstLine="624"/>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val="en-US" w:eastAsia="zh-CN"/>
        </w:rPr>
        <w:t>3</w:t>
      </w:r>
      <w:r>
        <w:rPr>
          <w:rStyle w:val="14"/>
          <w:rFonts w:hint="eastAsia" w:ascii="仿宋_GB2312" w:hAnsi="仿宋_GB2312" w:eastAsia="仿宋_GB2312" w:cs="仿宋_GB2312"/>
          <w:b w:val="0"/>
          <w:bCs w:val="0"/>
          <w:color w:val="auto"/>
          <w:spacing w:val="-4"/>
          <w:sz w:val="32"/>
          <w:szCs w:val="32"/>
        </w:rPr>
        <w:t>.</w:t>
      </w:r>
      <w:r>
        <w:rPr>
          <w:rStyle w:val="14"/>
          <w:rFonts w:hint="eastAsia" w:ascii="仿宋_GB2312" w:hAnsi="仿宋_GB2312" w:eastAsia="仿宋_GB2312" w:cs="仿宋_GB2312"/>
          <w:b w:val="0"/>
          <w:bCs w:val="0"/>
          <w:color w:val="auto"/>
          <w:spacing w:val="-4"/>
          <w:sz w:val="32"/>
          <w:szCs w:val="32"/>
          <w:lang w:eastAsia="zh-CN"/>
        </w:rPr>
        <w:t>提升绩效指标的规范性和可操作性，</w:t>
      </w:r>
      <w:r>
        <w:rPr>
          <w:rStyle w:val="14"/>
          <w:rFonts w:hint="eastAsia" w:ascii="仿宋_GB2312" w:hAnsi="仿宋_GB2312" w:eastAsia="仿宋_GB2312" w:cs="仿宋_GB2312"/>
          <w:b w:val="0"/>
          <w:bCs w:val="0"/>
          <w:color w:val="auto"/>
          <w:spacing w:val="-4"/>
          <w:sz w:val="32"/>
          <w:szCs w:val="32"/>
        </w:rPr>
        <w:t>通过绩效评价，</w:t>
      </w:r>
      <w:r>
        <w:rPr>
          <w:rStyle w:val="14"/>
          <w:rFonts w:hint="eastAsia" w:ascii="仿宋_GB2312" w:hAnsi="仿宋_GB2312" w:eastAsia="仿宋_GB2312" w:cs="仿宋_GB2312"/>
          <w:b w:val="0"/>
          <w:bCs w:val="0"/>
          <w:color w:val="auto"/>
          <w:spacing w:val="-4"/>
          <w:sz w:val="32"/>
          <w:szCs w:val="32"/>
          <w:lang w:eastAsia="zh-CN"/>
        </w:rPr>
        <w:t>对</w:t>
      </w:r>
      <w:r>
        <w:rPr>
          <w:rStyle w:val="14"/>
          <w:rFonts w:hint="eastAsia" w:ascii="仿宋_GB2312" w:hAnsi="仿宋_GB2312" w:eastAsia="仿宋_GB2312" w:cs="仿宋_GB2312"/>
          <w:b w:val="0"/>
          <w:bCs w:val="0"/>
          <w:color w:val="auto"/>
          <w:spacing w:val="-4"/>
          <w:sz w:val="32"/>
          <w:szCs w:val="32"/>
        </w:rPr>
        <w:t>绩效目标实际完成情况和取得的成效</w:t>
      </w:r>
      <w:r>
        <w:rPr>
          <w:rStyle w:val="14"/>
          <w:rFonts w:hint="eastAsia" w:ascii="仿宋_GB2312" w:hAnsi="仿宋_GB2312" w:eastAsia="仿宋_GB2312" w:cs="仿宋_GB2312"/>
          <w:b w:val="0"/>
          <w:bCs w:val="0"/>
          <w:color w:val="auto"/>
          <w:spacing w:val="-4"/>
          <w:sz w:val="32"/>
          <w:szCs w:val="32"/>
          <w:lang w:eastAsia="zh-CN"/>
        </w:rPr>
        <w:t>给予评价</w:t>
      </w:r>
      <w:r>
        <w:rPr>
          <w:rStyle w:val="14"/>
          <w:rFonts w:hint="eastAsia" w:ascii="仿宋_GB2312" w:hAnsi="仿宋_GB2312" w:eastAsia="仿宋_GB2312" w:cs="仿宋_GB2312"/>
          <w:b w:val="0"/>
          <w:bCs w:val="0"/>
          <w:color w:val="auto"/>
          <w:spacing w:val="-4"/>
          <w:sz w:val="32"/>
          <w:szCs w:val="32"/>
        </w:rPr>
        <w:t>，在一定程度上强化了单位整体和各部门的自我约束意识和责任意识。</w:t>
      </w:r>
    </w:p>
    <w:p>
      <w:pPr>
        <w:pStyle w:val="16"/>
        <w:snapToGrid w:val="0"/>
        <w:spacing w:line="570" w:lineRule="exact"/>
        <w:ind w:firstLine="624"/>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val="en-US" w:eastAsia="zh-CN"/>
        </w:rPr>
        <w:t>4</w:t>
      </w:r>
      <w:r>
        <w:rPr>
          <w:rStyle w:val="14"/>
          <w:rFonts w:hint="eastAsia" w:ascii="仿宋_GB2312" w:hAnsi="仿宋_GB2312" w:eastAsia="仿宋_GB2312" w:cs="仿宋_GB2312"/>
          <w:b w:val="0"/>
          <w:bCs w:val="0"/>
          <w:color w:val="auto"/>
          <w:spacing w:val="-4"/>
          <w:sz w:val="32"/>
          <w:szCs w:val="32"/>
        </w:rPr>
        <w:t>.</w:t>
      </w:r>
      <w:r>
        <w:rPr>
          <w:rStyle w:val="14"/>
          <w:rFonts w:hint="eastAsia" w:ascii="仿宋_GB2312" w:hAnsi="仿宋_GB2312" w:eastAsia="仿宋_GB2312" w:cs="仿宋_GB2312"/>
          <w:b w:val="0"/>
          <w:bCs w:val="0"/>
          <w:color w:val="auto"/>
          <w:spacing w:val="-4"/>
          <w:sz w:val="32"/>
          <w:szCs w:val="32"/>
          <w:lang w:eastAsia="zh-CN"/>
        </w:rPr>
        <w:t>进一步</w:t>
      </w:r>
      <w:r>
        <w:rPr>
          <w:rStyle w:val="14"/>
          <w:rFonts w:hint="eastAsia" w:ascii="仿宋_GB2312" w:hAnsi="仿宋_GB2312" w:eastAsia="仿宋_GB2312" w:cs="仿宋_GB2312"/>
          <w:b w:val="0"/>
          <w:bCs w:val="0"/>
          <w:color w:val="auto"/>
          <w:spacing w:val="-4"/>
          <w:sz w:val="32"/>
          <w:szCs w:val="32"/>
        </w:rPr>
        <w:t>提高资金的使用效益。</w:t>
      </w:r>
      <w:r>
        <w:rPr>
          <w:rStyle w:val="14"/>
          <w:rFonts w:hint="eastAsia" w:ascii="仿宋_GB2312" w:hAnsi="仿宋_GB2312" w:eastAsia="仿宋_GB2312" w:cs="仿宋_GB2312"/>
          <w:b w:val="0"/>
          <w:bCs w:val="0"/>
          <w:color w:val="auto"/>
          <w:spacing w:val="-4"/>
          <w:sz w:val="32"/>
          <w:szCs w:val="32"/>
          <w:lang w:val="en-US" w:eastAsia="zh-CN"/>
        </w:rPr>
        <w:t>单位将</w:t>
      </w:r>
      <w:r>
        <w:rPr>
          <w:rStyle w:val="14"/>
          <w:rFonts w:hint="eastAsia" w:ascii="仿宋_GB2312" w:hAnsi="仿宋_GB2312" w:eastAsia="仿宋_GB2312" w:cs="仿宋_GB2312"/>
          <w:b w:val="0"/>
          <w:bCs w:val="0"/>
          <w:color w:val="auto"/>
          <w:spacing w:val="-4"/>
          <w:sz w:val="32"/>
          <w:szCs w:val="32"/>
        </w:rPr>
        <w:t>以工作实际需求为依据，预算编制与工作实际相结合，提高预算编制的科学性和准确性，优化支出结构，减少支出的随意性和盲目性。</w:t>
      </w:r>
    </w:p>
    <w:p>
      <w:pPr>
        <w:pStyle w:val="16"/>
        <w:snapToGrid w:val="0"/>
        <w:spacing w:line="570" w:lineRule="exact"/>
        <w:ind w:firstLine="624"/>
        <w:rPr>
          <w:rStyle w:val="14"/>
          <w:rFonts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val="en-US" w:eastAsia="zh-CN"/>
        </w:rPr>
        <w:t>5</w:t>
      </w:r>
      <w:r>
        <w:rPr>
          <w:rStyle w:val="14"/>
          <w:rFonts w:ascii="仿宋_GB2312" w:hAnsi="仿宋_GB2312" w:eastAsia="仿宋_GB2312" w:cs="仿宋_GB2312"/>
          <w:b w:val="0"/>
          <w:bCs w:val="0"/>
          <w:color w:val="auto"/>
          <w:spacing w:val="-4"/>
          <w:sz w:val="32"/>
          <w:szCs w:val="32"/>
        </w:rPr>
        <w:t>.</w:t>
      </w:r>
      <w:r>
        <w:rPr>
          <w:rStyle w:val="14"/>
          <w:rFonts w:hint="eastAsia" w:ascii="仿宋_GB2312" w:hAnsi="仿宋_GB2312" w:eastAsia="仿宋_GB2312" w:cs="仿宋_GB2312"/>
          <w:b w:val="0"/>
          <w:bCs w:val="0"/>
          <w:color w:val="auto"/>
          <w:spacing w:val="-4"/>
          <w:sz w:val="32"/>
          <w:szCs w:val="32"/>
          <w:lang w:eastAsia="zh-CN"/>
        </w:rPr>
        <w:t>及时</w:t>
      </w:r>
      <w:r>
        <w:rPr>
          <w:rStyle w:val="14"/>
          <w:rFonts w:hint="eastAsia" w:ascii="仿宋_GB2312" w:hAnsi="仿宋_GB2312" w:eastAsia="仿宋_GB2312" w:cs="仿宋_GB2312"/>
          <w:b w:val="0"/>
          <w:bCs w:val="0"/>
          <w:color w:val="auto"/>
          <w:spacing w:val="-4"/>
          <w:sz w:val="32"/>
          <w:szCs w:val="32"/>
        </w:rPr>
        <w:t>统筹协调部门内部的资金需求和经费分配，通过分清轻重缓急，突出重点，合理保障部门运行及各项财政工作的顺利开展。</w:t>
      </w:r>
    </w:p>
    <w:p>
      <w:pPr>
        <w:pStyle w:val="2"/>
        <w:numPr>
          <w:ilvl w:val="0"/>
          <w:numId w:val="7"/>
        </w:numPr>
        <w:spacing w:line="570" w:lineRule="exact"/>
        <w:ind w:firstLine="643"/>
        <w:rPr>
          <w:rFonts w:ascii="楷体_GB2312" w:hAnsi="楷体_GB2312" w:eastAsia="楷体_GB2312" w:cs="楷体_GB2312"/>
          <w:color w:val="auto"/>
          <w:sz w:val="32"/>
          <w:lang w:eastAsia="zh-Hans"/>
        </w:rPr>
      </w:pPr>
      <w:r>
        <w:rPr>
          <w:rFonts w:hint="eastAsia" w:ascii="楷体_GB2312" w:hAnsi="楷体_GB2312" w:eastAsia="楷体_GB2312" w:cs="楷体_GB2312"/>
          <w:color w:val="auto"/>
          <w:sz w:val="32"/>
          <w:lang w:eastAsia="zh-Hans"/>
        </w:rPr>
        <w:t>建议</w:t>
      </w:r>
    </w:p>
    <w:p>
      <w:pPr>
        <w:pStyle w:val="16"/>
        <w:numPr>
          <w:ilvl w:val="0"/>
          <w:numId w:val="8"/>
        </w:numPr>
        <w:snapToGrid w:val="0"/>
        <w:spacing w:line="570" w:lineRule="exact"/>
        <w:ind w:firstLine="624"/>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eastAsia="zh-CN"/>
        </w:rPr>
        <w:t>建议加强</w:t>
      </w:r>
      <w:r>
        <w:rPr>
          <w:rStyle w:val="14"/>
          <w:rFonts w:hint="eastAsia" w:ascii="仿宋_GB2312" w:hAnsi="仿宋_GB2312" w:eastAsia="仿宋_GB2312" w:cs="仿宋_GB2312"/>
          <w:b w:val="0"/>
          <w:bCs w:val="0"/>
          <w:color w:val="auto"/>
          <w:spacing w:val="-4"/>
          <w:sz w:val="32"/>
          <w:szCs w:val="32"/>
        </w:rPr>
        <w:t>对单位</w:t>
      </w:r>
      <w:r>
        <w:rPr>
          <w:rStyle w:val="14"/>
          <w:rFonts w:hint="eastAsia" w:ascii="仿宋_GB2312" w:hAnsi="仿宋_GB2312" w:eastAsia="仿宋_GB2312" w:cs="仿宋_GB2312"/>
          <w:b w:val="0"/>
          <w:bCs w:val="0"/>
          <w:color w:val="auto"/>
          <w:spacing w:val="-4"/>
          <w:sz w:val="32"/>
          <w:szCs w:val="32"/>
          <w:lang w:eastAsia="zh-CN"/>
        </w:rPr>
        <w:t>负责人员、</w:t>
      </w:r>
      <w:r>
        <w:rPr>
          <w:rStyle w:val="14"/>
          <w:rFonts w:hint="eastAsia" w:ascii="仿宋_GB2312" w:hAnsi="仿宋_GB2312" w:eastAsia="仿宋_GB2312" w:cs="仿宋_GB2312"/>
          <w:b w:val="0"/>
          <w:bCs w:val="0"/>
          <w:color w:val="auto"/>
          <w:spacing w:val="-4"/>
          <w:sz w:val="32"/>
          <w:szCs w:val="32"/>
        </w:rPr>
        <w:t>财务人员、业务科室人员</w:t>
      </w:r>
      <w:r>
        <w:rPr>
          <w:rStyle w:val="14"/>
          <w:rFonts w:hint="eastAsia" w:ascii="仿宋_GB2312" w:hAnsi="仿宋_GB2312" w:eastAsia="仿宋_GB2312" w:cs="仿宋_GB2312"/>
          <w:b w:val="0"/>
          <w:bCs w:val="0"/>
          <w:color w:val="auto"/>
          <w:spacing w:val="-4"/>
          <w:sz w:val="32"/>
          <w:szCs w:val="32"/>
          <w:lang w:eastAsia="zh-CN"/>
        </w:rPr>
        <w:t>及项目负责人</w:t>
      </w:r>
      <w:r>
        <w:rPr>
          <w:rStyle w:val="14"/>
          <w:rFonts w:hint="eastAsia" w:ascii="仿宋_GB2312" w:hAnsi="仿宋_GB2312" w:eastAsia="仿宋_GB2312" w:cs="仿宋_GB2312"/>
          <w:b w:val="0"/>
          <w:bCs w:val="0"/>
          <w:color w:val="auto"/>
          <w:spacing w:val="-4"/>
          <w:sz w:val="32"/>
          <w:szCs w:val="32"/>
        </w:rPr>
        <w:t>进行集中培训，提高本单位工作人员的绩效管理能力和工作水平，为预算绩效管理相关工作的顺利开展提供保障。</w:t>
      </w:r>
    </w:p>
    <w:p>
      <w:pPr>
        <w:pStyle w:val="16"/>
        <w:numPr>
          <w:ilvl w:val="0"/>
          <w:numId w:val="8"/>
        </w:numPr>
        <w:snapToGrid w:val="0"/>
        <w:spacing w:line="570" w:lineRule="exact"/>
        <w:ind w:firstLine="624"/>
        <w:rPr>
          <w:rStyle w:val="14"/>
          <w:rFonts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eastAsia="zh-CN"/>
        </w:rPr>
        <w:t>建议</w:t>
      </w:r>
      <w:r>
        <w:rPr>
          <w:rStyle w:val="14"/>
          <w:rFonts w:hint="eastAsia" w:ascii="仿宋_GB2312" w:hAnsi="仿宋_GB2312" w:eastAsia="仿宋_GB2312" w:cs="仿宋_GB2312"/>
          <w:b w:val="0"/>
          <w:bCs w:val="0"/>
          <w:color w:val="auto"/>
          <w:spacing w:val="-4"/>
          <w:sz w:val="32"/>
          <w:szCs w:val="32"/>
        </w:rPr>
        <w:t>强化预算绩效执行工作，指定专人负责预算执行监督管理，</w:t>
      </w:r>
      <w:r>
        <w:rPr>
          <w:rStyle w:val="14"/>
          <w:rFonts w:hint="eastAsia" w:ascii="仿宋_GB2312" w:hAnsi="仿宋_GB2312" w:eastAsia="仿宋_GB2312" w:cs="仿宋_GB2312"/>
          <w:b w:val="0"/>
          <w:bCs w:val="0"/>
          <w:color w:val="auto"/>
          <w:spacing w:val="-4"/>
          <w:sz w:val="32"/>
          <w:szCs w:val="32"/>
          <w:lang w:eastAsia="zh-CN"/>
        </w:rPr>
        <w:t>将预算执行的情况及取得效益及时进行反馈，</w:t>
      </w:r>
      <w:r>
        <w:rPr>
          <w:rStyle w:val="14"/>
          <w:rFonts w:hint="eastAsia" w:ascii="仿宋_GB2312" w:hAnsi="仿宋_GB2312" w:eastAsia="仿宋_GB2312" w:cs="仿宋_GB2312"/>
          <w:b w:val="0"/>
          <w:bCs w:val="0"/>
          <w:color w:val="auto"/>
          <w:spacing w:val="-4"/>
          <w:sz w:val="32"/>
          <w:szCs w:val="32"/>
        </w:rPr>
        <w:t>进一步推动预算绩效管理工作。</w:t>
      </w:r>
    </w:p>
    <w:p>
      <w:pPr>
        <w:pStyle w:val="16"/>
        <w:snapToGrid w:val="0"/>
        <w:spacing w:line="570" w:lineRule="exact"/>
        <w:ind w:firstLine="624"/>
        <w:rPr>
          <w:rStyle w:val="14"/>
          <w:rFonts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rPr>
        <w:t>3</w:t>
      </w:r>
      <w:r>
        <w:rPr>
          <w:rStyle w:val="14"/>
          <w:rFonts w:ascii="仿宋_GB2312" w:hAnsi="仿宋_GB2312" w:eastAsia="仿宋_GB2312" w:cs="仿宋_GB2312"/>
          <w:b w:val="0"/>
          <w:bCs w:val="0"/>
          <w:color w:val="auto"/>
          <w:spacing w:val="-4"/>
          <w:sz w:val="32"/>
          <w:szCs w:val="32"/>
        </w:rPr>
        <w:t>.</w:t>
      </w:r>
      <w:r>
        <w:rPr>
          <w:rStyle w:val="14"/>
          <w:rFonts w:hint="eastAsia" w:ascii="仿宋_GB2312" w:hAnsi="仿宋_GB2312" w:eastAsia="仿宋_GB2312" w:cs="仿宋_GB2312"/>
          <w:b w:val="0"/>
          <w:bCs w:val="0"/>
          <w:color w:val="auto"/>
          <w:spacing w:val="-4"/>
          <w:sz w:val="32"/>
          <w:szCs w:val="32"/>
          <w:lang w:eastAsia="zh-CN"/>
        </w:rPr>
        <w:t>不断</w:t>
      </w:r>
      <w:r>
        <w:rPr>
          <w:rStyle w:val="14"/>
          <w:rFonts w:hint="eastAsia" w:ascii="仿宋_GB2312" w:hAnsi="仿宋_GB2312" w:eastAsia="仿宋_GB2312" w:cs="仿宋_GB2312"/>
          <w:b w:val="0"/>
          <w:bCs w:val="0"/>
          <w:color w:val="auto"/>
          <w:spacing w:val="-4"/>
          <w:sz w:val="32"/>
          <w:szCs w:val="32"/>
        </w:rPr>
        <w:t>完善资产管理</w:t>
      </w:r>
      <w:r>
        <w:rPr>
          <w:rStyle w:val="14"/>
          <w:rFonts w:hint="eastAsia" w:ascii="仿宋_GB2312" w:hAnsi="仿宋_GB2312" w:eastAsia="仿宋_GB2312" w:cs="仿宋_GB2312"/>
          <w:b w:val="0"/>
          <w:bCs w:val="0"/>
          <w:color w:val="auto"/>
          <w:spacing w:val="-4"/>
          <w:sz w:val="32"/>
          <w:szCs w:val="32"/>
          <w:lang w:eastAsia="zh-CN"/>
        </w:rPr>
        <w:t>工作</w:t>
      </w:r>
      <w:r>
        <w:rPr>
          <w:rStyle w:val="14"/>
          <w:rFonts w:hint="eastAsia" w:ascii="仿宋_GB2312" w:hAnsi="仿宋_GB2312" w:eastAsia="仿宋_GB2312" w:cs="仿宋_GB2312"/>
          <w:b w:val="0"/>
          <w:bCs w:val="0"/>
          <w:color w:val="auto"/>
          <w:spacing w:val="-4"/>
          <w:sz w:val="32"/>
          <w:szCs w:val="32"/>
        </w:rPr>
        <w:t>，抓好“三公”经费控制。严格编制政府采购</w:t>
      </w:r>
      <w:r>
        <w:rPr>
          <w:rStyle w:val="14"/>
          <w:rFonts w:hint="eastAsia" w:ascii="仿宋_GB2312" w:hAnsi="仿宋_GB2312" w:eastAsia="仿宋_GB2312" w:cs="仿宋_GB2312"/>
          <w:b w:val="0"/>
          <w:bCs w:val="0"/>
          <w:color w:val="auto"/>
          <w:spacing w:val="-4"/>
          <w:sz w:val="32"/>
          <w:szCs w:val="32"/>
          <w:lang w:eastAsia="zh-CN"/>
        </w:rPr>
        <w:t>的</w:t>
      </w:r>
      <w:r>
        <w:rPr>
          <w:rStyle w:val="14"/>
          <w:rFonts w:hint="eastAsia" w:ascii="仿宋_GB2312" w:hAnsi="仿宋_GB2312" w:eastAsia="仿宋_GB2312" w:cs="仿宋_GB2312"/>
          <w:b w:val="0"/>
          <w:bCs w:val="0"/>
          <w:color w:val="auto"/>
          <w:spacing w:val="-4"/>
          <w:sz w:val="32"/>
          <w:szCs w:val="32"/>
        </w:rPr>
        <w:t>年初预算和计划，</w:t>
      </w:r>
      <w:r>
        <w:rPr>
          <w:rStyle w:val="14"/>
          <w:rFonts w:hint="eastAsia" w:ascii="仿宋_GB2312" w:hAnsi="仿宋_GB2312" w:eastAsia="仿宋_GB2312" w:cs="仿宋_GB2312"/>
          <w:b w:val="0"/>
          <w:bCs w:val="0"/>
          <w:color w:val="auto"/>
          <w:spacing w:val="-4"/>
          <w:sz w:val="32"/>
          <w:szCs w:val="32"/>
          <w:lang w:eastAsia="zh-CN"/>
        </w:rPr>
        <w:t>规范</w:t>
      </w:r>
      <w:r>
        <w:rPr>
          <w:rStyle w:val="14"/>
          <w:rFonts w:hint="eastAsia" w:ascii="仿宋_GB2312" w:hAnsi="仿宋_GB2312" w:eastAsia="仿宋_GB2312" w:cs="仿宋_GB2312"/>
          <w:b w:val="0"/>
          <w:bCs w:val="0"/>
          <w:color w:val="auto"/>
          <w:spacing w:val="-4"/>
          <w:sz w:val="32"/>
          <w:szCs w:val="32"/>
        </w:rPr>
        <w:t>资产采购制度、使用管理制度、资产处置和报废审批制度等，加强单位内部的资产管理工作。进一步细化“三公”经费的管理，合理压缩“三公”经费支出</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rPr>
        <w:t>严把“三公”经费支出的审核、审批，杜绝挪用和挤占其他预算资金行为。</w:t>
      </w:r>
    </w:p>
    <w:p>
      <w:pPr>
        <w:pStyle w:val="16"/>
        <w:snapToGrid w:val="0"/>
        <w:spacing w:line="570" w:lineRule="exact"/>
        <w:ind w:firstLine="624"/>
        <w:rPr>
          <w:rStyle w:val="14"/>
          <w:rFonts w:ascii="仿宋_GB2312" w:hAnsi="仿宋_GB2312" w:eastAsia="仿宋_GB2312" w:cs="仿宋_GB2312"/>
          <w:b w:val="0"/>
          <w:bCs w:val="0"/>
          <w:color w:val="auto"/>
          <w:spacing w:val="-4"/>
          <w:sz w:val="32"/>
          <w:szCs w:val="32"/>
        </w:rPr>
      </w:pPr>
      <w:r>
        <w:rPr>
          <w:rStyle w:val="14"/>
          <w:rFonts w:ascii="仿宋_GB2312" w:hAnsi="仿宋_GB2312" w:eastAsia="仿宋_GB2312" w:cs="仿宋_GB2312"/>
          <w:b w:val="0"/>
          <w:bCs w:val="0"/>
          <w:color w:val="auto"/>
          <w:spacing w:val="-4"/>
          <w:sz w:val="32"/>
          <w:szCs w:val="32"/>
        </w:rPr>
        <w:t>4.</w:t>
      </w:r>
      <w:r>
        <w:rPr>
          <w:rStyle w:val="14"/>
          <w:rFonts w:hint="eastAsia" w:ascii="仿宋_GB2312" w:hAnsi="仿宋_GB2312" w:eastAsia="仿宋_GB2312" w:cs="仿宋_GB2312"/>
          <w:b w:val="0"/>
          <w:bCs w:val="0"/>
          <w:color w:val="auto"/>
          <w:spacing w:val="-4"/>
          <w:sz w:val="32"/>
          <w:szCs w:val="32"/>
        </w:rPr>
        <w:t>在</w:t>
      </w:r>
      <w:r>
        <w:rPr>
          <w:rStyle w:val="14"/>
          <w:rFonts w:hint="eastAsia" w:ascii="仿宋_GB2312" w:hAnsi="仿宋_GB2312" w:eastAsia="仿宋_GB2312" w:cs="仿宋_GB2312"/>
          <w:b w:val="0"/>
          <w:bCs w:val="0"/>
          <w:color w:val="auto"/>
          <w:spacing w:val="-4"/>
          <w:sz w:val="32"/>
          <w:szCs w:val="32"/>
          <w:lang w:eastAsia="zh-CN"/>
        </w:rPr>
        <w:t>预算执行过程中，要在</w:t>
      </w:r>
      <w:r>
        <w:rPr>
          <w:rStyle w:val="14"/>
          <w:rFonts w:hint="eastAsia" w:ascii="仿宋_GB2312" w:hAnsi="仿宋_GB2312" w:eastAsia="仿宋_GB2312" w:cs="仿宋_GB2312"/>
          <w:b w:val="0"/>
          <w:bCs w:val="0"/>
          <w:color w:val="auto"/>
          <w:spacing w:val="-4"/>
          <w:sz w:val="32"/>
          <w:szCs w:val="32"/>
        </w:rPr>
        <w:t>保证资金安全的前提下加快资金支出进度，支出条件已经成熟的项目，</w:t>
      </w:r>
      <w:r>
        <w:rPr>
          <w:rStyle w:val="14"/>
          <w:rFonts w:hint="eastAsia" w:ascii="仿宋_GB2312" w:hAnsi="仿宋_GB2312" w:eastAsia="仿宋_GB2312" w:cs="仿宋_GB2312"/>
          <w:b w:val="0"/>
          <w:bCs w:val="0"/>
          <w:color w:val="auto"/>
          <w:spacing w:val="-4"/>
          <w:sz w:val="32"/>
          <w:szCs w:val="32"/>
          <w:lang w:eastAsia="zh-CN"/>
        </w:rPr>
        <w:t>及时协调，</w:t>
      </w:r>
      <w:r>
        <w:rPr>
          <w:rStyle w:val="14"/>
          <w:rFonts w:hint="eastAsia" w:ascii="仿宋_GB2312" w:hAnsi="仿宋_GB2312" w:eastAsia="仿宋_GB2312" w:cs="仿宋_GB2312"/>
          <w:b w:val="0"/>
          <w:bCs w:val="0"/>
          <w:color w:val="auto"/>
          <w:spacing w:val="-4"/>
          <w:sz w:val="32"/>
          <w:szCs w:val="32"/>
        </w:rPr>
        <w:t>抓紧报销，尽快形成有效支出。</w:t>
      </w:r>
    </w:p>
    <w:p>
      <w:pPr>
        <w:pStyle w:val="3"/>
        <w:spacing w:line="570" w:lineRule="exact"/>
        <w:ind w:firstLine="640"/>
        <w:rPr>
          <w:rFonts w:ascii="黑体" w:hAnsi="黑体"/>
          <w:b w:val="0"/>
          <w:color w:val="auto"/>
          <w:sz w:val="32"/>
          <w:szCs w:val="32"/>
        </w:rPr>
      </w:pPr>
      <w:r>
        <w:rPr>
          <w:rFonts w:hint="eastAsia" w:ascii="黑体" w:hAnsi="黑体"/>
          <w:b w:val="0"/>
          <w:color w:val="auto"/>
          <w:sz w:val="32"/>
          <w:szCs w:val="32"/>
          <w:lang w:val="en-US" w:eastAsia="zh-CN"/>
        </w:rPr>
        <w:t>七</w:t>
      </w:r>
      <w:r>
        <w:rPr>
          <w:rFonts w:hint="eastAsia" w:ascii="黑体" w:hAnsi="黑体"/>
          <w:b w:val="0"/>
          <w:color w:val="auto"/>
          <w:sz w:val="32"/>
          <w:szCs w:val="32"/>
        </w:rPr>
        <w:t>、附表</w:t>
      </w:r>
    </w:p>
    <w:p>
      <w:pPr>
        <w:spacing w:line="570" w:lineRule="exact"/>
        <w:ind w:firstLine="640"/>
        <w:rPr>
          <w:rFonts w:ascii="仿宋_GB2312" w:eastAsia="仿宋_GB2312"/>
          <w:color w:val="auto"/>
          <w:sz w:val="32"/>
          <w:szCs w:val="32"/>
        </w:rPr>
      </w:pPr>
      <w:r>
        <w:rPr>
          <w:rFonts w:hint="eastAsia" w:ascii="仿宋_GB2312" w:eastAsia="仿宋_GB2312"/>
          <w:color w:val="auto"/>
          <w:sz w:val="32"/>
          <w:szCs w:val="32"/>
        </w:rPr>
        <w:t>《部门整体支出绩效目标自评表》</w:t>
      </w:r>
    </w:p>
    <w:p>
      <w:pPr>
        <w:spacing w:line="570" w:lineRule="exact"/>
        <w:ind w:firstLine="640"/>
        <w:rPr>
          <w:rFonts w:ascii="仿宋_GB2312" w:eastAsia="仿宋_GB2312"/>
          <w:color w:val="auto"/>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A9698"/>
    <w:multiLevelType w:val="singleLevel"/>
    <w:tmpl w:val="AA8A9698"/>
    <w:lvl w:ilvl="0" w:tentative="0">
      <w:start w:val="1"/>
      <w:numFmt w:val="decimal"/>
      <w:lvlText w:val="%1."/>
      <w:lvlJc w:val="left"/>
      <w:pPr>
        <w:tabs>
          <w:tab w:val="left" w:pos="312"/>
        </w:tabs>
      </w:pPr>
    </w:lvl>
  </w:abstractNum>
  <w:abstractNum w:abstractNumId="1">
    <w:nsid w:val="B78FB2A2"/>
    <w:multiLevelType w:val="singleLevel"/>
    <w:tmpl w:val="B78FB2A2"/>
    <w:lvl w:ilvl="0" w:tentative="0">
      <w:start w:val="1"/>
      <w:numFmt w:val="decimal"/>
      <w:suff w:val="nothing"/>
      <w:lvlText w:val="%1、"/>
      <w:lvlJc w:val="left"/>
    </w:lvl>
  </w:abstractNum>
  <w:abstractNum w:abstractNumId="2">
    <w:nsid w:val="D35A7F3E"/>
    <w:multiLevelType w:val="singleLevel"/>
    <w:tmpl w:val="D35A7F3E"/>
    <w:lvl w:ilvl="0" w:tentative="0">
      <w:start w:val="2"/>
      <w:numFmt w:val="chineseCounting"/>
      <w:suff w:val="nothing"/>
      <w:lvlText w:val="（%1）"/>
      <w:lvlJc w:val="left"/>
      <w:rPr>
        <w:rFonts w:hint="eastAsia"/>
      </w:rPr>
    </w:lvl>
  </w:abstractNum>
  <w:abstractNum w:abstractNumId="3">
    <w:nsid w:val="EBF28373"/>
    <w:multiLevelType w:val="singleLevel"/>
    <w:tmpl w:val="EBF28373"/>
    <w:lvl w:ilvl="0" w:tentative="0">
      <w:start w:val="1"/>
      <w:numFmt w:val="decimal"/>
      <w:suff w:val="nothing"/>
      <w:lvlText w:val="%1、"/>
      <w:lvlJc w:val="left"/>
    </w:lvl>
  </w:abstractNum>
  <w:abstractNum w:abstractNumId="4">
    <w:nsid w:val="EFFE516D"/>
    <w:multiLevelType w:val="singleLevel"/>
    <w:tmpl w:val="EFFE516D"/>
    <w:lvl w:ilvl="0" w:tentative="0">
      <w:start w:val="2"/>
      <w:numFmt w:val="chineseCounting"/>
      <w:suff w:val="nothing"/>
      <w:lvlText w:val="（%1）"/>
      <w:lvlJc w:val="left"/>
      <w:rPr>
        <w:rFonts w:hint="eastAsia"/>
      </w:rPr>
    </w:lvl>
  </w:abstractNum>
  <w:abstractNum w:abstractNumId="5">
    <w:nsid w:val="FAAE98C6"/>
    <w:multiLevelType w:val="singleLevel"/>
    <w:tmpl w:val="FAAE98C6"/>
    <w:lvl w:ilvl="0" w:tentative="0">
      <w:start w:val="1"/>
      <w:numFmt w:val="decimal"/>
      <w:lvlText w:val="%1."/>
      <w:lvlJc w:val="left"/>
      <w:pPr>
        <w:tabs>
          <w:tab w:val="left" w:pos="312"/>
        </w:tabs>
      </w:pPr>
    </w:lvl>
  </w:abstractNum>
  <w:abstractNum w:abstractNumId="6">
    <w:nsid w:val="3F3F91C3"/>
    <w:multiLevelType w:val="singleLevel"/>
    <w:tmpl w:val="3F3F91C3"/>
    <w:lvl w:ilvl="0" w:tentative="0">
      <w:start w:val="4"/>
      <w:numFmt w:val="chineseCounting"/>
      <w:suff w:val="nothing"/>
      <w:lvlText w:val="%1、"/>
      <w:lvlJc w:val="left"/>
      <w:rPr>
        <w:rFonts w:hint="eastAsia"/>
      </w:rPr>
    </w:lvl>
  </w:abstractNum>
  <w:abstractNum w:abstractNumId="7">
    <w:nsid w:val="622ADB77"/>
    <w:multiLevelType w:val="singleLevel"/>
    <w:tmpl w:val="622ADB77"/>
    <w:lvl w:ilvl="0" w:tentative="0">
      <w:start w:val="1"/>
      <w:numFmt w:val="chineseCounting"/>
      <w:suff w:val="nothing"/>
      <w:lvlText w:val="（%1）"/>
      <w:lvlJc w:val="left"/>
    </w:lvl>
  </w:abstractNum>
  <w:num w:numId="1">
    <w:abstractNumId w:val="4"/>
  </w:num>
  <w:num w:numId="2">
    <w:abstractNumId w:val="6"/>
  </w:num>
  <w:num w:numId="3">
    <w:abstractNumId w:val="3"/>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D4A54"/>
    <w:rsid w:val="012D3D63"/>
    <w:rsid w:val="01330A6C"/>
    <w:rsid w:val="01487A18"/>
    <w:rsid w:val="01720865"/>
    <w:rsid w:val="0189003F"/>
    <w:rsid w:val="01AD3625"/>
    <w:rsid w:val="01C42D66"/>
    <w:rsid w:val="02C15BF6"/>
    <w:rsid w:val="03673532"/>
    <w:rsid w:val="0379691F"/>
    <w:rsid w:val="03BE7262"/>
    <w:rsid w:val="04313FCA"/>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4265AC"/>
    <w:rsid w:val="07BF737D"/>
    <w:rsid w:val="07CA63EE"/>
    <w:rsid w:val="07D07530"/>
    <w:rsid w:val="081465CD"/>
    <w:rsid w:val="08170519"/>
    <w:rsid w:val="08436556"/>
    <w:rsid w:val="0856616F"/>
    <w:rsid w:val="08622524"/>
    <w:rsid w:val="086A7EAD"/>
    <w:rsid w:val="08881A41"/>
    <w:rsid w:val="08AF0BCB"/>
    <w:rsid w:val="08E604A1"/>
    <w:rsid w:val="08EF03CC"/>
    <w:rsid w:val="092D6339"/>
    <w:rsid w:val="097A0CA3"/>
    <w:rsid w:val="09DA2AA5"/>
    <w:rsid w:val="0A570F00"/>
    <w:rsid w:val="0AA8200A"/>
    <w:rsid w:val="0AD23979"/>
    <w:rsid w:val="0AE14729"/>
    <w:rsid w:val="0B4635B9"/>
    <w:rsid w:val="0B6C582B"/>
    <w:rsid w:val="0B735A1E"/>
    <w:rsid w:val="0B927CE4"/>
    <w:rsid w:val="0BB6664C"/>
    <w:rsid w:val="0BCC05A7"/>
    <w:rsid w:val="0C1D3D6A"/>
    <w:rsid w:val="0C884375"/>
    <w:rsid w:val="0C8959A0"/>
    <w:rsid w:val="0C9B591B"/>
    <w:rsid w:val="0CC024A2"/>
    <w:rsid w:val="0CDD02FC"/>
    <w:rsid w:val="0CE67E95"/>
    <w:rsid w:val="0D2C01B6"/>
    <w:rsid w:val="0D5973A7"/>
    <w:rsid w:val="0D703DA4"/>
    <w:rsid w:val="0D706869"/>
    <w:rsid w:val="0D7C06D5"/>
    <w:rsid w:val="0D7C2CF2"/>
    <w:rsid w:val="0D9730F7"/>
    <w:rsid w:val="0DD643ED"/>
    <w:rsid w:val="0DF75868"/>
    <w:rsid w:val="0DFD248D"/>
    <w:rsid w:val="0E1400AD"/>
    <w:rsid w:val="0E343D9E"/>
    <w:rsid w:val="0E9E33B0"/>
    <w:rsid w:val="0EF905AA"/>
    <w:rsid w:val="0F140AC0"/>
    <w:rsid w:val="0F14215B"/>
    <w:rsid w:val="0F3C74C6"/>
    <w:rsid w:val="0FE06440"/>
    <w:rsid w:val="1021432E"/>
    <w:rsid w:val="1049193F"/>
    <w:rsid w:val="10566744"/>
    <w:rsid w:val="10625CF9"/>
    <w:rsid w:val="10950DBA"/>
    <w:rsid w:val="10B52A92"/>
    <w:rsid w:val="10D40475"/>
    <w:rsid w:val="113051CE"/>
    <w:rsid w:val="114E5553"/>
    <w:rsid w:val="1193547A"/>
    <w:rsid w:val="1199679A"/>
    <w:rsid w:val="11B513B1"/>
    <w:rsid w:val="11C51460"/>
    <w:rsid w:val="12160F32"/>
    <w:rsid w:val="129C5FBF"/>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3863C9"/>
    <w:rsid w:val="164D645C"/>
    <w:rsid w:val="167B52F3"/>
    <w:rsid w:val="16811A70"/>
    <w:rsid w:val="16D97F04"/>
    <w:rsid w:val="16DC79A8"/>
    <w:rsid w:val="16F4505A"/>
    <w:rsid w:val="17136C0E"/>
    <w:rsid w:val="17383D5F"/>
    <w:rsid w:val="175E1B82"/>
    <w:rsid w:val="177D3D5F"/>
    <w:rsid w:val="17C573FD"/>
    <w:rsid w:val="18142FD5"/>
    <w:rsid w:val="18647115"/>
    <w:rsid w:val="187B711C"/>
    <w:rsid w:val="18B44DAA"/>
    <w:rsid w:val="18C44CD5"/>
    <w:rsid w:val="191D76ED"/>
    <w:rsid w:val="193D3C42"/>
    <w:rsid w:val="195864BB"/>
    <w:rsid w:val="19B05D52"/>
    <w:rsid w:val="19FC0A98"/>
    <w:rsid w:val="1A0D43A0"/>
    <w:rsid w:val="1A45303F"/>
    <w:rsid w:val="1A50150C"/>
    <w:rsid w:val="1AE12836"/>
    <w:rsid w:val="1AE925F4"/>
    <w:rsid w:val="1B234950"/>
    <w:rsid w:val="1B2706B9"/>
    <w:rsid w:val="1B421E7E"/>
    <w:rsid w:val="1B64461F"/>
    <w:rsid w:val="1B6B7B31"/>
    <w:rsid w:val="1B9C3AE1"/>
    <w:rsid w:val="1C0E12CD"/>
    <w:rsid w:val="1C3C0819"/>
    <w:rsid w:val="1C5A6A79"/>
    <w:rsid w:val="1C5C2E96"/>
    <w:rsid w:val="1C603202"/>
    <w:rsid w:val="1C733C2F"/>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1FF15D17"/>
    <w:rsid w:val="200667A3"/>
    <w:rsid w:val="20173A7C"/>
    <w:rsid w:val="203B1607"/>
    <w:rsid w:val="20783813"/>
    <w:rsid w:val="20F25F2A"/>
    <w:rsid w:val="20F27184"/>
    <w:rsid w:val="212F5EEF"/>
    <w:rsid w:val="213A4AC2"/>
    <w:rsid w:val="218738BE"/>
    <w:rsid w:val="21B21339"/>
    <w:rsid w:val="21BF20AD"/>
    <w:rsid w:val="21C43928"/>
    <w:rsid w:val="21F330F9"/>
    <w:rsid w:val="22235E02"/>
    <w:rsid w:val="228C2437"/>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921DB3"/>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AC64E8"/>
    <w:rsid w:val="27C51152"/>
    <w:rsid w:val="280447C3"/>
    <w:rsid w:val="284171EC"/>
    <w:rsid w:val="286B4689"/>
    <w:rsid w:val="289C1702"/>
    <w:rsid w:val="289F2164"/>
    <w:rsid w:val="28B60026"/>
    <w:rsid w:val="29350CD3"/>
    <w:rsid w:val="29784CA5"/>
    <w:rsid w:val="29B80C93"/>
    <w:rsid w:val="29BB20D2"/>
    <w:rsid w:val="29CF28A0"/>
    <w:rsid w:val="29D44C7C"/>
    <w:rsid w:val="29F33C34"/>
    <w:rsid w:val="2A377B12"/>
    <w:rsid w:val="2A380298"/>
    <w:rsid w:val="2A7B46E1"/>
    <w:rsid w:val="2A886FA9"/>
    <w:rsid w:val="2AC64A60"/>
    <w:rsid w:val="2B992BA2"/>
    <w:rsid w:val="2C085CD5"/>
    <w:rsid w:val="2C5033C5"/>
    <w:rsid w:val="2C5C6A3E"/>
    <w:rsid w:val="2C757BAF"/>
    <w:rsid w:val="2C8606C5"/>
    <w:rsid w:val="2C8C2E69"/>
    <w:rsid w:val="2C974E3D"/>
    <w:rsid w:val="2CF51ED1"/>
    <w:rsid w:val="2D07338F"/>
    <w:rsid w:val="2D48136A"/>
    <w:rsid w:val="2DB93477"/>
    <w:rsid w:val="2DF65048"/>
    <w:rsid w:val="2E165B2D"/>
    <w:rsid w:val="2E9C69DA"/>
    <w:rsid w:val="2EE84ED3"/>
    <w:rsid w:val="2F047E61"/>
    <w:rsid w:val="2F062134"/>
    <w:rsid w:val="2F21289E"/>
    <w:rsid w:val="2F8507EF"/>
    <w:rsid w:val="2F912F13"/>
    <w:rsid w:val="2FC90BDA"/>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646085"/>
    <w:rsid w:val="38764896"/>
    <w:rsid w:val="388D632D"/>
    <w:rsid w:val="38962C73"/>
    <w:rsid w:val="38C05FA5"/>
    <w:rsid w:val="38CD3EED"/>
    <w:rsid w:val="38DF1F43"/>
    <w:rsid w:val="390339EB"/>
    <w:rsid w:val="39D66640"/>
    <w:rsid w:val="3A3453FF"/>
    <w:rsid w:val="3A5C0A17"/>
    <w:rsid w:val="3A8248E0"/>
    <w:rsid w:val="3ABF2E00"/>
    <w:rsid w:val="3AD31944"/>
    <w:rsid w:val="3AF76DD0"/>
    <w:rsid w:val="3AFB14C3"/>
    <w:rsid w:val="3B1D07BC"/>
    <w:rsid w:val="3B447872"/>
    <w:rsid w:val="3B474B41"/>
    <w:rsid w:val="3B541D9D"/>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5E261A"/>
    <w:rsid w:val="3F6903E9"/>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6F5DFF"/>
    <w:rsid w:val="417E6E96"/>
    <w:rsid w:val="41977304"/>
    <w:rsid w:val="41CD393D"/>
    <w:rsid w:val="41F949FB"/>
    <w:rsid w:val="421630C6"/>
    <w:rsid w:val="421A294E"/>
    <w:rsid w:val="422B5E31"/>
    <w:rsid w:val="4252595A"/>
    <w:rsid w:val="43826A74"/>
    <w:rsid w:val="4389139C"/>
    <w:rsid w:val="43B13E8D"/>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CC4C4C"/>
    <w:rsid w:val="45E33D03"/>
    <w:rsid w:val="460924FA"/>
    <w:rsid w:val="46751144"/>
    <w:rsid w:val="46D17A2C"/>
    <w:rsid w:val="470109B9"/>
    <w:rsid w:val="47067546"/>
    <w:rsid w:val="474801E9"/>
    <w:rsid w:val="477232C8"/>
    <w:rsid w:val="478C46CC"/>
    <w:rsid w:val="47AF67A7"/>
    <w:rsid w:val="47B339B4"/>
    <w:rsid w:val="47CB1091"/>
    <w:rsid w:val="47D53288"/>
    <w:rsid w:val="48035F02"/>
    <w:rsid w:val="4860434A"/>
    <w:rsid w:val="48D908C8"/>
    <w:rsid w:val="490010A1"/>
    <w:rsid w:val="493537CF"/>
    <w:rsid w:val="49460D45"/>
    <w:rsid w:val="49CC64EA"/>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D065C7"/>
    <w:rsid w:val="4ED60D0E"/>
    <w:rsid w:val="4F171965"/>
    <w:rsid w:val="4F5E0911"/>
    <w:rsid w:val="4F6C7D95"/>
    <w:rsid w:val="4F7B7863"/>
    <w:rsid w:val="4FBC77EB"/>
    <w:rsid w:val="4FBD4AFA"/>
    <w:rsid w:val="4FC11A35"/>
    <w:rsid w:val="50206576"/>
    <w:rsid w:val="50303A7C"/>
    <w:rsid w:val="50453781"/>
    <w:rsid w:val="50775F09"/>
    <w:rsid w:val="50A26FF3"/>
    <w:rsid w:val="50FD84BF"/>
    <w:rsid w:val="514B7BED"/>
    <w:rsid w:val="51525315"/>
    <w:rsid w:val="515C17D5"/>
    <w:rsid w:val="519223A8"/>
    <w:rsid w:val="51B45CF8"/>
    <w:rsid w:val="51CB5559"/>
    <w:rsid w:val="51F86C1A"/>
    <w:rsid w:val="520F3713"/>
    <w:rsid w:val="52CF7054"/>
    <w:rsid w:val="52EA6EF6"/>
    <w:rsid w:val="52FD6971"/>
    <w:rsid w:val="53223E56"/>
    <w:rsid w:val="53275AB8"/>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804E75"/>
    <w:rsid w:val="55A768F4"/>
    <w:rsid w:val="55B62452"/>
    <w:rsid w:val="55D74B67"/>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BC41DB"/>
    <w:rsid w:val="5BFF2AD9"/>
    <w:rsid w:val="5C016066"/>
    <w:rsid w:val="5C044AD5"/>
    <w:rsid w:val="5C1138CE"/>
    <w:rsid w:val="5C1459ED"/>
    <w:rsid w:val="5C1F1C2F"/>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CC33D8"/>
    <w:rsid w:val="5FFFCD3B"/>
    <w:rsid w:val="60033350"/>
    <w:rsid w:val="602266C7"/>
    <w:rsid w:val="603B7C36"/>
    <w:rsid w:val="60534AA3"/>
    <w:rsid w:val="60680187"/>
    <w:rsid w:val="60832CD9"/>
    <w:rsid w:val="60A664C2"/>
    <w:rsid w:val="60CB1B4D"/>
    <w:rsid w:val="60DC42D6"/>
    <w:rsid w:val="61217D14"/>
    <w:rsid w:val="613172F2"/>
    <w:rsid w:val="6142313B"/>
    <w:rsid w:val="614D3BC8"/>
    <w:rsid w:val="616B35FF"/>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0A4D29"/>
    <w:rsid w:val="652B7127"/>
    <w:rsid w:val="655C7259"/>
    <w:rsid w:val="656B579F"/>
    <w:rsid w:val="656E592B"/>
    <w:rsid w:val="65A165E9"/>
    <w:rsid w:val="65C14A06"/>
    <w:rsid w:val="65C15488"/>
    <w:rsid w:val="65FF5BB2"/>
    <w:rsid w:val="660D76B4"/>
    <w:rsid w:val="667136F9"/>
    <w:rsid w:val="66841ED9"/>
    <w:rsid w:val="66B24A2C"/>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7C687C"/>
    <w:rsid w:val="6A8028B4"/>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290B81"/>
    <w:rsid w:val="6C3E28BF"/>
    <w:rsid w:val="6C3F33CD"/>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9C5456"/>
    <w:rsid w:val="6FC83C68"/>
    <w:rsid w:val="6FCE226C"/>
    <w:rsid w:val="6FF67EDB"/>
    <w:rsid w:val="705047D3"/>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211079"/>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5FA48E0"/>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7D4385"/>
    <w:rsid w:val="799E36F7"/>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634CE1"/>
    <w:rsid w:val="7B7FD7CA"/>
    <w:rsid w:val="7B9C2512"/>
    <w:rsid w:val="7BBEA9F5"/>
    <w:rsid w:val="7BFB110F"/>
    <w:rsid w:val="7C0330F5"/>
    <w:rsid w:val="7C09409A"/>
    <w:rsid w:val="7C287D7E"/>
    <w:rsid w:val="7C3825FA"/>
    <w:rsid w:val="7C768B93"/>
    <w:rsid w:val="7CDD6E09"/>
    <w:rsid w:val="7D4B33BB"/>
    <w:rsid w:val="7D7C4CEA"/>
    <w:rsid w:val="7D866779"/>
    <w:rsid w:val="7D9F3F02"/>
    <w:rsid w:val="7DD74F11"/>
    <w:rsid w:val="7DFD3DE8"/>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20</Pages>
  <Words>8982</Words>
  <Characters>9460</Characters>
  <Lines>67</Lines>
  <Paragraphs>19</Paragraphs>
  <TotalTime>5584</TotalTime>
  <ScaleCrop>false</ScaleCrop>
  <LinksUpToDate>false</LinksUpToDate>
  <CharactersWithSpaces>9482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2025-02-24T04:38:53Z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6F8204887D6308FE9CA7B7650F36CEED_42</vt:lpwstr>
  </property>
</Properties>
</file>