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沙湾市农机技术推广站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（1）贯彻落实国家有关农机培训、推广方面的法律、法规和相关政策。</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（2）参与制定本地的农机化技术培训、推广计划并组织实施。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（3）指导下级农机培训机构及农机推广机构、群众性科技组织和农机技术人员的推广活动。</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（4）承担农机行政部门和上级机构下达的农机化技术培训及推广任务。</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（5）组织农机化新技术的专业培训</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（6）对适于本地应用的农业机械及技术进行试验示范、研究开发、改制改善、完善、组装配套，形成可直接用于生产的农机化生产新技术，同时做好项目的立项申报工作。</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（7）提供农机化技术机具、信息服务。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沙湾市农机技术推广站</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单位无下属预算单位，下设2个处室，分别是：业务室、财务室。</w:t>
      </w:r>
      <w:bookmarkStart w:id="6" w:name="_Toc3092"/>
      <w:bookmarkStart w:id="7" w:name="_Toc29374"/>
    </w:p>
    <w:p>
      <w:pPr>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br w:type="page"/>
      </w:r>
    </w:p>
    <w:p>
      <w:pPr>
        <w:keepNext w:val="0"/>
        <w:keepLines w:val="0"/>
        <w:pageBreakBefore w:val="0"/>
        <w:widowControl w:val="0"/>
        <w:kinsoku/>
        <w:wordWrap/>
        <w:overflowPunct/>
        <w:topLinePunct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307.64万元，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307.64万元，使用非财政拨款结余0.00万元，年初结转和结余0.00万元。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307.64万元，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307.64万元，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Times New Roman"/>
          <w:color w:val="auto"/>
          <w:sz w:val="32"/>
          <w:szCs w:val="32"/>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增加28.89万元</w:t>
      </w:r>
      <w:r>
        <w:rPr>
          <w:rFonts w:hint="eastAsia" w:ascii="仿宋_GB2312" w:eastAsia="仿宋_GB2312"/>
          <w:color w:val="auto"/>
          <w:spacing w:val="0"/>
          <w:sz w:val="32"/>
          <w:szCs w:val="32"/>
          <w:highlight w:val="none"/>
          <w:lang w:eastAsia="zh-CN"/>
        </w:rPr>
        <w:t>，增长10.36%，主要原因是：</w:t>
      </w:r>
      <w:r>
        <w:rPr>
          <w:rFonts w:hint="eastAsia" w:ascii="仿宋_GB2312" w:hAnsi="仿宋" w:eastAsia="仿宋_GB2312" w:cs="Times New Roman"/>
          <w:color w:val="auto"/>
          <w:sz w:val="32"/>
          <w:szCs w:val="32"/>
          <w:lang w:val="en-US" w:eastAsia="zh-CN"/>
        </w:rPr>
        <w:t>本年增加基础绩效工资和艰边津贴，增加在职转退休职业年金收入，增加上年度为民办实事项目资金10万元，增加2022年自治区科技计划专项资金科技成果转化项目3万元，使本年收入支出总体增加。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307.64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307.64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本年支出307.64万元，其中：基本支出284.64万元，占92.52%；项目支出23.00万元，占7.48%；上缴上级支出0.00万元，占0.00%；经营支出0.00万元，占0.00%；对附属单位补助支出0.00万元，占0.00%。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307.64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307.64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307.64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307.64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增加28.89万元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增长10.36%,</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lang w:val="en-US" w:eastAsia="zh-CN"/>
        </w:rPr>
        <w:t>本年增加基础绩效工资和艰边津贴，增加在职转退休职业年金收入，增加上年度为民办实事项目资金10万元，增加2022年自治区科技计划专项资金科技成果转化项目3万元，使本年收入支出总体增加。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266.50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307.64</w:t>
      </w:r>
      <w:r>
        <w:rPr>
          <w:rFonts w:hint="eastAsia" w:ascii="仿宋_GB2312" w:eastAsia="仿宋_GB2312"/>
          <w:color w:val="auto"/>
          <w:spacing w:val="0"/>
          <w:sz w:val="32"/>
          <w:szCs w:val="32"/>
          <w:highlight w:val="none"/>
          <w:lang w:eastAsia="zh-CN"/>
        </w:rPr>
        <w:t>万元，预决算差异率15.44%，主要原因是：</w:t>
      </w:r>
      <w:r>
        <w:rPr>
          <w:rFonts w:hint="eastAsia" w:ascii="仿宋_GB2312" w:hAnsi="仿宋" w:eastAsia="仿宋_GB2312"/>
          <w:color w:val="auto"/>
          <w:sz w:val="32"/>
          <w:szCs w:val="32"/>
          <w:lang w:val="en-US" w:eastAsia="zh-CN"/>
        </w:rPr>
        <w:t>本年追加加自治区科技计划专项资金科技成果转化款项目</w:t>
      </w:r>
      <w:r>
        <w:rPr>
          <w:rFonts w:hint="eastAsia" w:ascii="仿宋_GB2312" w:hAnsi="仿宋" w:eastAsia="仿宋_GB2312" w:cs="Times New Roman"/>
          <w:color w:val="auto"/>
          <w:sz w:val="32"/>
          <w:szCs w:val="32"/>
          <w:lang w:val="en-US" w:eastAsia="zh-CN"/>
        </w:rPr>
        <w:t>3万元，2022年为民办实事工作专项经费10万元，2023年为民办实事工作专项经费10万元,</w:t>
      </w:r>
      <w:r>
        <w:rPr>
          <w:rFonts w:hint="eastAsia" w:ascii="仿宋_GB2312" w:hAnsi="仿宋_GB2312" w:eastAsia="仿宋_GB2312" w:cs="仿宋_GB2312"/>
          <w:color w:val="auto"/>
          <w:kern w:val="2"/>
          <w:sz w:val="32"/>
          <w:szCs w:val="32"/>
          <w:highlight w:val="none"/>
          <w:lang w:val="en-US" w:eastAsia="zh-CN" w:bidi="ar-SA"/>
        </w:rPr>
        <w:t>在职转退休职业年金支出7.50万元,追加</w:t>
      </w:r>
      <w:r>
        <w:rPr>
          <w:rFonts w:hint="eastAsia" w:ascii="仿宋_GB2312" w:hAnsi="仿宋_GB2312" w:eastAsia="仿宋_GB2312" w:cs="仿宋_GB2312"/>
          <w:color w:val="auto"/>
          <w:sz w:val="32"/>
          <w:szCs w:val="32"/>
          <w:highlight w:val="none"/>
          <w:lang w:val="zh-CN" w:eastAsia="zh-CN"/>
        </w:rPr>
        <w:t>人员工资</w:t>
      </w:r>
      <w:r>
        <w:rPr>
          <w:rFonts w:hint="eastAsia" w:ascii="仿宋_GB2312" w:hAnsi="仿宋_GB2312" w:eastAsia="仿宋_GB2312" w:cs="仿宋_GB2312"/>
          <w:color w:val="auto"/>
          <w:sz w:val="32"/>
          <w:szCs w:val="32"/>
          <w:highlight w:val="none"/>
          <w:lang w:val="en-US" w:eastAsia="zh-CN"/>
        </w:rPr>
        <w:t>增资</w:t>
      </w:r>
      <w:r>
        <w:rPr>
          <w:rFonts w:hint="eastAsia" w:hAnsi="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2023年度一般公共预算财政拨款支出307.64万元，占本年支出合计的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增加28.89万元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增长10.36%,</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lang w:val="en-US" w:eastAsia="zh-CN"/>
        </w:rPr>
        <w:t>本年增加基础绩效工资和艰边津贴，增加在职转退休职业年金收入，增加上年度为民办实事项目资金10万元，增加2022年自治区科技计划专项资金科技成果转化项目3万元，使本年收入支出总体增加。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266.50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307.64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15.44%</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olor w:val="auto"/>
          <w:sz w:val="32"/>
          <w:szCs w:val="32"/>
          <w:lang w:val="en-US" w:eastAsia="zh-CN"/>
        </w:rPr>
        <w:t>本年追加加自治区科技计划专项资金科技成果转化款项目</w:t>
      </w:r>
      <w:r>
        <w:rPr>
          <w:rFonts w:hint="eastAsia" w:ascii="仿宋_GB2312" w:hAnsi="仿宋" w:eastAsia="仿宋_GB2312" w:cs="Times New Roman"/>
          <w:color w:val="auto"/>
          <w:sz w:val="32"/>
          <w:szCs w:val="32"/>
          <w:lang w:val="en-US" w:eastAsia="zh-CN"/>
        </w:rPr>
        <w:t>3万元，2022年为民办实事工作专项经费10万元，2023年为民办实事工作专项经费10万元,</w:t>
      </w:r>
      <w:r>
        <w:rPr>
          <w:rFonts w:hint="eastAsia" w:ascii="仿宋_GB2312" w:hAnsi="仿宋_GB2312" w:eastAsia="仿宋_GB2312" w:cs="仿宋_GB2312"/>
          <w:color w:val="auto"/>
          <w:kern w:val="2"/>
          <w:sz w:val="32"/>
          <w:szCs w:val="32"/>
          <w:highlight w:val="none"/>
          <w:lang w:val="en-US" w:eastAsia="zh-CN" w:bidi="ar-SA"/>
        </w:rPr>
        <w:t>在职转退休职业年金支出7.50万元,追加</w:t>
      </w:r>
      <w:r>
        <w:rPr>
          <w:rFonts w:hint="eastAsia" w:ascii="仿宋_GB2312" w:hAnsi="仿宋_GB2312" w:eastAsia="仿宋_GB2312" w:cs="仿宋_GB2312"/>
          <w:color w:val="auto"/>
          <w:sz w:val="32"/>
          <w:szCs w:val="32"/>
          <w:highlight w:val="none"/>
          <w:lang w:val="zh-CN" w:eastAsia="zh-CN"/>
        </w:rPr>
        <w:t>人员工资</w:t>
      </w:r>
      <w:r>
        <w:rPr>
          <w:rFonts w:hint="eastAsia" w:ascii="仿宋_GB2312" w:hAnsi="仿宋_GB2312" w:eastAsia="仿宋_GB2312" w:cs="仿宋_GB2312"/>
          <w:color w:val="auto"/>
          <w:sz w:val="32"/>
          <w:szCs w:val="32"/>
          <w:highlight w:val="none"/>
          <w:lang w:val="en-US" w:eastAsia="zh-CN"/>
        </w:rPr>
        <w:t>增资</w:t>
      </w:r>
      <w:r>
        <w:rPr>
          <w:rFonts w:hint="eastAsia" w:hAnsi="仿宋_GB2312" w:cs="仿宋_GB2312"/>
          <w:color w:val="auto"/>
          <w:sz w:val="32"/>
          <w:szCs w:val="32"/>
          <w:highlight w:val="none"/>
          <w:lang w:val="zh-CN"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en-US"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3.00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0.98%</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38.80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12.61%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4</w:t>
      </w:r>
      <w:r>
        <w:rPr>
          <w:rFonts w:hint="eastAsia" w:ascii="仿宋_GB2312" w:hAnsi="仿宋_GB2312" w:eastAsia="仿宋_GB2312" w:cs="仿宋_GB2312"/>
          <w:color w:val="auto"/>
          <w:spacing w:val="0"/>
          <w:kern w:val="2"/>
          <w:sz w:val="32"/>
          <w:szCs w:val="32"/>
          <w:highlight w:val="none"/>
          <w:lang w:val="zh-CN" w:eastAsia="zh-CN" w:bidi="ar-SA"/>
        </w:rPr>
        <w:t>.农林水支出（类）215.18万元，占</w:t>
      </w:r>
      <w:r>
        <w:rPr>
          <w:rFonts w:hint="eastAsia" w:ascii="仿宋_GB2312" w:eastAsia="仿宋_GB2312" w:cs="Times New Roman"/>
          <w:color w:val="auto"/>
          <w:spacing w:val="0"/>
          <w:kern w:val="2"/>
          <w:sz w:val="32"/>
          <w:szCs w:val="32"/>
          <w:highlight w:val="none"/>
          <w:lang w:val="zh-CN" w:eastAsia="zh-CN" w:bidi="ar-SA"/>
        </w:rPr>
        <w:t>69.95%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19.51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6.34%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20.00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6.50%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1.卫生健康支出（类）行政事业单位医疗（款）事业单位医疗（项）:支出决算数为11.15万元，比上年决算减少5.29万元，下降32.18%，主要原因是：</w:t>
      </w:r>
      <w:r>
        <w:rPr>
          <w:rFonts w:hint="eastAsia" w:ascii="仿宋_GB2312" w:hAnsi="仿宋" w:eastAsia="仿宋_GB2312" w:cs="Times New Roman"/>
          <w:color w:val="auto"/>
          <w:sz w:val="32"/>
          <w:szCs w:val="32"/>
          <w:lang w:val="en-US" w:eastAsia="zh-CN"/>
        </w:rPr>
        <w:t>本年度按医保政策要求，退回已经支付的退休人员的基本医疗保险5.18万元。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2.农林水支出（类）农业农村（款）事业运行（项）:支出决算数为215.18万元，比上年决算增加2.43万元，增长1.14%，主要原因是：本年增加人员基础绩效工资和艰边津，人员职称晋升，工资增加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19.51万元，比上年决算增加0.40万元，增长2.09%，主要原因是：本年度由于人员工资增加，住房公积金缴费基数增加，使住房公积金决算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4.社会保障和就业支出（类）行政事业单位养老支出（款）事业单位离退休（项）:支出决算数为6.26万元，比上年决算增加2.53万元，增长67.83%，主要原因是：本年度支付退休人员基础绩效奖6.26万元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职业年金缴费支出（项）:支出决算数为7.50万元，比上年决算增加7.50万元，增长100%，主要原因是：本年度增加在职转退休职业年金支出7.50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6.其他支出（类）其他支出（款）其他支出（项）:支出决算数为20.00万元，比上年决算增加15.00万元，增长300.00%，主要原因是：本年度支付了以前年度及本年度为民办实事经费支出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7.科学技术支出（类）技术研究与开发（款）科技成果转化与扩散（项）:支出决算数为3.00万元，比上年决算增加3.00万元，增长100%，主要原因是：本年度支付2022年自治区科技计划专项资金科技成果转化项目3万元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25.04万元，比上年决算增加3.31万元，增长15.23%，主要原因是：2023年增资原因使社保缴费基础额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284.64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273.18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11.47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办公费、水费、电费、邮电费、物业管理费、差旅费、维修（护）费、工会经费、公务用车运行维护费。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“三公”经费支出1.50万元，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增加0.19万元，</w:t>
      </w:r>
      <w:r>
        <w:rPr>
          <w:rFonts w:hint="eastAsia" w:ascii="仿宋_GB2312" w:eastAsia="仿宋_GB2312"/>
          <w:color w:val="auto"/>
          <w:sz w:val="32"/>
          <w:szCs w:val="32"/>
          <w:highlight w:val="none"/>
          <w:lang w:val="en-US" w:eastAsia="zh-CN"/>
        </w:rPr>
        <w:t>增长14.50%,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本年下乡开展业务增多，车辆加油费增加，但在预算正常范围内支出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主要原因是：本年度没有安排因公出国（境）费支出；公务用车购置及运行维护费支出1.50万元，占100.00%，比上年增加0.19万元，</w:t>
      </w:r>
      <w:r>
        <w:rPr>
          <w:rFonts w:hint="eastAsia" w:ascii="仿宋_GB2312" w:eastAsia="仿宋_GB2312"/>
          <w:color w:val="auto"/>
          <w:sz w:val="32"/>
          <w:szCs w:val="32"/>
          <w:highlight w:val="none"/>
          <w:lang w:val="en-US" w:eastAsia="zh-CN"/>
        </w:rPr>
        <w:t>增长14.50%,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本年下乡开展业务增多，车辆加油费增加，但在预算正常范围内支出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z w:val="32"/>
          <w:szCs w:val="32"/>
          <w:highlight w:val="none"/>
          <w:lang w:val="en-US" w:eastAsia="zh-CN"/>
        </w:rPr>
        <w:t>增长0.00%，主要原因是</w:t>
      </w:r>
      <w:r>
        <w:rPr>
          <w:rFonts w:hint="eastAsia" w:ascii="仿宋_GB2312" w:eastAsia="仿宋_GB2312"/>
          <w:color w:val="auto"/>
          <w:sz w:val="32"/>
          <w:szCs w:val="32"/>
          <w:highlight w:val="none"/>
          <w:lang w:val="zh-CN" w:eastAsia="zh-CN"/>
        </w:rPr>
        <w:t>本单位</w:t>
      </w:r>
      <w:r>
        <w:rPr>
          <w:rFonts w:hint="eastAsia" w:ascii="仿宋_GB2312" w:eastAsia="仿宋_GB2312"/>
          <w:color w:val="auto"/>
          <w:sz w:val="32"/>
          <w:szCs w:val="32"/>
          <w:highlight w:val="none"/>
          <w:lang w:val="en-US" w:eastAsia="zh-CN"/>
        </w:rPr>
        <w:t>2023年未产生公务接待费用支出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万元。单位全年安排的因公出国（境）团组0个，因公出国（境）0人次</w:t>
      </w:r>
      <w:bookmarkStart w:id="48" w:name="_GoBack"/>
      <w:bookmarkEnd w:id="48"/>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公务用车购置及运行维护费1.50万元，其中：公务用车购置费0.00万元，公务用车运行维护费1.50万元，</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公务用车运行维护费开支内容包括公务用车加油</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费，车辆保险费，维修费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预算数1.50万元，决算数1.50万元，主要原因是：财政拨款“三公”经费支出预算数和决算数无变化，预决算</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0.00万元，决算数0.00万元，预决算差异率0.00%，主要原因是：本年度没有安排因公出国（境）费支出，预决算</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年没有安排公务用车购置费，预决算无差异；公务用车运行费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预算数1.50万元，决算数1.50万元，预决算差异率0.00%，主要原因是：公务用车运行费预算数和决算数无变化，预决算无差异；公务接待费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w:t>
      </w:r>
      <w:r>
        <w:rPr>
          <w:rFonts w:hint="eastAsia" w:ascii="仿宋_GB2312" w:eastAsia="仿宋_GB2312"/>
          <w:color w:val="auto"/>
          <w:sz w:val="32"/>
          <w:szCs w:val="32"/>
          <w:highlight w:val="none"/>
          <w:lang w:val="en-US" w:eastAsia="zh-CN"/>
        </w:rPr>
        <w:t>主要原因是</w:t>
      </w:r>
      <w:r>
        <w:rPr>
          <w:rFonts w:hint="eastAsia" w:ascii="仿宋_GB2312" w:eastAsia="仿宋_GB2312"/>
          <w:color w:val="auto"/>
          <w:sz w:val="32"/>
          <w:szCs w:val="32"/>
          <w:highlight w:val="none"/>
          <w:lang w:val="zh-CN" w:eastAsia="zh-CN"/>
        </w:rPr>
        <w:t>：公务接待费预算数和决算数无变化，预决算无差异</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沙湾市农机技术推广站（事业单位）公用经费支出11.47万元，</w:t>
      </w:r>
      <w:r>
        <w:rPr>
          <w:rFonts w:hint="eastAsia" w:ascii="仿宋_GB2312" w:hAnsi="仿宋_GB2312" w:eastAsia="仿宋_GB2312" w:cs="仿宋_GB2312"/>
          <w:color w:val="auto"/>
          <w:sz w:val="32"/>
          <w:szCs w:val="32"/>
          <w:highlight w:val="none"/>
          <w:lang w:val="zh-CN" w:eastAsia="zh-CN"/>
        </w:rPr>
        <w:t>比上年增加5.30万元，增长85.90%，主要原因是：</w:t>
      </w:r>
      <w:r>
        <w:rPr>
          <w:rFonts w:hint="eastAsia" w:ascii="仿宋_GB2312" w:hAnsi="仿宋_GB2312" w:eastAsia="仿宋_GB2312" w:cs="仿宋_GB2312"/>
          <w:color w:val="auto"/>
          <w:sz w:val="32"/>
          <w:szCs w:val="32"/>
          <w:highlight w:val="none"/>
          <w:lang w:val="en-US" w:eastAsia="zh-CN"/>
        </w:rPr>
        <w:t>上年度有部分公用经费没有及时支付，本年度较上年多支付了公用经费。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8.82万元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其中：政府采购货物支出7.33万元、政府采购工程支出0.00万元、政府采购服务支出1.49万元。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授予中小企业合同金额8.82万元，占政府采购支出总额的100.00%，其中：授予小微企业合同金额8.82万元，占政府采购支出总额的100.00%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FF0000"/>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188.62</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屋300.00平方米，价值27.88万元。车辆1辆，价值19.54万元，其中：副部（省）级及以上领导用车0辆、主要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w:t>
      </w:r>
      <w:r>
        <w:rPr>
          <w:rFonts w:hint="eastAsia" w:ascii="仿宋_GB2312" w:eastAsia="仿宋_GB2312"/>
          <w:sz w:val="32"/>
          <w:szCs w:val="32"/>
          <w:highlight w:val="none"/>
          <w:lang w:eastAsia="zh-CN"/>
        </w:rPr>
        <w:t>其他用车主要是：</w:t>
      </w:r>
      <w:r>
        <w:rPr>
          <w:rFonts w:hint="eastAsia" w:ascii="仿宋_GB2312" w:eastAsia="仿宋_GB2312"/>
          <w:sz w:val="32"/>
          <w:szCs w:val="32"/>
          <w:highlight w:val="none"/>
          <w:lang w:val="en-US" w:eastAsia="zh-CN"/>
        </w:rPr>
        <w:t>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Style w:val="12"/>
          <w:rFonts w:hint="eastAsia" w:ascii="仿宋_GB2312" w:hAnsi="仿宋_GB2312" w:eastAsia="仿宋_GB2312" w:cs="仿宋_GB2312"/>
          <w:b w:val="0"/>
          <w:bCs w:val="0"/>
          <w:color w:val="auto"/>
          <w:spacing w:val="-4"/>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预算总额307.64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实际执行总额307.64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。其中：</w:t>
      </w:r>
      <w:r>
        <w:rPr>
          <w:rStyle w:val="12"/>
          <w:rFonts w:hint="eastAsia" w:ascii="仿宋_GB2312" w:hAnsi="仿宋_GB2312" w:eastAsia="仿宋_GB2312" w:cs="仿宋_GB2312"/>
          <w:b w:val="0"/>
          <w:bCs w:val="0"/>
          <w:color w:val="auto"/>
          <w:spacing w:val="-4"/>
          <w:sz w:val="32"/>
          <w:szCs w:val="32"/>
          <w:lang w:val="en-US" w:eastAsia="zh-CN"/>
        </w:rPr>
        <w:t>本单位sm项目2个，全年预算数20万元，全年执行数20万元，不予以公开。</w:t>
      </w:r>
      <w:r>
        <w:rPr>
          <w:rFonts w:hint="eastAsia" w:ascii="仿宋_GB2312" w:eastAsia="仿宋_GB2312"/>
          <w:color w:val="auto"/>
          <w:sz w:val="32"/>
          <w:szCs w:val="32"/>
          <w:highlight w:val="none"/>
          <w:lang w:eastAsia="zh-CN"/>
        </w:rPr>
        <w:t>预算绩效管理取得的成效：</w:t>
      </w:r>
      <w:r>
        <w:rPr>
          <w:rFonts w:hint="eastAsia" w:ascii="仿宋_GB2312" w:hAnsi="仿宋" w:eastAsia="仿宋_GB2312" w:cs="Times New Roman"/>
          <w:color w:val="auto"/>
          <w:kern w:val="2"/>
          <w:sz w:val="32"/>
          <w:szCs w:val="32"/>
          <w:lang w:val="en-US" w:eastAsia="zh-CN" w:bidi="ar-SA"/>
        </w:rPr>
        <w:t>一是学习贯彻习近平总书记关于“三农”工作的重要论述，按照省委十届六次全会安排部署，围绕单位目标任务，做好农机技术推广站各项业务工作，注重管理质量，提升工作效能。二是做好组织农机化新技术的专业培训，对适于本地应用的农业机械及技术进行试验示范、研究开发、改制改善、完善、组装配套，形成可直接用于生产的农机化生产新技术，同时做好项目的立项申报工作；提供农机化技术机具、信息服务。</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预算绩效管理工作时间紧、任务重、专业性强，我单位的预算绩效存在一些不足之处需要完善。二是预算绩效管理缺乏系统的培训，造成预算绩效管理指导不到位、认识不到位，理解不充分，对预算绩效管理工作重点把握不到位。</w:t>
      </w:r>
      <w:r>
        <w:rPr>
          <w:rFonts w:hint="eastAsia" w:ascii="仿宋_GB2312" w:eastAsia="仿宋_GB2312"/>
          <w:color w:val="auto"/>
          <w:sz w:val="32"/>
          <w:szCs w:val="32"/>
          <w:highlight w:val="none"/>
          <w:lang w:eastAsia="zh-CN"/>
        </w:rPr>
        <w:t>改进措施：</w:t>
      </w:r>
      <w:r>
        <w:rPr>
          <w:rStyle w:val="12"/>
          <w:rFonts w:hint="eastAsia" w:ascii="仿宋_GB2312" w:hAnsi="仿宋_GB2312" w:eastAsia="仿宋_GB2312" w:cs="仿宋_GB2312"/>
          <w:b w:val="0"/>
          <w:bCs w:val="0"/>
          <w:color w:val="auto"/>
          <w:spacing w:val="-4"/>
          <w:sz w:val="32"/>
          <w:szCs w:val="32"/>
          <w:lang w:val="en-US" w:eastAsia="zh-CN"/>
        </w:rPr>
        <w:t>一是</w:t>
      </w:r>
      <w:r>
        <w:rPr>
          <w:rStyle w:val="12"/>
          <w:rFonts w:hint="eastAsia" w:ascii="仿宋_GB2312" w:hAnsi="仿宋_GB2312" w:eastAsia="仿宋_GB2312" w:cs="仿宋_GB2312"/>
          <w:b w:val="0"/>
          <w:bCs w:val="0"/>
          <w:color w:val="auto"/>
          <w:spacing w:val="-4"/>
          <w:sz w:val="32"/>
          <w:szCs w:val="32"/>
        </w:rPr>
        <w:t>提高资金的使用效益。</w:t>
      </w:r>
      <w:r>
        <w:rPr>
          <w:rStyle w:val="12"/>
          <w:rFonts w:hint="eastAsia" w:ascii="仿宋_GB2312" w:hAnsi="仿宋_GB2312" w:eastAsia="仿宋_GB2312" w:cs="仿宋_GB2312"/>
          <w:b w:val="0"/>
          <w:bCs w:val="0"/>
          <w:color w:val="auto"/>
          <w:spacing w:val="-4"/>
          <w:sz w:val="32"/>
          <w:szCs w:val="32"/>
          <w:lang w:val="en-US" w:eastAsia="zh-CN"/>
        </w:rPr>
        <w:t>本单位将</w:t>
      </w:r>
      <w:r>
        <w:rPr>
          <w:rStyle w:val="12"/>
          <w:rFonts w:hint="eastAsia" w:ascii="仿宋_GB2312" w:hAnsi="仿宋_GB2312" w:eastAsia="仿宋_GB2312" w:cs="仿宋_GB2312"/>
          <w:b w:val="0"/>
          <w:bCs w:val="0"/>
          <w:color w:val="auto"/>
          <w:spacing w:val="-4"/>
          <w:sz w:val="32"/>
          <w:szCs w:val="32"/>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r>
        <w:rPr>
          <w:rStyle w:val="12"/>
          <w:rFonts w:hint="eastAsia" w:ascii="仿宋_GB2312" w:hAnsi="仿宋_GB2312" w:eastAsia="仿宋_GB2312" w:cs="仿宋_GB2312"/>
          <w:b w:val="0"/>
          <w:bCs w:val="0"/>
          <w:color w:val="auto"/>
          <w:spacing w:val="-4"/>
          <w:sz w:val="32"/>
          <w:szCs w:val="32"/>
          <w:lang w:val="en-US" w:eastAsia="zh-CN"/>
        </w:rPr>
        <w:t>二是</w:t>
      </w:r>
      <w:r>
        <w:rPr>
          <w:rStyle w:val="12"/>
          <w:rFonts w:hint="eastAsia" w:ascii="仿宋_GB2312" w:hAnsi="仿宋_GB2312" w:eastAsia="仿宋_GB2312" w:cs="仿宋_GB2312"/>
          <w:b w:val="0"/>
          <w:bCs w:val="0"/>
          <w:color w:val="auto"/>
          <w:spacing w:val="-4"/>
          <w:sz w:val="32"/>
          <w:szCs w:val="32"/>
        </w:rPr>
        <w:t>强化内部控制管理，严格按规定做好绩效目标申报、自评、公开等相关工作，提高财政资金使用绩效；加强实物资产管理，健全资产管理制度，规范资产清查和核算。</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24" w:firstLineChars="200"/>
        <w:jc w:val="left"/>
        <w:textAlignment w:val="auto"/>
        <w:rPr>
          <w:rStyle w:val="12"/>
          <w:rFonts w:hint="eastAsia" w:ascii="仿宋_GB2312" w:hAnsi="仿宋_GB2312" w:eastAsia="仿宋_GB2312" w:cs="仿宋_GB2312"/>
          <w:b w:val="0"/>
          <w:bCs w:val="0"/>
          <w:color w:val="auto"/>
          <w:spacing w:val="-4"/>
          <w:sz w:val="32"/>
          <w:szCs w:val="32"/>
          <w:lang w:val="en-US" w:eastAsia="zh-CN"/>
        </w:rPr>
      </w:pPr>
      <w:bookmarkStart w:id="30" w:name="_Toc24143"/>
      <w:bookmarkStart w:id="31" w:name="_Toc3250"/>
      <w:r>
        <w:rPr>
          <w:rStyle w:val="12"/>
          <w:rFonts w:hint="eastAsia" w:ascii="仿宋_GB2312" w:hAnsi="仿宋_GB2312" w:eastAsia="仿宋_GB2312" w:cs="仿宋_GB2312"/>
          <w:b w:val="0"/>
          <w:bCs w:val="0"/>
          <w:color w:val="auto"/>
          <w:spacing w:val="-4"/>
          <w:sz w:val="32"/>
          <w:szCs w:val="32"/>
          <w:lang w:val="en-US" w:eastAsia="zh-CN"/>
        </w:rPr>
        <w:t>本单位sm项目2个，全年预算数20万元，全年执行数20万元,不予以公开绩效自评表。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3"/>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81C1C02"/>
    <w:multiLevelType w:val="singleLevel"/>
    <w:tmpl w:val="681C1C02"/>
    <w:lvl w:ilvl="0" w:tentative="0">
      <w:start w:val="11"/>
      <w:numFmt w:val="chineseCounting"/>
      <w:suff w:val="nothing"/>
      <w:lvlText w:val="%1、"/>
      <w:lvlJc w:val="left"/>
      <w:rPr>
        <w:rFonts w:hint="eastAsia" w:ascii="黑体" w:hAnsi="黑体" w:eastAsia="黑体" w:cs="黑体"/>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634ACB"/>
    <w:rsid w:val="00B70D59"/>
    <w:rsid w:val="00F52A8D"/>
    <w:rsid w:val="010478F5"/>
    <w:rsid w:val="019404F8"/>
    <w:rsid w:val="01C30B6B"/>
    <w:rsid w:val="01ED22F2"/>
    <w:rsid w:val="02BD3108"/>
    <w:rsid w:val="02F73D26"/>
    <w:rsid w:val="034D4FEF"/>
    <w:rsid w:val="035D1785"/>
    <w:rsid w:val="039F47CE"/>
    <w:rsid w:val="03BD5310"/>
    <w:rsid w:val="03E05CE8"/>
    <w:rsid w:val="03F973EE"/>
    <w:rsid w:val="043E5B56"/>
    <w:rsid w:val="04520FA9"/>
    <w:rsid w:val="04C04386"/>
    <w:rsid w:val="04D1736D"/>
    <w:rsid w:val="04D96608"/>
    <w:rsid w:val="04F210E4"/>
    <w:rsid w:val="04FA68C4"/>
    <w:rsid w:val="053F5AE6"/>
    <w:rsid w:val="057C0B0F"/>
    <w:rsid w:val="05EF4B48"/>
    <w:rsid w:val="05F76ECA"/>
    <w:rsid w:val="06183A24"/>
    <w:rsid w:val="06483DDF"/>
    <w:rsid w:val="06792773"/>
    <w:rsid w:val="06F042B1"/>
    <w:rsid w:val="06FD75CA"/>
    <w:rsid w:val="07093795"/>
    <w:rsid w:val="07804730"/>
    <w:rsid w:val="0781507A"/>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6727D9"/>
    <w:rsid w:val="0B8C3ECC"/>
    <w:rsid w:val="0B9C639D"/>
    <w:rsid w:val="0BB052B2"/>
    <w:rsid w:val="0BD33FFC"/>
    <w:rsid w:val="0BE97AC1"/>
    <w:rsid w:val="0C1C4780"/>
    <w:rsid w:val="0C3613A3"/>
    <w:rsid w:val="0C5E519C"/>
    <w:rsid w:val="0C7227A7"/>
    <w:rsid w:val="0CA52EE8"/>
    <w:rsid w:val="0CBD6988"/>
    <w:rsid w:val="0CD208AC"/>
    <w:rsid w:val="0D172DAA"/>
    <w:rsid w:val="0D4903E8"/>
    <w:rsid w:val="0D5D0244"/>
    <w:rsid w:val="0D7A4A46"/>
    <w:rsid w:val="0E640559"/>
    <w:rsid w:val="0F1113DA"/>
    <w:rsid w:val="0F78534A"/>
    <w:rsid w:val="0F8378FF"/>
    <w:rsid w:val="0F89358A"/>
    <w:rsid w:val="0F8C6D51"/>
    <w:rsid w:val="0FA82A1E"/>
    <w:rsid w:val="101F3001"/>
    <w:rsid w:val="105B0B5E"/>
    <w:rsid w:val="10782AB8"/>
    <w:rsid w:val="112E58D0"/>
    <w:rsid w:val="11731CAC"/>
    <w:rsid w:val="119500A0"/>
    <w:rsid w:val="11C0733B"/>
    <w:rsid w:val="11D50D17"/>
    <w:rsid w:val="120E0809"/>
    <w:rsid w:val="127F665A"/>
    <w:rsid w:val="12F7068C"/>
    <w:rsid w:val="138C6520"/>
    <w:rsid w:val="14207DC0"/>
    <w:rsid w:val="14B932DA"/>
    <w:rsid w:val="15080CA0"/>
    <w:rsid w:val="150A66AF"/>
    <w:rsid w:val="15261399"/>
    <w:rsid w:val="153719E2"/>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322A41"/>
    <w:rsid w:val="184510FD"/>
    <w:rsid w:val="190648B0"/>
    <w:rsid w:val="19071D6C"/>
    <w:rsid w:val="19D26CD4"/>
    <w:rsid w:val="19E60D19"/>
    <w:rsid w:val="19EF1118"/>
    <w:rsid w:val="1A3E3450"/>
    <w:rsid w:val="1AD807E5"/>
    <w:rsid w:val="1B39345B"/>
    <w:rsid w:val="1BFB2A1F"/>
    <w:rsid w:val="1C015D4A"/>
    <w:rsid w:val="1C290ED5"/>
    <w:rsid w:val="1C317E4F"/>
    <w:rsid w:val="1C472464"/>
    <w:rsid w:val="1CE76F26"/>
    <w:rsid w:val="1D22799A"/>
    <w:rsid w:val="1D5C1A72"/>
    <w:rsid w:val="1DAF458D"/>
    <w:rsid w:val="1DD443A7"/>
    <w:rsid w:val="1E086ACE"/>
    <w:rsid w:val="1E62130A"/>
    <w:rsid w:val="1E97358B"/>
    <w:rsid w:val="1EAA4A5F"/>
    <w:rsid w:val="1EBB7293"/>
    <w:rsid w:val="1EE869A7"/>
    <w:rsid w:val="1F3F37CF"/>
    <w:rsid w:val="1FA15E62"/>
    <w:rsid w:val="1FED69B6"/>
    <w:rsid w:val="20090855"/>
    <w:rsid w:val="2064678E"/>
    <w:rsid w:val="20DC1AB9"/>
    <w:rsid w:val="20DD6197"/>
    <w:rsid w:val="2108463B"/>
    <w:rsid w:val="212631E0"/>
    <w:rsid w:val="2138666F"/>
    <w:rsid w:val="21742080"/>
    <w:rsid w:val="21822A65"/>
    <w:rsid w:val="21A53757"/>
    <w:rsid w:val="21F879E1"/>
    <w:rsid w:val="221236C6"/>
    <w:rsid w:val="22D7662C"/>
    <w:rsid w:val="23203F99"/>
    <w:rsid w:val="23326B7F"/>
    <w:rsid w:val="2380045B"/>
    <w:rsid w:val="23BC04D2"/>
    <w:rsid w:val="23EF1892"/>
    <w:rsid w:val="2483647E"/>
    <w:rsid w:val="24A32D55"/>
    <w:rsid w:val="24CE6D9A"/>
    <w:rsid w:val="25292727"/>
    <w:rsid w:val="252E5CA9"/>
    <w:rsid w:val="252F7780"/>
    <w:rsid w:val="256F7692"/>
    <w:rsid w:val="25BA2154"/>
    <w:rsid w:val="25C8773F"/>
    <w:rsid w:val="26235823"/>
    <w:rsid w:val="264A7253"/>
    <w:rsid w:val="26AD2809"/>
    <w:rsid w:val="26E60CB5"/>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3B6A51"/>
    <w:rsid w:val="2BB94DBF"/>
    <w:rsid w:val="2BF37410"/>
    <w:rsid w:val="2C5025B5"/>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0E76FC6"/>
    <w:rsid w:val="314029C9"/>
    <w:rsid w:val="31C63837"/>
    <w:rsid w:val="31C82E39"/>
    <w:rsid w:val="32601BAD"/>
    <w:rsid w:val="329F6389"/>
    <w:rsid w:val="3389023A"/>
    <w:rsid w:val="33CB74FA"/>
    <w:rsid w:val="343642F2"/>
    <w:rsid w:val="343F3010"/>
    <w:rsid w:val="345D0A00"/>
    <w:rsid w:val="34713BFD"/>
    <w:rsid w:val="34C13589"/>
    <w:rsid w:val="353369E3"/>
    <w:rsid w:val="358E5A54"/>
    <w:rsid w:val="35B21E0B"/>
    <w:rsid w:val="35E00D72"/>
    <w:rsid w:val="366E53D1"/>
    <w:rsid w:val="36965B9D"/>
    <w:rsid w:val="369A4B21"/>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BA210CD"/>
    <w:rsid w:val="3C242659"/>
    <w:rsid w:val="3C5B2FCB"/>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A15584"/>
    <w:rsid w:val="40D83BFA"/>
    <w:rsid w:val="4136428A"/>
    <w:rsid w:val="41431AD5"/>
    <w:rsid w:val="414B3C0F"/>
    <w:rsid w:val="417C1CE7"/>
    <w:rsid w:val="41900018"/>
    <w:rsid w:val="41944406"/>
    <w:rsid w:val="41BE2454"/>
    <w:rsid w:val="41CE128F"/>
    <w:rsid w:val="41DA6F12"/>
    <w:rsid w:val="42171FB1"/>
    <w:rsid w:val="42C10D7B"/>
    <w:rsid w:val="434E6957"/>
    <w:rsid w:val="43BA0E31"/>
    <w:rsid w:val="43C15147"/>
    <w:rsid w:val="43E14DD2"/>
    <w:rsid w:val="43F800E9"/>
    <w:rsid w:val="443A7E4B"/>
    <w:rsid w:val="444A7D08"/>
    <w:rsid w:val="447447F5"/>
    <w:rsid w:val="44EC727B"/>
    <w:rsid w:val="452F5B3A"/>
    <w:rsid w:val="454E7FD2"/>
    <w:rsid w:val="46061BDC"/>
    <w:rsid w:val="461404F8"/>
    <w:rsid w:val="46413018"/>
    <w:rsid w:val="464B7E04"/>
    <w:rsid w:val="4660293D"/>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500091"/>
    <w:rsid w:val="49605EF7"/>
    <w:rsid w:val="49C055CB"/>
    <w:rsid w:val="4A0A26D2"/>
    <w:rsid w:val="4A2019A5"/>
    <w:rsid w:val="4A241A0B"/>
    <w:rsid w:val="4A33118F"/>
    <w:rsid w:val="4A5C2BD7"/>
    <w:rsid w:val="4A7B2875"/>
    <w:rsid w:val="4A934476"/>
    <w:rsid w:val="4AAA220A"/>
    <w:rsid w:val="4AB3018E"/>
    <w:rsid w:val="4AE12E67"/>
    <w:rsid w:val="4B4C0111"/>
    <w:rsid w:val="4B8553A9"/>
    <w:rsid w:val="4BDB3730"/>
    <w:rsid w:val="4BE80BE8"/>
    <w:rsid w:val="4C200F7A"/>
    <w:rsid w:val="4C5A63CB"/>
    <w:rsid w:val="4CEE3180"/>
    <w:rsid w:val="4CFC02C8"/>
    <w:rsid w:val="4D0F4AF6"/>
    <w:rsid w:val="4D3B0F33"/>
    <w:rsid w:val="4DF94F37"/>
    <w:rsid w:val="4E0A1DD5"/>
    <w:rsid w:val="4E3160E5"/>
    <w:rsid w:val="4E4D37AF"/>
    <w:rsid w:val="4E772677"/>
    <w:rsid w:val="4E8C6496"/>
    <w:rsid w:val="4EFD18DE"/>
    <w:rsid w:val="4F144236"/>
    <w:rsid w:val="4F663C87"/>
    <w:rsid w:val="4F7E29A8"/>
    <w:rsid w:val="4F9E1FFC"/>
    <w:rsid w:val="50447CC2"/>
    <w:rsid w:val="50653942"/>
    <w:rsid w:val="506E0075"/>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E175F4"/>
    <w:rsid w:val="56FF28AF"/>
    <w:rsid w:val="57540E7D"/>
    <w:rsid w:val="577B4878"/>
    <w:rsid w:val="57926973"/>
    <w:rsid w:val="57AA22F9"/>
    <w:rsid w:val="57D1482F"/>
    <w:rsid w:val="58175352"/>
    <w:rsid w:val="581F2200"/>
    <w:rsid w:val="583059FA"/>
    <w:rsid w:val="584A0929"/>
    <w:rsid w:val="58A14BF4"/>
    <w:rsid w:val="58CD2491"/>
    <w:rsid w:val="591B41B2"/>
    <w:rsid w:val="59254A26"/>
    <w:rsid w:val="59326325"/>
    <w:rsid w:val="595C505B"/>
    <w:rsid w:val="595E55C3"/>
    <w:rsid w:val="596E7E20"/>
    <w:rsid w:val="5A0F3477"/>
    <w:rsid w:val="5A295F6F"/>
    <w:rsid w:val="5A5D23AA"/>
    <w:rsid w:val="5A60780B"/>
    <w:rsid w:val="5AB34579"/>
    <w:rsid w:val="5AB40E78"/>
    <w:rsid w:val="5AF80B40"/>
    <w:rsid w:val="5AFC6609"/>
    <w:rsid w:val="5B113480"/>
    <w:rsid w:val="5B712351"/>
    <w:rsid w:val="5BD456CE"/>
    <w:rsid w:val="5C0D1F49"/>
    <w:rsid w:val="5CBB0CE2"/>
    <w:rsid w:val="5CC17177"/>
    <w:rsid w:val="5CF306BC"/>
    <w:rsid w:val="5CF40201"/>
    <w:rsid w:val="5D3F3D64"/>
    <w:rsid w:val="5D833043"/>
    <w:rsid w:val="5DD92690"/>
    <w:rsid w:val="5DDB1CFD"/>
    <w:rsid w:val="5E7E6D93"/>
    <w:rsid w:val="5E82459B"/>
    <w:rsid w:val="5ED44800"/>
    <w:rsid w:val="5F350BDE"/>
    <w:rsid w:val="5F61632C"/>
    <w:rsid w:val="5FA17648"/>
    <w:rsid w:val="5FE705CB"/>
    <w:rsid w:val="6007714E"/>
    <w:rsid w:val="603D5080"/>
    <w:rsid w:val="606842D0"/>
    <w:rsid w:val="60705E47"/>
    <w:rsid w:val="60D0261B"/>
    <w:rsid w:val="618E3791"/>
    <w:rsid w:val="61947DCA"/>
    <w:rsid w:val="61A46A97"/>
    <w:rsid w:val="61D1382F"/>
    <w:rsid w:val="61F114A2"/>
    <w:rsid w:val="622B0ABA"/>
    <w:rsid w:val="62512BB4"/>
    <w:rsid w:val="625D7D1A"/>
    <w:rsid w:val="62660469"/>
    <w:rsid w:val="627F11B1"/>
    <w:rsid w:val="62DD7D21"/>
    <w:rsid w:val="63332842"/>
    <w:rsid w:val="637D586B"/>
    <w:rsid w:val="639A45DD"/>
    <w:rsid w:val="63A5560B"/>
    <w:rsid w:val="63DA145A"/>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656163"/>
    <w:rsid w:val="669B4528"/>
    <w:rsid w:val="66A31A8D"/>
    <w:rsid w:val="66CC12D7"/>
    <w:rsid w:val="67134CEF"/>
    <w:rsid w:val="671F1ABD"/>
    <w:rsid w:val="67521A59"/>
    <w:rsid w:val="67C304AB"/>
    <w:rsid w:val="683F0658"/>
    <w:rsid w:val="68455928"/>
    <w:rsid w:val="689C6793"/>
    <w:rsid w:val="68DB0208"/>
    <w:rsid w:val="68FB170C"/>
    <w:rsid w:val="691B3D98"/>
    <w:rsid w:val="693748F0"/>
    <w:rsid w:val="69846A0E"/>
    <w:rsid w:val="69AA1366"/>
    <w:rsid w:val="69AD798C"/>
    <w:rsid w:val="69D005C0"/>
    <w:rsid w:val="69D7566C"/>
    <w:rsid w:val="69D80B96"/>
    <w:rsid w:val="69F47AD7"/>
    <w:rsid w:val="6A2C39D4"/>
    <w:rsid w:val="6B68175F"/>
    <w:rsid w:val="6BFD799F"/>
    <w:rsid w:val="6C4A2E5A"/>
    <w:rsid w:val="6C8138D0"/>
    <w:rsid w:val="6CEF0725"/>
    <w:rsid w:val="6D4B2604"/>
    <w:rsid w:val="6D696896"/>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0E64CC7"/>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E00677"/>
    <w:rsid w:val="75FC6AC3"/>
    <w:rsid w:val="7616619B"/>
    <w:rsid w:val="764B739E"/>
    <w:rsid w:val="76660D7C"/>
    <w:rsid w:val="766C5968"/>
    <w:rsid w:val="76BE0C8F"/>
    <w:rsid w:val="76CD53B2"/>
    <w:rsid w:val="76E6594C"/>
    <w:rsid w:val="770719AC"/>
    <w:rsid w:val="776526CC"/>
    <w:rsid w:val="77A262E1"/>
    <w:rsid w:val="77B13C33"/>
    <w:rsid w:val="77DC095A"/>
    <w:rsid w:val="77ED6F44"/>
    <w:rsid w:val="77F45548"/>
    <w:rsid w:val="77FC440B"/>
    <w:rsid w:val="77FF1C0F"/>
    <w:rsid w:val="784E7CA6"/>
    <w:rsid w:val="78574801"/>
    <w:rsid w:val="7873527F"/>
    <w:rsid w:val="790A6425"/>
    <w:rsid w:val="790E2D96"/>
    <w:rsid w:val="79106E3C"/>
    <w:rsid w:val="791B54B2"/>
    <w:rsid w:val="793C0F89"/>
    <w:rsid w:val="795A0A34"/>
    <w:rsid w:val="797339C3"/>
    <w:rsid w:val="79D57D57"/>
    <w:rsid w:val="79F00650"/>
    <w:rsid w:val="7A045EFC"/>
    <w:rsid w:val="7A6242BF"/>
    <w:rsid w:val="7A794513"/>
    <w:rsid w:val="7A9B3811"/>
    <w:rsid w:val="7AB467DA"/>
    <w:rsid w:val="7AB9318D"/>
    <w:rsid w:val="7AE952D2"/>
    <w:rsid w:val="7B9F26AF"/>
    <w:rsid w:val="7BB607FE"/>
    <w:rsid w:val="7C7248A0"/>
    <w:rsid w:val="7C976D69"/>
    <w:rsid w:val="7CA346FD"/>
    <w:rsid w:val="7CD752DA"/>
    <w:rsid w:val="7CDE40AB"/>
    <w:rsid w:val="7CF057E2"/>
    <w:rsid w:val="7D05377F"/>
    <w:rsid w:val="7D1548B5"/>
    <w:rsid w:val="7DDC1A46"/>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spacing w:before="100" w:beforeAutospacing="1" w:after="100" w:afterAutospacing="1" w:line="480" w:lineRule="auto"/>
      <w:ind w:left="200" w:leftChars="200"/>
    </w:p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正文文字 1"/>
    <w:basedOn w:val="1"/>
    <w:next w:val="1"/>
    <w:qFormat/>
    <w:uiPriority w:val="0"/>
    <w:pPr>
      <w:spacing w:before="100" w:beforeAutospacing="1" w:after="100" w:afterAutospacing="1"/>
      <w:ind w:left="240"/>
    </w:pPr>
    <w:rPr>
      <w:sz w:val="28"/>
      <w:szCs w:val="28"/>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2</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2025-04-10T03:48:21Z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