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沙湾市农业技术推广中心</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（1）宣传、贯彻、落实党中央和区、地、市委关于农村工作的各项方针、政策，对全市农业生产存在的问题进行调查研究，提出意见，供</w:t>
      </w:r>
      <w:r>
        <w:rPr>
          <w:rFonts w:hint="eastAsia" w:ascii="仿宋_GB2312" w:eastAsia="仿宋_GB2312"/>
          <w:color w:val="auto"/>
          <w:sz w:val="32"/>
          <w:szCs w:val="32"/>
          <w:highlight w:val="none"/>
          <w:lang w:eastAsia="zh-CN"/>
        </w:rPr>
        <w:t>市委、市政府</w:t>
      </w:r>
      <w:r>
        <w:rPr>
          <w:rFonts w:hint="eastAsia" w:ascii="仿宋_GB2312" w:eastAsia="仿宋_GB2312"/>
          <w:color w:val="auto"/>
          <w:sz w:val="32"/>
          <w:szCs w:val="32"/>
          <w:highlight w:val="none"/>
        </w:rPr>
        <w:t>决策参考，参与全市农业结构调整，参与制定农业技术推广计划并组织实施；</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（2）负责农业科技人员的专业技术培训、农牧民培训和科技队伍建设；</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（3）负责全市农作物的病、虫、草、鼠的预测、预报，指导农民适时防治；</w:t>
      </w:r>
      <w:r>
        <w:rPr>
          <w:rFonts w:hint="eastAsia" w:ascii="仿宋_GB2312" w:eastAsia="仿宋_GB2312"/>
          <w:color w:val="auto"/>
          <w:sz w:val="32"/>
          <w:szCs w:val="32"/>
          <w:highlight w:val="none"/>
        </w:rPr>
        <w:br w:type="textWrapping"/>
      </w:r>
      <w:r>
        <w:rPr>
          <w:rFonts w:hint="eastAsia" w:ascii="仿宋_GB2312" w:eastAsia="仿宋_GB2312"/>
          <w:color w:val="auto"/>
          <w:sz w:val="32"/>
          <w:szCs w:val="32"/>
          <w:highlight w:val="none"/>
        </w:rPr>
        <w:t>　　（4）负责全市农业新品种、新技术的试验、示范、总结和推广。做好全市“科技之冬”、“科技之春、“科技之夏”活动的培训工作，更进一步做好我市测土配方施肥项目的实施工作。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沙湾市农业技术推广中心</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47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24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23</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单位无下属预算单位，下设2个处室，分别是：业务室、财务室。</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p>
    <w:p>
      <w:pPr>
        <w:pStyle w:val="13"/>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711.57万元，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711.57万元，使用非财政拨款结余0.00万元，年初结转和结余0.00万元。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711.57万元，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711.57万元，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numPr>
          <w:ilvl w:val="0"/>
          <w:numId w:val="0"/>
        </w:numPr>
        <w:ind w:firstLine="640" w:firstLineChars="200"/>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增加183.81万元</w:t>
      </w:r>
      <w:r>
        <w:rPr>
          <w:rFonts w:hint="eastAsia" w:ascii="仿宋_GB2312" w:eastAsia="仿宋_GB2312"/>
          <w:color w:val="auto"/>
          <w:spacing w:val="0"/>
          <w:sz w:val="32"/>
          <w:szCs w:val="32"/>
          <w:highlight w:val="none"/>
          <w:lang w:eastAsia="zh-CN"/>
        </w:rPr>
        <w:t>，增长34.83%，主要原因是：</w:t>
      </w:r>
      <w:r>
        <w:rPr>
          <w:rFonts w:hint="eastAsia" w:ascii="仿宋_GB2312" w:hAnsi="仿宋" w:eastAsia="仿宋_GB2312" w:cs="Times New Roman"/>
          <w:color w:val="auto"/>
          <w:sz w:val="32"/>
          <w:szCs w:val="32"/>
          <w:lang w:val="en-US" w:eastAsia="zh-CN"/>
        </w:rPr>
        <w:t>本年增加基础绩效工资和艰边津贴，增加在职转退休职业年金收入，增加粮油单产提升项目收入146万元，增加以前年度耕地保护与质量提升项目资金收入20万元，增加上年度为民办实事项目资金10万元，</w:t>
      </w:r>
      <w:r>
        <w:rPr>
          <w:rFonts w:hint="eastAsia" w:ascii="仿宋_GB2312" w:hAnsi="仿宋" w:eastAsia="仿宋_GB2312"/>
          <w:color w:val="auto"/>
          <w:sz w:val="32"/>
          <w:szCs w:val="32"/>
          <w:lang w:val="en-US" w:eastAsia="zh-CN"/>
        </w:rPr>
        <w:t>使本年收入支出总体增加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711.57</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711.57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本年支出711.57万元，其中：基本支出525.57万元，占73.86%；项目支出</w:t>
      </w:r>
      <w:r>
        <w:rPr>
          <w:rFonts w:hint="eastAsia" w:ascii="仿宋_GB2312" w:hAnsi="仿宋_GB2312" w:eastAsia="仿宋_GB2312" w:cs="仿宋_GB2312"/>
          <w:color w:val="auto"/>
          <w:sz w:val="32"/>
          <w:szCs w:val="32"/>
          <w:highlight w:val="none"/>
          <w:lang w:val="en-US" w:eastAsia="zh-CN"/>
        </w:rPr>
        <w:t>186</w:t>
      </w:r>
      <w:r>
        <w:rPr>
          <w:rFonts w:hint="eastAsia" w:ascii="仿宋_GB2312" w:hAnsi="仿宋_GB2312" w:eastAsia="仿宋_GB2312" w:cs="仿宋_GB2312"/>
          <w:color w:val="auto"/>
          <w:sz w:val="32"/>
          <w:szCs w:val="32"/>
          <w:highlight w:val="none"/>
          <w:lang w:val="zh-CN" w:eastAsia="zh-CN"/>
        </w:rPr>
        <w:t>万元，占26.14%；上缴上级支出0.00万元，占0.00%；经营支出0.00万元，占0.00%；对附属单位补助支出0.00万元，占0.00%。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711.57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711.57</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711.57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711.57</w:t>
      </w:r>
      <w:r>
        <w:rPr>
          <w:rFonts w:hint="eastAsia" w:ascii="仿宋_GB2312" w:eastAsia="仿宋_GB2312"/>
          <w:color w:val="auto"/>
          <w:spacing w:val="0"/>
          <w:sz w:val="32"/>
          <w:szCs w:val="32"/>
          <w:highlight w:val="none"/>
          <w:lang w:eastAsia="zh-CN"/>
        </w:rPr>
        <w:t>万元。</w:t>
      </w:r>
    </w:p>
    <w:p>
      <w:pPr>
        <w:numPr>
          <w:ilvl w:val="0"/>
          <w:numId w:val="0"/>
        </w:numPr>
        <w:ind w:firstLine="640" w:firstLineChars="200"/>
        <w:rPr>
          <w:rFonts w:hint="eastAsia" w:ascii="仿宋_GB2312" w:hAnsi="仿宋" w:eastAsia="仿宋_GB2312" w:cs="Times New Roman"/>
          <w:color w:val="auto"/>
          <w:sz w:val="32"/>
          <w:szCs w:val="32"/>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增加183.81万元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增长34.83%,</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cs="Times New Roman"/>
          <w:color w:val="auto"/>
          <w:sz w:val="32"/>
          <w:szCs w:val="32"/>
          <w:lang w:val="en-US" w:eastAsia="zh-CN"/>
        </w:rPr>
        <w:t>本年增加基础绩效工资和艰边津贴，增加在职转退休职业年金收入，增加粮油单产提升项目收入146万元，增加以前年度耕地保护与质量提升项目资金收入20万元，增加上年度为民办实事项目资金10万元，</w:t>
      </w:r>
      <w:r>
        <w:rPr>
          <w:rFonts w:hint="eastAsia" w:ascii="仿宋_GB2312" w:hAnsi="仿宋" w:eastAsia="仿宋_GB2312"/>
          <w:color w:val="auto"/>
          <w:sz w:val="32"/>
          <w:szCs w:val="32"/>
          <w:lang w:val="en-US" w:eastAsia="zh-CN"/>
        </w:rPr>
        <w:t>使本年收入支出总体增加。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484.00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711.57</w:t>
      </w:r>
      <w:r>
        <w:rPr>
          <w:rFonts w:hint="eastAsia" w:ascii="仿宋_GB2312" w:eastAsia="仿宋_GB2312"/>
          <w:color w:val="auto"/>
          <w:spacing w:val="0"/>
          <w:sz w:val="32"/>
          <w:szCs w:val="32"/>
          <w:highlight w:val="none"/>
          <w:lang w:eastAsia="zh-CN"/>
        </w:rPr>
        <w:t>万元，预决算差异率47.02%，主要原因是：</w:t>
      </w:r>
      <w:r>
        <w:rPr>
          <w:rFonts w:hint="eastAsia" w:ascii="仿宋_GB2312" w:hAnsi="仿宋" w:eastAsia="仿宋_GB2312"/>
          <w:color w:val="auto"/>
          <w:sz w:val="32"/>
          <w:szCs w:val="32"/>
          <w:lang w:val="en-US" w:eastAsia="zh-CN"/>
        </w:rPr>
        <w:t>本年追加2023年中央农业经营主体能力提升-粮油单产提升项目</w:t>
      </w:r>
      <w:r>
        <w:rPr>
          <w:rFonts w:hint="eastAsia" w:ascii="仿宋_GB2312" w:hAnsi="仿宋" w:eastAsia="仿宋_GB2312" w:cs="Times New Roman"/>
          <w:color w:val="auto"/>
          <w:sz w:val="32"/>
          <w:szCs w:val="32"/>
          <w:lang w:val="en-US" w:eastAsia="zh-CN"/>
        </w:rPr>
        <w:t>146万元；2018年中央农业资源及生态保护补助资金-耕地保护与质量提升项目20万元；2022年为民办实事工作专项经费10万元；2023年为民办实事工作专项经费10万元</w:t>
      </w:r>
      <w:bookmarkStart w:id="16" w:name="_Toc20360"/>
      <w:bookmarkStart w:id="17" w:name="_Toc13833"/>
      <w:r>
        <w:rPr>
          <w:rFonts w:hint="eastAsia" w:ascii="仿宋_GB2312" w:eastAsia="仿宋_GB2312"/>
          <w:color w:val="auto"/>
          <w:spacing w:val="0"/>
          <w:sz w:val="32"/>
          <w:szCs w:val="32"/>
          <w:highlight w:val="none"/>
          <w:lang w:eastAsia="zh-CN"/>
        </w:rPr>
        <w:t>。</w:t>
      </w:r>
    </w:p>
    <w:p>
      <w:pPr>
        <w:numPr>
          <w:ilvl w:val="0"/>
          <w:numId w:val="0"/>
        </w:numPr>
        <w:ind w:firstLine="640" w:firstLineChars="200"/>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numPr>
          <w:ilvl w:val="0"/>
          <w:numId w:val="0"/>
        </w:numPr>
        <w:ind w:firstLine="640" w:firstLineChars="200"/>
        <w:rPr>
          <w:rFonts w:hint="eastAsia" w:ascii="仿宋_GB2312" w:hAnsi="仿宋" w:eastAsia="仿宋_GB2312" w:cs="Times New Roman"/>
          <w:color w:val="auto"/>
          <w:sz w:val="32"/>
          <w:szCs w:val="32"/>
          <w:lang w:val="en-US" w:eastAsia="zh-CN"/>
        </w:rPr>
      </w:pPr>
      <w:r>
        <w:rPr>
          <w:rFonts w:hint="eastAsia" w:ascii="仿宋_GB2312" w:eastAsia="仿宋_GB2312"/>
          <w:color w:val="auto"/>
          <w:spacing w:val="0"/>
          <w:sz w:val="32"/>
          <w:szCs w:val="32"/>
          <w:highlight w:val="none"/>
          <w:lang w:eastAsia="zh-CN"/>
        </w:rPr>
        <w:t>2023年度一般公共预算财政拨款支出711.57万元，占本年支出合计的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增加183.81万元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增长34.83%,</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cs="Times New Roman"/>
          <w:color w:val="auto"/>
          <w:sz w:val="32"/>
          <w:szCs w:val="32"/>
          <w:lang w:val="en-US" w:eastAsia="zh-CN"/>
        </w:rPr>
        <w:t>本年增加基础绩效工资和艰边津贴，增加在职转退休职业年金收入，增加粮油单产提升项目收入146万元，增加以前年度耕地保护与质量提升项目资金收入20万元，增加上年度为民办实事项目资金10万元，</w:t>
      </w:r>
      <w:r>
        <w:rPr>
          <w:rFonts w:hint="eastAsia" w:ascii="仿宋_GB2312" w:hAnsi="仿宋" w:eastAsia="仿宋_GB2312"/>
          <w:color w:val="auto"/>
          <w:sz w:val="32"/>
          <w:szCs w:val="32"/>
          <w:lang w:val="en-US" w:eastAsia="zh-CN"/>
        </w:rPr>
        <w:t>使本年收入支出总体增加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484.00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711.57</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47.02%</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color w:val="auto"/>
          <w:sz w:val="32"/>
          <w:szCs w:val="32"/>
          <w:lang w:val="en-US" w:eastAsia="zh-CN"/>
        </w:rPr>
        <w:t>本年追加2023年中央农业经营主体能力提升-粮油单产提升项目</w:t>
      </w:r>
      <w:r>
        <w:rPr>
          <w:rFonts w:hint="eastAsia" w:ascii="仿宋_GB2312" w:hAnsi="仿宋" w:eastAsia="仿宋_GB2312" w:cs="Times New Roman"/>
          <w:color w:val="auto"/>
          <w:sz w:val="32"/>
          <w:szCs w:val="32"/>
          <w:lang w:val="en-US" w:eastAsia="zh-CN"/>
        </w:rPr>
        <w:t>146万元；2018年中央农业资源及生态保护补助资金-耕地保护与质量提升项目20万元；2022年为民办实事工作专项经费10万元；2023年为民办实事工作专项经费10万元</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65.30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9.18%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20.87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2.93%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3</w:t>
      </w:r>
      <w:r>
        <w:rPr>
          <w:rFonts w:hint="eastAsia" w:ascii="仿宋_GB2312" w:hAnsi="仿宋_GB2312" w:eastAsia="仿宋_GB2312" w:cs="仿宋_GB2312"/>
          <w:color w:val="auto"/>
          <w:spacing w:val="0"/>
          <w:kern w:val="2"/>
          <w:sz w:val="32"/>
          <w:szCs w:val="32"/>
          <w:highlight w:val="none"/>
          <w:lang w:val="zh-CN" w:eastAsia="zh-CN" w:bidi="ar-SA"/>
        </w:rPr>
        <w:t>.农林水支出（类）568.91万元，占</w:t>
      </w:r>
      <w:r>
        <w:rPr>
          <w:rFonts w:hint="eastAsia" w:ascii="仿宋_GB2312" w:eastAsia="仿宋_GB2312" w:cs="Times New Roman"/>
          <w:color w:val="auto"/>
          <w:spacing w:val="0"/>
          <w:kern w:val="2"/>
          <w:sz w:val="32"/>
          <w:szCs w:val="32"/>
          <w:highlight w:val="none"/>
          <w:lang w:val="zh-CN" w:eastAsia="zh-CN" w:bidi="ar-SA"/>
        </w:rPr>
        <w:t>79.95%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36.48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5.13%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5</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20.00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2.81%</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1.卫生健康支出（类）行政事业单位医疗（款）事业单位医疗（项）:支出决算数为20.87万元，比上年决算减少9.63万元，下降31.57%，主要原因是：</w:t>
      </w:r>
      <w:r>
        <w:rPr>
          <w:rFonts w:hint="eastAsia" w:ascii="仿宋_GB2312" w:hAnsi="仿宋" w:eastAsia="仿宋_GB2312"/>
          <w:color w:val="auto"/>
          <w:sz w:val="32"/>
          <w:szCs w:val="32"/>
          <w:lang w:val="en-US" w:eastAsia="zh-CN"/>
        </w:rPr>
        <w:t>本年度按医保政策要求，退回已经支付的退休人员的基本医疗保险9.61万元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2.农林水支出（类）农业农村（款）事业运行（项）:支出决算数为402.92万元，比上年决算增加24.91万元，增长6.59%，主要原因是：</w:t>
      </w:r>
      <w:r>
        <w:rPr>
          <w:rFonts w:hint="eastAsia" w:ascii="仿宋_GB2312" w:hAnsi="仿宋" w:eastAsia="仿宋_GB2312"/>
          <w:color w:val="auto"/>
          <w:sz w:val="32"/>
          <w:szCs w:val="32"/>
          <w:lang w:val="en-US" w:eastAsia="zh-CN"/>
        </w:rPr>
        <w:t>增加原因为</w:t>
      </w:r>
      <w:r>
        <w:rPr>
          <w:rFonts w:hint="eastAsia" w:ascii="仿宋_GB2312" w:hAnsi="仿宋" w:eastAsia="仿宋_GB2312" w:cs="Times New Roman"/>
          <w:color w:val="auto"/>
          <w:sz w:val="32"/>
          <w:szCs w:val="32"/>
          <w:lang w:val="en-US" w:eastAsia="zh-CN"/>
        </w:rPr>
        <w:t>本年增加基础绩效工资和艰边津贴</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3.住房保障支出（类）住房改革支出（款）住房公积金（项）:支出决算数为36.48万元，比上年决算增加1.56万元，增长4.47%，主要原因是：</w:t>
      </w:r>
      <w:r>
        <w:rPr>
          <w:rFonts w:hint="eastAsia" w:ascii="仿宋_GB2312" w:hAnsi="仿宋" w:eastAsia="仿宋_GB2312"/>
          <w:color w:val="auto"/>
          <w:sz w:val="32"/>
          <w:szCs w:val="32"/>
          <w:lang w:val="en-US" w:eastAsia="zh-CN"/>
        </w:rPr>
        <w:t>本年度由于人员工资增加，住房公积金缴费基数增加，使住房公积金决算支出增加</w:t>
      </w:r>
      <w:r>
        <w:rPr>
          <w:rFonts w:hint="eastAsia" w:ascii="仿宋_GB2312" w:hAnsi="仿宋_GB2312" w:eastAsia="仿宋_GB2312" w:cs="仿宋_GB2312"/>
          <w:color w:val="auto"/>
          <w:kern w:val="2"/>
          <w:sz w:val="32"/>
          <w:szCs w:val="32"/>
          <w:highlight w:val="none"/>
          <w:lang w:val="zh-CN" w:eastAsia="zh-CN" w:bidi="ar-SA"/>
        </w:rPr>
        <w:t>。</w:t>
      </w:r>
    </w:p>
    <w:p>
      <w:pPr>
        <w:numPr>
          <w:ilvl w:val="0"/>
          <w:numId w:val="0"/>
        </w:numPr>
        <w:ind w:firstLine="640" w:firstLineChars="200"/>
        <w:rPr>
          <w:rFonts w:hint="eastAsia" w:ascii="仿宋_GB2312" w:hAnsi="仿宋" w:eastAsia="仿宋_GB2312" w:cs="Times New Roman"/>
          <w:color w:val="auto"/>
          <w:sz w:val="32"/>
          <w:szCs w:val="32"/>
          <w:lang w:val="en-US" w:eastAsia="zh-CN"/>
        </w:rPr>
      </w:pPr>
      <w:r>
        <w:rPr>
          <w:rFonts w:hint="eastAsia" w:ascii="仿宋_GB2312" w:hAnsi="仿宋_GB2312" w:eastAsia="仿宋_GB2312" w:cs="仿宋_GB2312"/>
          <w:color w:val="auto"/>
          <w:kern w:val="2"/>
          <w:sz w:val="32"/>
          <w:szCs w:val="32"/>
          <w:highlight w:val="none"/>
          <w:lang w:val="en-US" w:eastAsia="zh-CN" w:bidi="ar-SA"/>
        </w:rPr>
        <w:t>4.社会保障和就业支出（类）行政事业单位养老支出（款）事业单位离退休（项）:支出决算数为13.26万元，比上年决算增加5.39万元，增长68.49%，主要原因是：</w:t>
      </w:r>
      <w:r>
        <w:rPr>
          <w:rFonts w:hint="eastAsia" w:ascii="仿宋_GB2312" w:hAnsi="仿宋" w:eastAsia="仿宋_GB2312" w:cs="Times New Roman"/>
          <w:color w:val="auto"/>
          <w:sz w:val="32"/>
          <w:szCs w:val="32"/>
          <w:lang w:val="en-US" w:eastAsia="zh-CN"/>
        </w:rPr>
        <w:t>增加退休人员基础绩效奖13.26万元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5.农林水支出（类）农业农村（款）农村合作经济（项）:支出决算数为145.99万元，比上年决算增加145.99万元，增长100%，主要原因是：增加粮油单产提升项目145.99万元</w:t>
      </w:r>
      <w:r>
        <w:rPr>
          <w:rFonts w:hint="eastAsia" w:ascii="仿宋_GB2312" w:hAnsi="仿宋_GB2312" w:eastAsia="仿宋_GB2312" w:cs="仿宋_GB2312"/>
          <w:color w:val="auto"/>
          <w:kern w:val="2"/>
          <w:sz w:val="32"/>
          <w:szCs w:val="32"/>
          <w:highlight w:val="none"/>
          <w:lang w:val="zh-CN" w:eastAsia="zh-CN" w:bidi="ar-SA"/>
        </w:rPr>
        <w:t>。</w:t>
      </w:r>
    </w:p>
    <w:p>
      <w:pPr>
        <w:numPr>
          <w:ilvl w:val="0"/>
          <w:numId w:val="0"/>
        </w:numPr>
        <w:ind w:firstLine="640" w:firstLineChars="200"/>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6.农林水支出（类）农业农村（款）农业资源保护修复与利用（项）:支出决算数为20.00万元，比上年决算增加20.00万元，增长100%，主要原因是：增加以前年度耕地保护与质量提升项目资金20万元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7.社会保障和就业支出（类）行政事业单位养老支出（款）机关事业单位职业年金缴费支出（项）:支出决算数为5.38万元，比上年决算增加5.38万元，增长100%，主要原因是：</w:t>
      </w:r>
      <w:r>
        <w:rPr>
          <w:rFonts w:hint="eastAsia" w:ascii="仿宋_GB2312" w:hAnsi="仿宋" w:eastAsia="仿宋_GB2312"/>
          <w:color w:val="auto"/>
          <w:sz w:val="32"/>
          <w:szCs w:val="32"/>
          <w:lang w:val="en-US" w:eastAsia="zh-CN"/>
        </w:rPr>
        <w:t>增加原因为本年度</w:t>
      </w:r>
      <w:r>
        <w:rPr>
          <w:rFonts w:hint="eastAsia" w:ascii="仿宋_GB2312" w:hAnsi="仿宋" w:eastAsia="仿宋_GB2312" w:cs="Times New Roman"/>
          <w:color w:val="auto"/>
          <w:sz w:val="32"/>
          <w:szCs w:val="32"/>
          <w:lang w:val="en-US" w:eastAsia="zh-CN"/>
        </w:rPr>
        <w:t>增加在职转退休职业年金支出5.38万元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8.其他支出（类）其他支出（款）其他支出（项）:支出决算数为20.00万元，比上年决算增加15.00万元，增长300.00%，主要原因是：</w:t>
      </w:r>
      <w:r>
        <w:rPr>
          <w:rFonts w:hint="eastAsia" w:ascii="仿宋_GB2312" w:hAnsi="仿宋" w:eastAsia="仿宋_GB2312"/>
          <w:color w:val="auto"/>
          <w:sz w:val="32"/>
          <w:szCs w:val="32"/>
          <w:lang w:val="en-US" w:eastAsia="zh-CN"/>
        </w:rPr>
        <w:t>因为本年度支付上年度为民办实事项目资金10万元，支付本年度为民办实事项目资金10万元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社会保障和就业支出（类）行政事业单位养老支出（款）机关事业单位基本养老保险缴费支出（项）:支出决算数为46.67万元，比上年决算增加7.23万元，增长18.33%，主要原因是：增加原因为本年支付退休人员基础绩效奖</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10.农林水支出（类）农业农村（款）其他农业农村支出（项）:支出决算数为0.00万元，比上年决算减少32.01万元，下降100%，</w:t>
      </w:r>
      <w:r>
        <w:rPr>
          <w:rFonts w:hint="eastAsia" w:ascii="仿宋_GB2312" w:eastAsia="仿宋_GB2312"/>
          <w:sz w:val="32"/>
          <w:szCs w:val="32"/>
          <w:highlight w:val="none"/>
          <w:lang w:val="en-US" w:eastAsia="zh-CN"/>
        </w:rPr>
        <w:t>主要原因是:2022年支付2011年巩固退耕还林项目化债资金，2023年无需支付。</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525.57</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504.93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基本工资、津贴补贴、奖金、绩效工资、机关事业单位基本养老保险缴费、职业年金缴费、职工基本医疗保险缴费、其他社会保障缴费、住房公积金、退休费、抚恤金、其他对个人和家庭的补助、。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20.64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办公费、水费、电费、邮电费、物业管理费、差旅费、维修（护）费、培训费、工会经费、公务用车运行维护费、。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“三公”经费支出4.00万元，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增加1.12万元，</w:t>
      </w:r>
      <w:r>
        <w:rPr>
          <w:rFonts w:hint="eastAsia" w:ascii="仿宋_GB2312" w:eastAsia="仿宋_GB2312"/>
          <w:color w:val="auto"/>
          <w:spacing w:val="0"/>
          <w:sz w:val="32"/>
          <w:szCs w:val="32"/>
          <w:highlight w:val="none"/>
          <w:lang w:val="en-US" w:eastAsia="zh-CN"/>
        </w:rPr>
        <w:t>增长38.89%,</w:t>
      </w:r>
      <w:r>
        <w:rPr>
          <w:rFonts w:hint="eastAsia" w:ascii="仿宋_GB2312" w:eastAsia="仿宋_GB2312"/>
          <w:color w:val="auto"/>
          <w:sz w:val="32"/>
          <w:szCs w:val="32"/>
          <w:highlight w:val="none"/>
          <w:lang w:val="zh-CN" w:eastAsia="zh-CN"/>
        </w:rPr>
        <w:t>主要原因是：</w:t>
      </w:r>
      <w:r>
        <w:rPr>
          <w:rFonts w:hint="eastAsia" w:ascii="仿宋_GB2312" w:hAnsi="仿宋" w:eastAsia="仿宋_GB2312" w:cs="Times New Roman"/>
          <w:color w:val="auto"/>
          <w:sz w:val="32"/>
          <w:szCs w:val="32"/>
          <w:lang w:val="en-US" w:eastAsia="zh-CN"/>
        </w:rPr>
        <w:t>本年单位承担全国土壤普查工作，下乡用车频繁，车辆加油费增加，</w:t>
      </w:r>
      <w:r>
        <w:rPr>
          <w:rFonts w:hint="eastAsia" w:ascii="仿宋_GB2312" w:hAnsi="仿宋" w:eastAsia="仿宋_GB2312"/>
          <w:color w:val="auto"/>
          <w:sz w:val="32"/>
          <w:szCs w:val="32"/>
          <w:lang w:val="en-US" w:eastAsia="zh-CN"/>
        </w:rPr>
        <w:t>使公务用车运行维护费增加</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主要原因是：本年度没有安排因公出国（境）费支出；公务用车购置及运行维护费支出4.00万元，占100.00%，比上年增加1.16万元，</w:t>
      </w:r>
      <w:r>
        <w:rPr>
          <w:rFonts w:hint="eastAsia" w:ascii="仿宋_GB2312" w:eastAsia="仿宋_GB2312"/>
          <w:color w:val="auto"/>
          <w:spacing w:val="0"/>
          <w:sz w:val="32"/>
          <w:szCs w:val="32"/>
          <w:highlight w:val="none"/>
          <w:lang w:val="en-US" w:eastAsia="zh-CN"/>
        </w:rPr>
        <w:t>增长40.85%,</w:t>
      </w:r>
      <w:r>
        <w:rPr>
          <w:rFonts w:hint="eastAsia" w:ascii="仿宋_GB2312" w:eastAsia="仿宋_GB2312"/>
          <w:color w:val="auto"/>
          <w:sz w:val="32"/>
          <w:szCs w:val="32"/>
          <w:highlight w:val="none"/>
          <w:lang w:val="zh-CN" w:eastAsia="zh-CN"/>
        </w:rPr>
        <w:t>主要原因是：</w:t>
      </w:r>
      <w:r>
        <w:rPr>
          <w:rFonts w:hint="eastAsia" w:ascii="仿宋_GB2312" w:hAnsi="仿宋" w:eastAsia="仿宋_GB2312" w:cs="Times New Roman"/>
          <w:color w:val="auto"/>
          <w:sz w:val="32"/>
          <w:szCs w:val="32"/>
          <w:lang w:val="en-US" w:eastAsia="zh-CN"/>
        </w:rPr>
        <w:t>本年单位承担全国土壤普查工作，下乡用车频繁，车辆加油费增加，</w:t>
      </w:r>
      <w:r>
        <w:rPr>
          <w:rFonts w:hint="eastAsia" w:ascii="仿宋_GB2312" w:hAnsi="仿宋" w:eastAsia="仿宋_GB2312"/>
          <w:color w:val="auto"/>
          <w:sz w:val="32"/>
          <w:szCs w:val="32"/>
          <w:lang w:val="en-US" w:eastAsia="zh-CN"/>
        </w:rPr>
        <w:t>使公务用车运行维护费增加</w:t>
      </w:r>
      <w:r>
        <w:rPr>
          <w:rFonts w:hint="eastAsia" w:ascii="仿宋_GB2312" w:eastAsia="仿宋_GB2312"/>
          <w:color w:val="auto"/>
          <w:sz w:val="32"/>
          <w:szCs w:val="32"/>
          <w:highlight w:val="none"/>
          <w:lang w:val="zh-CN" w:eastAsia="zh-CN"/>
        </w:rPr>
        <w:t>；公务接待费支出0.00万元，占0.00%，比上年减少0.04万元，</w:t>
      </w:r>
      <w:r>
        <w:rPr>
          <w:rFonts w:hint="eastAsia" w:ascii="仿宋_GB2312" w:eastAsia="仿宋_GB2312"/>
          <w:color w:val="auto"/>
          <w:spacing w:val="0"/>
          <w:sz w:val="32"/>
          <w:szCs w:val="32"/>
          <w:highlight w:val="none"/>
          <w:lang w:val="en-US" w:eastAsia="zh-CN"/>
        </w:rPr>
        <w:t>下降100.00%,</w:t>
      </w:r>
      <w:r>
        <w:rPr>
          <w:rFonts w:hint="eastAsia" w:ascii="仿宋_GB2312" w:eastAsia="仿宋_GB2312"/>
          <w:color w:val="auto"/>
          <w:sz w:val="32"/>
          <w:szCs w:val="32"/>
          <w:highlight w:val="none"/>
          <w:lang w:val="zh-CN" w:eastAsia="zh-CN"/>
        </w:rPr>
        <w:t>主要原因是：</w:t>
      </w:r>
      <w:r>
        <w:rPr>
          <w:rFonts w:hint="eastAsia" w:ascii="仿宋_GB2312" w:hAnsi="仿宋" w:eastAsia="仿宋_GB2312" w:cs="Times New Roman"/>
          <w:color w:val="auto"/>
          <w:sz w:val="32"/>
          <w:szCs w:val="32"/>
          <w:lang w:val="en-US" w:eastAsia="zh-CN"/>
        </w:rPr>
        <w:t>本年单位本着厉行节约的原则，减少公务接待支出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因公出国（境）费支出0.00万元。开支内容包括因公出国（境）费支出，</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公务用车购置及运行维护费4.00万元，其中：公务用车购置费0.00万元，公务用车运行维护费4.00万元。主要原因是：支付公务用车运行维护费</w:t>
      </w:r>
      <w:r>
        <w:rPr>
          <w:rFonts w:hint="eastAsia" w:ascii="仿宋_GB2312" w:eastAsia="仿宋_GB2312"/>
          <w:color w:val="auto"/>
          <w:sz w:val="32"/>
          <w:szCs w:val="32"/>
          <w:highlight w:val="none"/>
          <w:lang w:val="en-US" w:eastAsia="zh-CN"/>
        </w:rPr>
        <w:t>4.00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w:t>
      </w:r>
      <w:r>
        <w:rPr>
          <w:rFonts w:hint="eastAsia" w:ascii="仿宋_GB2312" w:eastAsia="仿宋_GB2312"/>
          <w:color w:val="0D0D0D" w:themeColor="text1" w:themeTint="F2"/>
          <w:sz w:val="32"/>
          <w:szCs w:val="32"/>
          <w:highlight w:val="none"/>
          <w:lang w:val="zh-CN" w:eastAsia="zh-CN"/>
          <w14:textFill>
            <w14:solidFill>
              <w14:schemeClr w14:val="tx1">
                <w14:lumMod w14:val="95000"/>
                <w14:lumOff w14:val="5000"/>
              </w14:schemeClr>
            </w14:solidFill>
          </w14:textFill>
        </w:rPr>
        <w:t>公务用车运行维护费开支内容包括一是用于公务用车加油。二是用于车辆维修</w:t>
      </w:r>
      <w:r>
        <w:rPr>
          <w:rFonts w:hint="eastAsia" w:ascii="仿宋_GB2312" w:eastAsia="仿宋_GB2312"/>
          <w:color w:val="auto"/>
          <w:sz w:val="32"/>
          <w:szCs w:val="32"/>
          <w:highlight w:val="none"/>
          <w:lang w:val="zh-CN" w:eastAsia="zh-CN"/>
        </w:rPr>
        <w:t>。公务用车购置数0辆，公务用车保有量2辆。国有资产占用情况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原因是：无差异。</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highlight w:val="none"/>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预算数4.40万元，决算数4.00万元，预决算差异率-9.09%，主要原因是：</w:t>
      </w:r>
      <w:r>
        <w:rPr>
          <w:rFonts w:hint="eastAsia" w:ascii="仿宋_GB2312" w:hAnsi="仿宋" w:eastAsia="仿宋_GB2312" w:cs="Times New Roman"/>
          <w:color w:val="auto"/>
          <w:sz w:val="32"/>
          <w:szCs w:val="32"/>
          <w:lang w:val="en-US" w:eastAsia="zh-CN"/>
        </w:rPr>
        <w:t>本年单位本着厉行节约的原则，减少公务接待支出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0.00万元，决算数0.00万元，主要原因是：我单位202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val="zh-CN" w:eastAsia="zh-CN"/>
        </w:rPr>
        <w:t>年没有安排因公出国（境）费，预决算</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预算数0.00万元，决算数0.00万元，主要原因是：我单位202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val="zh-CN" w:eastAsia="zh-CN"/>
        </w:rPr>
        <w:t>年没有安排公务用车购置费，预决算</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lang w:val="zh-CN" w:eastAsia="zh-CN"/>
        </w:rPr>
        <w:t>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预算数4.00万元，决算数4.00万元，主要原因是：公务用车运行费预算数和决算数无变化，预决算差异率0.00%；公务接待费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预算数0.40万元，决算数0.00万元，预决算差异率-100.00%，主要原因是：本单位</w:t>
      </w:r>
      <w:r>
        <w:rPr>
          <w:rFonts w:hint="eastAsia" w:ascii="仿宋_GB2312" w:eastAsia="仿宋_GB2312"/>
          <w:color w:val="auto"/>
          <w:sz w:val="32"/>
          <w:szCs w:val="32"/>
          <w:highlight w:val="none"/>
          <w:lang w:val="en-US" w:eastAsia="zh-CN"/>
        </w:rPr>
        <w:t>2023年未产生公务接待费用支出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沙湾市农业技术推广中心（事业单位）公用经费支出20.64万元，</w:t>
      </w:r>
      <w:r>
        <w:rPr>
          <w:rFonts w:hint="eastAsia" w:ascii="仿宋_GB2312" w:hAnsi="仿宋_GB2312" w:eastAsia="仿宋_GB2312" w:cs="仿宋_GB2312"/>
          <w:color w:val="auto"/>
          <w:sz w:val="32"/>
          <w:szCs w:val="32"/>
          <w:highlight w:val="none"/>
          <w:lang w:val="zh-CN" w:eastAsia="zh-CN"/>
        </w:rPr>
        <w:t>比上年增加7.95万元，增长62.65%，主要原因是：</w:t>
      </w:r>
      <w:r>
        <w:rPr>
          <w:rFonts w:hint="eastAsia" w:ascii="仿宋_GB2312" w:hAnsi="仿宋_GB2312" w:eastAsia="仿宋_GB2312" w:cs="仿宋_GB2312"/>
          <w:color w:val="auto"/>
          <w:sz w:val="32"/>
          <w:szCs w:val="32"/>
          <w:highlight w:val="none"/>
          <w:lang w:val="en-US" w:eastAsia="zh-CN"/>
        </w:rPr>
        <w:t>上年度有部分公用经费没有及时支付，本年度较上年多支付了公用经费。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12.43万元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其中：政府采购货物支出8.06万元、政府采购工程支出0.00万元、政府采购服务支出4.36万元。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授予中小企业合同金额12.43万元，占政府采购支出总额的100.00%，其中：授予小微企业合同金额6.61万元，占政府采购支出总额的53.18%</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132.73</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屋228.60平方米，价值14.02万元。车辆2辆，价值22.10万元，其中：副部（省）级及以上领导用车0辆、主要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用车0辆、其他用车2辆，</w:t>
      </w:r>
      <w:r>
        <w:rPr>
          <w:rFonts w:hint="eastAsia" w:ascii="仿宋_GB2312" w:eastAsia="仿宋_GB2312"/>
          <w:sz w:val="32"/>
          <w:szCs w:val="32"/>
          <w:highlight w:val="none"/>
          <w:lang w:eastAsia="zh-CN"/>
        </w:rPr>
        <w:t>其他用车主要是：一般</w:t>
      </w:r>
      <w:r>
        <w:rPr>
          <w:rFonts w:hint="eastAsia" w:ascii="仿宋_GB2312" w:eastAsia="仿宋_GB2312"/>
          <w:sz w:val="32"/>
          <w:szCs w:val="32"/>
          <w:highlight w:val="none"/>
          <w:lang w:val="en-US" w:eastAsia="zh-CN"/>
        </w:rPr>
        <w:t>业务用车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pStyle w:val="17"/>
        <w:snapToGrid w:val="0"/>
        <w:spacing w:line="570" w:lineRule="exact"/>
        <w:ind w:firstLine="624"/>
        <w:rPr>
          <w:rStyle w:val="12"/>
          <w:rFonts w:ascii="仿宋_GB2312" w:hAnsi="仿宋_GB2312" w:eastAsia="仿宋_GB2312" w:cs="仿宋_GB2312"/>
          <w:b w:val="0"/>
          <w:bCs w:val="0"/>
          <w:color w:val="auto"/>
          <w:spacing w:val="-4"/>
          <w:sz w:val="32"/>
          <w:szCs w:val="32"/>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预算总额711.57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实际执行总额711.57</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全年预算数185.99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全年执行数185.99</w:t>
      </w:r>
      <w:bookmarkStart w:id="48" w:name="_GoBack"/>
      <w:bookmarkEnd w:id="48"/>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。其中：</w:t>
      </w:r>
      <w:r>
        <w:rPr>
          <w:rStyle w:val="12"/>
          <w:rFonts w:hint="eastAsia" w:ascii="仿宋_GB2312" w:hAnsi="仿宋_GB2312" w:eastAsia="仿宋_GB2312" w:cs="仿宋_GB2312"/>
          <w:b w:val="0"/>
          <w:bCs w:val="0"/>
          <w:color w:val="auto"/>
          <w:spacing w:val="-4"/>
          <w:sz w:val="32"/>
          <w:szCs w:val="32"/>
          <w:lang w:val="en-US" w:eastAsia="zh-CN"/>
        </w:rPr>
        <w:t>本单位sm项目2个，全年预算数20万元，全年执行数20万元，不予以公开。</w:t>
      </w:r>
      <w:r>
        <w:rPr>
          <w:rFonts w:hint="eastAsia" w:ascii="仿宋_GB2312" w:eastAsia="仿宋_GB2312"/>
          <w:color w:val="auto"/>
          <w:sz w:val="32"/>
          <w:szCs w:val="32"/>
          <w:highlight w:val="none"/>
          <w:lang w:eastAsia="zh-CN"/>
        </w:rPr>
        <w:t>预算绩效管理取得的成效：</w:t>
      </w:r>
      <w:r>
        <w:rPr>
          <w:rFonts w:hint="eastAsia" w:ascii="仿宋_GB2312" w:hAnsi="仿宋" w:eastAsia="仿宋_GB2312" w:cs="Times New Roman"/>
          <w:color w:val="auto"/>
          <w:kern w:val="2"/>
          <w:sz w:val="32"/>
          <w:szCs w:val="32"/>
          <w:lang w:val="en-US" w:eastAsia="zh-CN" w:bidi="ar-SA"/>
        </w:rPr>
        <w:t>一是学习贯彻习近平总书记关于“三农”工作的重要论述，按照省委十届六次全会安排部署，围绕单位目标任务，扎实做好农技中心各项业务工作，注重管理质量，提升工作效能；二是开展新品种新技术引进、试验、示范、展示，开展技术培训、信息发布、技物结合服务，加强技术指导，将农业新技术、新成果、新产品送到千家万户、田间地头，不断提高农业科技的普及率和到位率；三是负责全县农作物的病、虫、草、鼠的预测、预报，指导农民适时防治做好农作物病虫害监测预报工作；做好测土配方施肥宣传工作；做好耕地质量调查与评价工作。</w:t>
      </w:r>
      <w:r>
        <w:rPr>
          <w:rFonts w:hint="eastAsia" w:ascii="仿宋_GB2312" w:eastAsia="仿宋_GB2312"/>
          <w:color w:val="auto"/>
          <w:sz w:val="32"/>
          <w:szCs w:val="32"/>
          <w:highlight w:val="none"/>
          <w:lang w:eastAsia="zh-CN"/>
        </w:rPr>
        <w:t>发现的问题及原因：一是</w:t>
      </w:r>
      <w:r>
        <w:rPr>
          <w:rFonts w:hint="eastAsia" w:ascii="仿宋_GB2312" w:eastAsia="仿宋_GB2312"/>
          <w:color w:val="auto"/>
          <w:sz w:val="32"/>
          <w:szCs w:val="32"/>
          <w:highlight w:val="none"/>
          <w:lang w:val="en-US" w:eastAsia="zh-CN"/>
        </w:rPr>
        <w:t>预算绩效管理工作时间紧、任务重、专业性强，我单位的预算绩效存在一些不足之处需要完善。二是预算绩效管理缺乏系统的培训，造成预算绩效管理指导不到位、认识不到位，理解不充分，对预算绩效管理工作重点把握不到位。</w:t>
      </w:r>
      <w:r>
        <w:rPr>
          <w:rFonts w:hint="eastAsia" w:ascii="仿宋_GB2312" w:eastAsia="仿宋_GB2312"/>
          <w:color w:val="auto"/>
          <w:sz w:val="32"/>
          <w:szCs w:val="32"/>
          <w:highlight w:val="none"/>
          <w:lang w:eastAsia="zh-CN"/>
        </w:rPr>
        <w:t>下一步改进措施：</w:t>
      </w:r>
      <w:r>
        <w:rPr>
          <w:rStyle w:val="12"/>
          <w:rFonts w:hint="eastAsia" w:ascii="仿宋_GB2312" w:hAnsi="仿宋_GB2312" w:eastAsia="仿宋_GB2312" w:cs="仿宋_GB2312"/>
          <w:b w:val="0"/>
          <w:bCs w:val="0"/>
          <w:color w:val="auto"/>
          <w:spacing w:val="-4"/>
          <w:sz w:val="32"/>
          <w:szCs w:val="32"/>
          <w:lang w:val="en-US" w:eastAsia="zh-CN"/>
        </w:rPr>
        <w:t>一是</w:t>
      </w:r>
      <w:r>
        <w:rPr>
          <w:rStyle w:val="12"/>
          <w:rFonts w:hint="eastAsia" w:ascii="仿宋_GB2312" w:hAnsi="仿宋_GB2312" w:eastAsia="仿宋_GB2312" w:cs="仿宋_GB2312"/>
          <w:b w:val="0"/>
          <w:bCs w:val="0"/>
          <w:color w:val="auto"/>
          <w:spacing w:val="-4"/>
          <w:sz w:val="32"/>
          <w:szCs w:val="32"/>
        </w:rPr>
        <w:t>提高资金的使用效益。</w:t>
      </w:r>
      <w:r>
        <w:rPr>
          <w:rStyle w:val="12"/>
          <w:rFonts w:hint="eastAsia" w:ascii="仿宋_GB2312" w:hAnsi="仿宋_GB2312" w:eastAsia="仿宋_GB2312" w:cs="仿宋_GB2312"/>
          <w:b w:val="0"/>
          <w:bCs w:val="0"/>
          <w:color w:val="auto"/>
          <w:spacing w:val="-4"/>
          <w:sz w:val="32"/>
          <w:szCs w:val="32"/>
          <w:lang w:val="en-US" w:eastAsia="zh-CN"/>
        </w:rPr>
        <w:t>本单位将</w:t>
      </w:r>
      <w:r>
        <w:rPr>
          <w:rStyle w:val="12"/>
          <w:rFonts w:hint="eastAsia" w:ascii="仿宋_GB2312" w:hAnsi="仿宋_GB2312" w:eastAsia="仿宋_GB2312" w:cs="仿宋_GB2312"/>
          <w:b w:val="0"/>
          <w:bCs w:val="0"/>
          <w:color w:val="auto"/>
          <w:spacing w:val="-4"/>
          <w:sz w:val="32"/>
          <w:szCs w:val="32"/>
        </w:rPr>
        <w:t>以工作实际需求为依据，预算编制与工作实际相结合，按照规定的开支范围与开支标准，科学合理预测各项内容并按经济用途逐级细化分类，提高预算编制的科学性和准确性，优化支出结构，减少支出的随意性和盲目性，最大限度地将有限资源配置到效益最佳的部门并发挥最大效益。</w:t>
      </w:r>
      <w:r>
        <w:rPr>
          <w:rStyle w:val="12"/>
          <w:rFonts w:hint="eastAsia" w:ascii="仿宋_GB2312" w:hAnsi="仿宋_GB2312" w:eastAsia="仿宋_GB2312" w:cs="仿宋_GB2312"/>
          <w:b w:val="0"/>
          <w:bCs w:val="0"/>
          <w:color w:val="auto"/>
          <w:spacing w:val="-4"/>
          <w:sz w:val="32"/>
          <w:szCs w:val="32"/>
          <w:lang w:val="en-US" w:eastAsia="zh-CN"/>
        </w:rPr>
        <w:t>二是</w:t>
      </w:r>
      <w:r>
        <w:rPr>
          <w:rStyle w:val="12"/>
          <w:rFonts w:hint="eastAsia" w:ascii="仿宋_GB2312" w:hAnsi="仿宋_GB2312" w:eastAsia="仿宋_GB2312" w:cs="仿宋_GB2312"/>
          <w:b w:val="0"/>
          <w:bCs w:val="0"/>
          <w:color w:val="auto"/>
          <w:spacing w:val="-4"/>
          <w:sz w:val="32"/>
          <w:szCs w:val="32"/>
        </w:rPr>
        <w:t>统筹协调部门内部的资金需求和经费分配，通过分清轻重缓急，突出重点，合理保障部门运行及各项财政工作的顺利开展。牢固树立“过紧日子”思想，落实党中央八项规定精神，严控机关运行经费等一般性支出，确保厉行节约落到实处。</w:t>
      </w:r>
    </w:p>
    <w:p>
      <w:pPr>
        <w:numPr>
          <w:ilvl w:val="0"/>
          <w:numId w:val="0"/>
        </w:numPr>
        <w:spacing w:line="570" w:lineRule="exact"/>
        <w:ind w:firstLine="640" w:firstLineChars="200"/>
        <w:rPr>
          <w:rFonts w:hint="eastAsia" w:eastAsia="仿宋_GB2312"/>
          <w:color w:val="auto"/>
          <w:lang w:eastAsia="zh-CN"/>
        </w:rPr>
      </w:pP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24" w:firstLineChars="200"/>
        <w:jc w:val="left"/>
        <w:textAlignment w:val="auto"/>
        <w:rPr>
          <w:rStyle w:val="12"/>
          <w:rFonts w:hint="eastAsia" w:ascii="仿宋_GB2312" w:hAnsi="仿宋_GB2312" w:eastAsia="仿宋_GB2312" w:cs="仿宋_GB2312"/>
          <w:b w:val="0"/>
          <w:bCs w:val="0"/>
          <w:color w:val="auto"/>
          <w:spacing w:val="-4"/>
          <w:sz w:val="32"/>
          <w:szCs w:val="32"/>
          <w:lang w:val="en-US" w:eastAsia="zh-CN"/>
        </w:rPr>
      </w:pPr>
      <w:bookmarkStart w:id="30" w:name="_Toc3250"/>
      <w:bookmarkStart w:id="31" w:name="_Toc24143"/>
      <w:r>
        <w:rPr>
          <w:rStyle w:val="12"/>
          <w:rFonts w:hint="eastAsia" w:ascii="仿宋_GB2312" w:hAnsi="仿宋_GB2312" w:eastAsia="仿宋_GB2312" w:cs="仿宋_GB2312"/>
          <w:b w:val="0"/>
          <w:bCs w:val="0"/>
          <w:color w:val="auto"/>
          <w:spacing w:val="-4"/>
          <w:sz w:val="32"/>
          <w:szCs w:val="32"/>
          <w:lang w:val="en-US" w:eastAsia="zh-CN"/>
        </w:rPr>
        <w:t>本单位sm项目2个，全年预算数20万元，全年执行数20万元,不予以公开绩效自评表。</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仿宋_GB2312" w:hAnsi="仿宋_GB2312" w:eastAsia="仿宋_GB2312" w:cs="仿宋_GB2312"/>
          <w:color w:val="auto"/>
          <w:kern w:val="0"/>
          <w:sz w:val="32"/>
          <w:szCs w:val="32"/>
          <w:highlight w:val="none"/>
          <w:lang w:val="en-US" w:eastAsia="zh-CN"/>
        </w:rPr>
      </w:pPr>
      <w:r>
        <w:rPr>
          <w:rFonts w:hint="eastAsia" w:ascii="黑体" w:hAnsi="黑体" w:eastAsia="黑体"/>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EE58EC"/>
    <w:rsid w:val="00F52A8D"/>
    <w:rsid w:val="019404F8"/>
    <w:rsid w:val="01C30B6B"/>
    <w:rsid w:val="01ED22F2"/>
    <w:rsid w:val="01F64005"/>
    <w:rsid w:val="02515359"/>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983B33"/>
    <w:rsid w:val="05EF4B48"/>
    <w:rsid w:val="05F76ECA"/>
    <w:rsid w:val="06183A24"/>
    <w:rsid w:val="06792773"/>
    <w:rsid w:val="068E329F"/>
    <w:rsid w:val="06FD75CA"/>
    <w:rsid w:val="07093795"/>
    <w:rsid w:val="07804730"/>
    <w:rsid w:val="079052BE"/>
    <w:rsid w:val="08145C21"/>
    <w:rsid w:val="08422688"/>
    <w:rsid w:val="085854ED"/>
    <w:rsid w:val="086D1ED0"/>
    <w:rsid w:val="0879188F"/>
    <w:rsid w:val="08A0354D"/>
    <w:rsid w:val="08CD4C49"/>
    <w:rsid w:val="09114954"/>
    <w:rsid w:val="095A5B83"/>
    <w:rsid w:val="096466E3"/>
    <w:rsid w:val="0968304D"/>
    <w:rsid w:val="09AF3D17"/>
    <w:rsid w:val="0A7809B7"/>
    <w:rsid w:val="0A7B4867"/>
    <w:rsid w:val="0A840954"/>
    <w:rsid w:val="0A9928ED"/>
    <w:rsid w:val="0B61769D"/>
    <w:rsid w:val="0B657E3F"/>
    <w:rsid w:val="0B85422D"/>
    <w:rsid w:val="0B8C3ECC"/>
    <w:rsid w:val="0B9C639D"/>
    <w:rsid w:val="0BB052B2"/>
    <w:rsid w:val="0BD33FFC"/>
    <w:rsid w:val="0BE97AC1"/>
    <w:rsid w:val="0C1C4780"/>
    <w:rsid w:val="0C3613A3"/>
    <w:rsid w:val="0C5E519C"/>
    <w:rsid w:val="0C7227A7"/>
    <w:rsid w:val="0CA52EE8"/>
    <w:rsid w:val="0CBD6988"/>
    <w:rsid w:val="0CC17E52"/>
    <w:rsid w:val="0CD208AC"/>
    <w:rsid w:val="0D172DAA"/>
    <w:rsid w:val="0D4903E8"/>
    <w:rsid w:val="0D7A4A46"/>
    <w:rsid w:val="0DC172A9"/>
    <w:rsid w:val="0DE6245C"/>
    <w:rsid w:val="0E640559"/>
    <w:rsid w:val="0E9D307F"/>
    <w:rsid w:val="0F1113DA"/>
    <w:rsid w:val="0F78534A"/>
    <w:rsid w:val="0F89358A"/>
    <w:rsid w:val="0F8C6D51"/>
    <w:rsid w:val="105B0B5E"/>
    <w:rsid w:val="10EB63D7"/>
    <w:rsid w:val="112E58D0"/>
    <w:rsid w:val="11731CAC"/>
    <w:rsid w:val="119500A0"/>
    <w:rsid w:val="11C0733B"/>
    <w:rsid w:val="11D50D17"/>
    <w:rsid w:val="120E0809"/>
    <w:rsid w:val="127F665A"/>
    <w:rsid w:val="12F7068C"/>
    <w:rsid w:val="133F503D"/>
    <w:rsid w:val="14207DC0"/>
    <w:rsid w:val="14B932DA"/>
    <w:rsid w:val="150A66AF"/>
    <w:rsid w:val="154C1139"/>
    <w:rsid w:val="158C5B77"/>
    <w:rsid w:val="160D1149"/>
    <w:rsid w:val="163563C0"/>
    <w:rsid w:val="164315EF"/>
    <w:rsid w:val="16557DFE"/>
    <w:rsid w:val="167268FB"/>
    <w:rsid w:val="16770D0A"/>
    <w:rsid w:val="169A0039"/>
    <w:rsid w:val="16A2521C"/>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AE37DAC"/>
    <w:rsid w:val="1B39345B"/>
    <w:rsid w:val="1BFB2A1F"/>
    <w:rsid w:val="1C015D4A"/>
    <w:rsid w:val="1C290ED5"/>
    <w:rsid w:val="1C317E4F"/>
    <w:rsid w:val="1C472464"/>
    <w:rsid w:val="1D22799A"/>
    <w:rsid w:val="1D5C1A72"/>
    <w:rsid w:val="1D6951CC"/>
    <w:rsid w:val="1DAF458D"/>
    <w:rsid w:val="1E086ACE"/>
    <w:rsid w:val="1E62130A"/>
    <w:rsid w:val="1E97358B"/>
    <w:rsid w:val="1EAA4A5F"/>
    <w:rsid w:val="1EE869A7"/>
    <w:rsid w:val="1F3F37CF"/>
    <w:rsid w:val="1FA15E62"/>
    <w:rsid w:val="1FED69B6"/>
    <w:rsid w:val="2064678E"/>
    <w:rsid w:val="20824A53"/>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8F81F01"/>
    <w:rsid w:val="29072599"/>
    <w:rsid w:val="291029F3"/>
    <w:rsid w:val="29CB58F0"/>
    <w:rsid w:val="2A053397"/>
    <w:rsid w:val="2A145E96"/>
    <w:rsid w:val="2A2131BB"/>
    <w:rsid w:val="2AF5378F"/>
    <w:rsid w:val="2BB94DBF"/>
    <w:rsid w:val="2BE348EA"/>
    <w:rsid w:val="2BF37410"/>
    <w:rsid w:val="2C6F314E"/>
    <w:rsid w:val="2CC206BE"/>
    <w:rsid w:val="2D0446E9"/>
    <w:rsid w:val="2D1136DF"/>
    <w:rsid w:val="2D20606D"/>
    <w:rsid w:val="2D557925"/>
    <w:rsid w:val="2D6729FE"/>
    <w:rsid w:val="2DB87198"/>
    <w:rsid w:val="2DB93C54"/>
    <w:rsid w:val="2E3D144C"/>
    <w:rsid w:val="2E891204"/>
    <w:rsid w:val="2F3F0A28"/>
    <w:rsid w:val="2FBF7029"/>
    <w:rsid w:val="2FD0187F"/>
    <w:rsid w:val="2FD27414"/>
    <w:rsid w:val="2FFE4BB0"/>
    <w:rsid w:val="300E7B60"/>
    <w:rsid w:val="300F6E18"/>
    <w:rsid w:val="30862F5F"/>
    <w:rsid w:val="30A4775A"/>
    <w:rsid w:val="30BF18B7"/>
    <w:rsid w:val="314029C9"/>
    <w:rsid w:val="3150795D"/>
    <w:rsid w:val="31C63837"/>
    <w:rsid w:val="31C82E39"/>
    <w:rsid w:val="32601BAD"/>
    <w:rsid w:val="329F6389"/>
    <w:rsid w:val="3389023A"/>
    <w:rsid w:val="33CB74FA"/>
    <w:rsid w:val="343642F2"/>
    <w:rsid w:val="343F3010"/>
    <w:rsid w:val="345D0A00"/>
    <w:rsid w:val="34713BFD"/>
    <w:rsid w:val="34C13589"/>
    <w:rsid w:val="353369E3"/>
    <w:rsid w:val="3542733F"/>
    <w:rsid w:val="35B21E0B"/>
    <w:rsid w:val="35E00D72"/>
    <w:rsid w:val="3668005E"/>
    <w:rsid w:val="36965B9D"/>
    <w:rsid w:val="36C549FD"/>
    <w:rsid w:val="372446A2"/>
    <w:rsid w:val="379525A8"/>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C14675"/>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5D56C3"/>
    <w:rsid w:val="40794A29"/>
    <w:rsid w:val="40834692"/>
    <w:rsid w:val="40C01110"/>
    <w:rsid w:val="41431AD5"/>
    <w:rsid w:val="414B3C0F"/>
    <w:rsid w:val="417C1CE7"/>
    <w:rsid w:val="41900018"/>
    <w:rsid w:val="41944406"/>
    <w:rsid w:val="41CE128F"/>
    <w:rsid w:val="41DA6F12"/>
    <w:rsid w:val="42171FB1"/>
    <w:rsid w:val="42206177"/>
    <w:rsid w:val="42C10D7B"/>
    <w:rsid w:val="434E6957"/>
    <w:rsid w:val="434F459C"/>
    <w:rsid w:val="436B03B9"/>
    <w:rsid w:val="43BA0E31"/>
    <w:rsid w:val="43C15147"/>
    <w:rsid w:val="43E14DD2"/>
    <w:rsid w:val="43F800E9"/>
    <w:rsid w:val="443A7E4B"/>
    <w:rsid w:val="444A7D08"/>
    <w:rsid w:val="452F5B3A"/>
    <w:rsid w:val="454E7FD2"/>
    <w:rsid w:val="45632664"/>
    <w:rsid w:val="46011680"/>
    <w:rsid w:val="46061BDC"/>
    <w:rsid w:val="461404F8"/>
    <w:rsid w:val="46413018"/>
    <w:rsid w:val="464B7E04"/>
    <w:rsid w:val="468041AA"/>
    <w:rsid w:val="468123C6"/>
    <w:rsid w:val="46901EEE"/>
    <w:rsid w:val="469C74D2"/>
    <w:rsid w:val="47445515"/>
    <w:rsid w:val="474B4782"/>
    <w:rsid w:val="47D90D14"/>
    <w:rsid w:val="47DE1152"/>
    <w:rsid w:val="48387FB0"/>
    <w:rsid w:val="483A6114"/>
    <w:rsid w:val="484C72AA"/>
    <w:rsid w:val="48671C2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6C5694"/>
    <w:rsid w:val="4D6D7B23"/>
    <w:rsid w:val="4DC302A1"/>
    <w:rsid w:val="4DF94F37"/>
    <w:rsid w:val="4E0A1DD5"/>
    <w:rsid w:val="4E3160E5"/>
    <w:rsid w:val="4E4D37AF"/>
    <w:rsid w:val="4E8C6496"/>
    <w:rsid w:val="4EFD18DE"/>
    <w:rsid w:val="4F144236"/>
    <w:rsid w:val="4F663C87"/>
    <w:rsid w:val="4F7E29A8"/>
    <w:rsid w:val="4F9E1FFC"/>
    <w:rsid w:val="50447CC2"/>
    <w:rsid w:val="506B5E0B"/>
    <w:rsid w:val="507F63F9"/>
    <w:rsid w:val="50874A7C"/>
    <w:rsid w:val="50895EE7"/>
    <w:rsid w:val="50921B9D"/>
    <w:rsid w:val="50D16158"/>
    <w:rsid w:val="50DB5F45"/>
    <w:rsid w:val="51025EB1"/>
    <w:rsid w:val="51141503"/>
    <w:rsid w:val="513C450E"/>
    <w:rsid w:val="518D0ED5"/>
    <w:rsid w:val="51F24610"/>
    <w:rsid w:val="51F51A40"/>
    <w:rsid w:val="525C687F"/>
    <w:rsid w:val="52A3740A"/>
    <w:rsid w:val="52F647F7"/>
    <w:rsid w:val="52F92565"/>
    <w:rsid w:val="53893F31"/>
    <w:rsid w:val="53AE735E"/>
    <w:rsid w:val="53CF0661"/>
    <w:rsid w:val="53D03877"/>
    <w:rsid w:val="53EE2412"/>
    <w:rsid w:val="540B0263"/>
    <w:rsid w:val="542F73CA"/>
    <w:rsid w:val="5430786D"/>
    <w:rsid w:val="54521A10"/>
    <w:rsid w:val="545A1D2A"/>
    <w:rsid w:val="54C811C0"/>
    <w:rsid w:val="54D910C3"/>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262D2D"/>
    <w:rsid w:val="5BC50191"/>
    <w:rsid w:val="5BD456CE"/>
    <w:rsid w:val="5C0D1F49"/>
    <w:rsid w:val="5CBB0CE2"/>
    <w:rsid w:val="5CC17177"/>
    <w:rsid w:val="5CF15C05"/>
    <w:rsid w:val="5CF306BC"/>
    <w:rsid w:val="5D3F3D64"/>
    <w:rsid w:val="5D833043"/>
    <w:rsid w:val="5DD92690"/>
    <w:rsid w:val="5DDB1CFD"/>
    <w:rsid w:val="5E7E6D93"/>
    <w:rsid w:val="5E82459B"/>
    <w:rsid w:val="5ED44800"/>
    <w:rsid w:val="5F350BDE"/>
    <w:rsid w:val="5F61632C"/>
    <w:rsid w:val="5FA17648"/>
    <w:rsid w:val="5FD46855"/>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4023E1"/>
    <w:rsid w:val="637D586B"/>
    <w:rsid w:val="63A03596"/>
    <w:rsid w:val="63A5560B"/>
    <w:rsid w:val="63E9091F"/>
    <w:rsid w:val="64322AF9"/>
    <w:rsid w:val="64D6010D"/>
    <w:rsid w:val="64D82665"/>
    <w:rsid w:val="64E47C96"/>
    <w:rsid w:val="651E5741"/>
    <w:rsid w:val="655D7702"/>
    <w:rsid w:val="658A4877"/>
    <w:rsid w:val="65A00902"/>
    <w:rsid w:val="65AC6EDD"/>
    <w:rsid w:val="65D97752"/>
    <w:rsid w:val="65EE23A9"/>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AA855DF"/>
    <w:rsid w:val="6B68175F"/>
    <w:rsid w:val="6BFD799F"/>
    <w:rsid w:val="6C4A2E5A"/>
    <w:rsid w:val="6C8138D0"/>
    <w:rsid w:val="6C870C04"/>
    <w:rsid w:val="6CEF0725"/>
    <w:rsid w:val="6D4B2604"/>
    <w:rsid w:val="6D77358F"/>
    <w:rsid w:val="6D8030E4"/>
    <w:rsid w:val="6DD63CBF"/>
    <w:rsid w:val="6E0E35C4"/>
    <w:rsid w:val="6E0F7A08"/>
    <w:rsid w:val="6E3947F5"/>
    <w:rsid w:val="6E6733A0"/>
    <w:rsid w:val="6E6E3938"/>
    <w:rsid w:val="6E9C74ED"/>
    <w:rsid w:val="6EF72976"/>
    <w:rsid w:val="6F1D69DC"/>
    <w:rsid w:val="6F2858FA"/>
    <w:rsid w:val="6F795A80"/>
    <w:rsid w:val="6F7C1D2E"/>
    <w:rsid w:val="6F8E0407"/>
    <w:rsid w:val="6FDD069F"/>
    <w:rsid w:val="70136731"/>
    <w:rsid w:val="702B4D16"/>
    <w:rsid w:val="7083170A"/>
    <w:rsid w:val="70AA6621"/>
    <w:rsid w:val="7111480F"/>
    <w:rsid w:val="71261F49"/>
    <w:rsid w:val="712E6956"/>
    <w:rsid w:val="71441143"/>
    <w:rsid w:val="71473612"/>
    <w:rsid w:val="71504F32"/>
    <w:rsid w:val="7152309F"/>
    <w:rsid w:val="718F7F65"/>
    <w:rsid w:val="71DA6992"/>
    <w:rsid w:val="727B234E"/>
    <w:rsid w:val="728A58B0"/>
    <w:rsid w:val="72AC67CB"/>
    <w:rsid w:val="72D068C7"/>
    <w:rsid w:val="72E42ED8"/>
    <w:rsid w:val="72FC34C3"/>
    <w:rsid w:val="735F4CB9"/>
    <w:rsid w:val="73674C62"/>
    <w:rsid w:val="73845865"/>
    <w:rsid w:val="739B6D9E"/>
    <w:rsid w:val="73BC1D76"/>
    <w:rsid w:val="73FB6630"/>
    <w:rsid w:val="748D790E"/>
    <w:rsid w:val="749820CC"/>
    <w:rsid w:val="74A758B9"/>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7FE2FC7"/>
    <w:rsid w:val="784E7CA6"/>
    <w:rsid w:val="78574801"/>
    <w:rsid w:val="7873527F"/>
    <w:rsid w:val="78C31318"/>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BBD3E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Body Text Indent 2"/>
    <w:basedOn w:val="1"/>
    <w:qFormat/>
    <w:uiPriority w:val="0"/>
    <w:pPr>
      <w:spacing w:before="100" w:beforeAutospacing="1" w:after="100" w:afterAutospacing="1" w:line="480" w:lineRule="auto"/>
      <w:ind w:left="200" w:leftChars="200"/>
    </w:p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正文文字 1"/>
    <w:basedOn w:val="1"/>
    <w:next w:val="1"/>
    <w:qFormat/>
    <w:uiPriority w:val="0"/>
    <w:pPr>
      <w:spacing w:before="100" w:beforeAutospacing="1" w:after="100" w:afterAutospacing="1"/>
      <w:ind w:left="240"/>
    </w:pPr>
    <w:rPr>
      <w:sz w:val="28"/>
      <w:szCs w:val="28"/>
    </w:rPr>
  </w:style>
  <w:style w:type="paragraph" w:customStyle="1" w:styleId="14">
    <w:name w:val="WPSOffice手动目录 3"/>
    <w:qFormat/>
    <w:uiPriority w:val="0"/>
    <w:pPr>
      <w:ind w:leftChars="40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 w:type="paragraph" w:customStyle="1" w:styleId="16">
    <w:name w:val="WPSOffice手动目录 1"/>
    <w:qFormat/>
    <w:uiPriority w:val="0"/>
    <w:pPr>
      <w:ind w:leftChars="0"/>
    </w:pPr>
    <w:rPr>
      <w:rFonts w:ascii="Times New Roman" w:hAnsi="Times New Roman" w:eastAsia="宋体" w:cs="Times New Roman"/>
      <w:sz w:val="20"/>
      <w:szCs w:val="20"/>
    </w:rPr>
  </w:style>
  <w:style w:type="paragraph" w:customStyle="1" w:styleId="17">
    <w:name w:val="列表段落1"/>
    <w:basedOn w:val="1"/>
    <w:unhideWhenUsed/>
    <w:qFormat/>
    <w:uiPriority w:val="99"/>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6621</Words>
  <Characters>22343</Characters>
  <Lines>0</Lines>
  <Paragraphs>0</Paragraphs>
  <TotalTime>1</TotalTime>
  <ScaleCrop>false</ScaleCrop>
  <LinksUpToDate>false</LinksUpToDate>
  <CharactersWithSpaces>22618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2025-04-10T03:55:43Z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