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塔城地区沙湾市农业农村局2023年耕地轮作试点项目支出绩效评价报告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0" w:firstLineChars="0"/>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3年耕地轮作试点项目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仿宋_GB2312"/>
          <w:sz w:val="30"/>
          <w:szCs w:val="30"/>
        </w:rPr>
        <w:t>沙湾市农业农村</w:t>
      </w:r>
      <w:r>
        <w:rPr>
          <w:rFonts w:hint="eastAsia" w:ascii="黑体" w:hAnsi="黑体" w:eastAsia="黑体" w:cs="宋体"/>
          <w:sz w:val="30"/>
          <w:szCs w:val="30"/>
        </w:rPr>
        <w:t>局</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沙湾市农业农村</w:t>
      </w:r>
      <w:r>
        <w:rPr>
          <w:rFonts w:hint="eastAsia" w:ascii="黑体" w:hAnsi="黑体" w:eastAsia="黑体" w:cs="宋体"/>
          <w:sz w:val="30"/>
          <w:szCs w:val="30"/>
        </w:rPr>
        <w:t>局</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潘建春</w:t>
      </w:r>
    </w:p>
    <w:p>
      <w:pPr>
        <w:ind w:firstLine="1200" w:firstLineChars="400"/>
        <w:rPr>
          <w:rFonts w:ascii="黑体" w:hAnsi="黑体" w:eastAsia="黑体" w:cs="仿宋_GB2312"/>
          <w:sz w:val="30"/>
          <w:szCs w:val="30"/>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4</w:t>
      </w:r>
      <w:r>
        <w:rPr>
          <w:rFonts w:hint="eastAsia" w:ascii="黑体" w:hAnsi="黑体" w:eastAsia="黑体" w:cs="宋体"/>
          <w:sz w:val="30"/>
          <w:szCs w:val="30"/>
        </w:rPr>
        <w:t>月</w:t>
      </w:r>
      <w:r>
        <w:rPr>
          <w:rFonts w:hint="eastAsia" w:ascii="黑体" w:hAnsi="黑体" w:eastAsia="黑体" w:cs="仿宋_GB2312"/>
          <w:sz w:val="30"/>
          <w:szCs w:val="30"/>
        </w:rPr>
        <w:t>18日</w:t>
      </w: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塔城地区沙湾市农业农村局2023年耕地轮作试点项目支出绩效评价报告</w:t>
      </w:r>
    </w:p>
    <w:p>
      <w:pPr>
        <w:pStyle w:val="3"/>
        <w:spacing w:line="600" w:lineRule="exact"/>
        <w:ind w:firstLine="640"/>
        <w:rPr>
          <w:szCs w:val="32"/>
        </w:rPr>
      </w:pPr>
      <w:r>
        <w:rPr>
          <w:rFonts w:hint="eastAsia"/>
          <w:szCs w:val="32"/>
        </w:rPr>
        <w:t>一、基本情况</w:t>
      </w:r>
    </w:p>
    <w:p>
      <w:pPr>
        <w:pStyle w:val="4"/>
        <w:spacing w:line="600" w:lineRule="exact"/>
        <w:ind w:firstLine="643"/>
        <w:rPr>
          <w:rFonts w:ascii="楷体_GB2312" w:eastAsia="楷体_GB2312"/>
          <w:szCs w:val="32"/>
        </w:rPr>
      </w:pPr>
      <w:r>
        <w:rPr>
          <w:rFonts w:hint="eastAsia" w:ascii="楷体_GB2312" w:eastAsia="楷体_GB2312"/>
          <w:szCs w:val="32"/>
        </w:rPr>
        <w:t>（一）项目概况</w:t>
      </w:r>
    </w:p>
    <w:p>
      <w:pPr>
        <w:ind w:firstLine="643"/>
        <w:rPr>
          <w:b/>
          <w:bCs/>
          <w:sz w:val="32"/>
          <w:szCs w:val="32"/>
        </w:rPr>
      </w:pPr>
      <w:r>
        <w:rPr>
          <w:rFonts w:hint="eastAsia"/>
          <w:b/>
          <w:bCs/>
          <w:sz w:val="32"/>
          <w:szCs w:val="32"/>
        </w:rPr>
        <w:t>1. 项目背景</w:t>
      </w:r>
    </w:p>
    <w:p>
      <w:pPr>
        <w:spacing w:line="60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themeColor="text1"/>
          <w:kern w:val="0"/>
          <w:sz w:val="32"/>
          <w:szCs w:val="32"/>
          <w14:textFill>
            <w14:solidFill>
              <w14:schemeClr w14:val="tx1"/>
            </w14:solidFill>
          </w14:textFill>
        </w:rPr>
        <w:t>为</w:t>
      </w:r>
      <w:r>
        <w:rPr>
          <w:rFonts w:ascii="仿宋_GB2312" w:hAnsi="仿宋_GB2312" w:cs="仿宋_GB2312"/>
          <w:color w:val="000000" w:themeColor="text1"/>
          <w:kern w:val="0"/>
          <w:sz w:val="32"/>
          <w:szCs w:val="32"/>
          <w14:textFill>
            <w14:solidFill>
              <w14:schemeClr w14:val="tx1"/>
            </w14:solidFill>
          </w14:textFill>
        </w:rPr>
        <w:t>全面贯彻</w:t>
      </w:r>
      <w:r>
        <w:rPr>
          <w:rFonts w:hint="eastAsia" w:ascii="仿宋_GB2312" w:hAnsi="仿宋_GB2312" w:cs="仿宋_GB2312"/>
          <w:color w:val="000000" w:themeColor="text1"/>
          <w:kern w:val="0"/>
          <w:sz w:val="32"/>
          <w:szCs w:val="32"/>
          <w:lang w:eastAsia="zh-CN"/>
          <w14:textFill>
            <w14:solidFill>
              <w14:schemeClr w14:val="tx1"/>
            </w14:solidFill>
          </w14:textFill>
        </w:rPr>
        <w:t>党的二十大精神</w:t>
      </w:r>
      <w:r>
        <w:rPr>
          <w:rFonts w:ascii="仿宋_GB2312" w:hAnsi="仿宋_GB2312" w:cs="仿宋_GB2312"/>
          <w:color w:val="000000" w:themeColor="text1"/>
          <w:kern w:val="0"/>
          <w:sz w:val="32"/>
          <w:szCs w:val="32"/>
          <w14:textFill>
            <w14:solidFill>
              <w14:schemeClr w14:val="tx1"/>
            </w14:solidFill>
          </w14:textFill>
        </w:rPr>
        <w:t>以及中央经济工作会议、中央农村工作会议、全国春季农业生产暨加强冬小麦田间管理工作会议和中央一号文件精神，按照自治区党委</w:t>
      </w:r>
      <w:r>
        <w:rPr>
          <w:rFonts w:hint="eastAsia" w:ascii="仿宋_GB2312" w:hAnsi="仿宋_GB2312" w:cs="仿宋_GB2312"/>
          <w:color w:val="000000" w:themeColor="text1"/>
          <w:kern w:val="0"/>
          <w:sz w:val="32"/>
          <w:szCs w:val="32"/>
          <w14:textFill>
            <w14:solidFill>
              <w14:schemeClr w14:val="tx1"/>
            </w14:solidFill>
          </w14:textFill>
        </w:rPr>
        <w:t>、</w:t>
      </w:r>
      <w:r>
        <w:rPr>
          <w:rFonts w:ascii="仿宋_GB2312" w:hAnsi="仿宋_GB2312" w:cs="仿宋_GB2312"/>
          <w:color w:val="000000" w:themeColor="text1"/>
          <w:kern w:val="0"/>
          <w:sz w:val="32"/>
          <w:szCs w:val="32"/>
          <w14:textFill>
            <w14:solidFill>
              <w14:schemeClr w14:val="tx1"/>
            </w14:solidFill>
          </w14:textFill>
        </w:rPr>
        <w:t>人民政府关于农业农村工作部署</w:t>
      </w:r>
      <w:r>
        <w:rPr>
          <w:rFonts w:hint="eastAsia" w:ascii="仿宋_GB2312" w:hAnsi="仿宋_GB2312" w:cs="仿宋_GB2312"/>
          <w:color w:val="000000" w:themeColor="text1"/>
          <w:kern w:val="0"/>
          <w:sz w:val="32"/>
          <w:szCs w:val="32"/>
          <w14:textFill>
            <w14:solidFill>
              <w14:schemeClr w14:val="tx1"/>
            </w14:solidFill>
          </w14:textFill>
        </w:rPr>
        <w:t>和地委、行署的工作要求</w:t>
      </w:r>
      <w:r>
        <w:rPr>
          <w:rFonts w:ascii="仿宋_GB2312" w:hAnsi="仿宋_GB2312" w:cs="仿宋_GB2312"/>
          <w:color w:val="000000" w:themeColor="text1"/>
          <w:kern w:val="0"/>
          <w:sz w:val="32"/>
          <w:szCs w:val="32"/>
          <w14:textFill>
            <w14:solidFill>
              <w14:schemeClr w14:val="tx1"/>
            </w14:solidFill>
          </w14:textFill>
        </w:rPr>
        <w:t>，牢固树立新发展理念，以绿色发展为导向，以改革创新为动力，更大范围、更大规模、更高水平实施轮作，协调推进绿色种植、农产品生产动态调节、农业生态综合治理，促进粮食和重要农产品生产高质量发展。</w:t>
      </w:r>
    </w:p>
    <w:p>
      <w:pPr>
        <w:ind w:firstLine="640"/>
        <w:rPr>
          <w:color w:val="FF0000"/>
          <w:sz w:val="32"/>
          <w:szCs w:val="32"/>
        </w:rPr>
      </w:pPr>
      <w:r>
        <w:rPr>
          <w:rFonts w:ascii="仿宋_GB2312" w:hAnsi="仿宋_GB2312" w:cs="仿宋_GB2312"/>
          <w:color w:val="000000" w:themeColor="text1"/>
          <w:kern w:val="0"/>
          <w:sz w:val="32"/>
          <w:szCs w:val="32"/>
          <w14:textFill>
            <w14:solidFill>
              <w14:schemeClr w14:val="tx1"/>
            </w14:solidFill>
          </w14:textFill>
        </w:rPr>
        <w:t>202</w:t>
      </w:r>
      <w:r>
        <w:rPr>
          <w:rFonts w:hint="eastAsia" w:ascii="仿宋_GB2312" w:hAnsi="仿宋_GB2312" w:cs="仿宋_GB2312"/>
          <w:color w:val="000000" w:themeColor="text1"/>
          <w:kern w:val="0"/>
          <w:sz w:val="32"/>
          <w:szCs w:val="32"/>
          <w14:textFill>
            <w14:solidFill>
              <w14:schemeClr w14:val="tx1"/>
            </w14:solidFill>
          </w14:textFill>
        </w:rPr>
        <w:t>3年</w:t>
      </w:r>
      <w:r>
        <w:rPr>
          <w:rFonts w:ascii="仿宋_GB2312" w:hAnsi="仿宋_GB2312" w:cs="仿宋_GB2312"/>
          <w:color w:val="000000" w:themeColor="text1"/>
          <w:kern w:val="0"/>
          <w:sz w:val="32"/>
          <w:szCs w:val="32"/>
          <w14:textFill>
            <w14:solidFill>
              <w14:schemeClr w14:val="tx1"/>
            </w14:solidFill>
          </w14:textFill>
        </w:rPr>
        <w:t>，</w:t>
      </w:r>
      <w:r>
        <w:rPr>
          <w:rFonts w:hint="eastAsia" w:ascii="仿宋_GB2312" w:hAnsi="仿宋_GB2312" w:cs="仿宋_GB2312"/>
          <w:color w:val="000000" w:themeColor="text1"/>
          <w:kern w:val="0"/>
          <w:sz w:val="32"/>
          <w:szCs w:val="32"/>
          <w14:textFill>
            <w14:solidFill>
              <w14:schemeClr w14:val="tx1"/>
            </w14:solidFill>
          </w14:textFill>
        </w:rPr>
        <w:t>按照自治区农业农村厅《2023年耕地轮作休耕项目实施方案》、塔城地区《</w:t>
      </w:r>
      <w:r>
        <w:rPr>
          <w:rFonts w:ascii="仿宋_GB2312" w:hAnsi="仿宋_GB2312" w:cs="仿宋_GB2312"/>
          <w:color w:val="000000" w:themeColor="text1"/>
          <w:kern w:val="0"/>
          <w:sz w:val="32"/>
          <w:szCs w:val="32"/>
          <w14:textFill>
            <w14:solidFill>
              <w14:schemeClr w14:val="tx1"/>
            </w14:solidFill>
          </w14:textFill>
        </w:rPr>
        <w:t>202</w:t>
      </w:r>
      <w:r>
        <w:rPr>
          <w:rFonts w:hint="eastAsia" w:ascii="仿宋_GB2312" w:hAnsi="仿宋_GB2312" w:cs="仿宋_GB2312"/>
          <w:color w:val="000000" w:themeColor="text1"/>
          <w:kern w:val="0"/>
          <w:sz w:val="32"/>
          <w:szCs w:val="32"/>
          <w14:textFill>
            <w14:solidFill>
              <w14:schemeClr w14:val="tx1"/>
            </w14:solidFill>
          </w14:textFill>
        </w:rPr>
        <w:t>3</w:t>
      </w:r>
      <w:r>
        <w:rPr>
          <w:rFonts w:ascii="仿宋_GB2312" w:hAnsi="仿宋_GB2312" w:cs="仿宋_GB2312"/>
          <w:color w:val="000000" w:themeColor="text1"/>
          <w:kern w:val="0"/>
          <w:sz w:val="32"/>
          <w:szCs w:val="32"/>
          <w14:textFill>
            <w14:solidFill>
              <w14:schemeClr w14:val="tx1"/>
            </w14:solidFill>
          </w14:textFill>
        </w:rPr>
        <w:t>年</w:t>
      </w:r>
      <w:r>
        <w:rPr>
          <w:rFonts w:hint="eastAsia" w:ascii="仿宋_GB2312" w:hAnsi="仿宋_GB2312" w:cs="仿宋_GB2312"/>
          <w:color w:val="000000" w:themeColor="text1"/>
          <w:kern w:val="0"/>
          <w:sz w:val="32"/>
          <w:szCs w:val="32"/>
          <w14:textFill>
            <w14:solidFill>
              <w14:schemeClr w14:val="tx1"/>
            </w14:solidFill>
          </w14:textFill>
        </w:rPr>
        <w:t>耕地</w:t>
      </w:r>
      <w:r>
        <w:rPr>
          <w:rFonts w:ascii="仿宋_GB2312" w:hAnsi="仿宋_GB2312" w:cs="仿宋_GB2312"/>
          <w:color w:val="000000" w:themeColor="text1"/>
          <w:kern w:val="0"/>
          <w:sz w:val="32"/>
          <w:szCs w:val="32"/>
          <w14:textFill>
            <w14:solidFill>
              <w14:schemeClr w14:val="tx1"/>
            </w14:solidFill>
          </w14:textFill>
        </w:rPr>
        <w:t>轮作</w:t>
      </w:r>
      <w:r>
        <w:rPr>
          <w:rFonts w:hint="eastAsia" w:ascii="仿宋_GB2312" w:hAnsi="仿宋_GB2312" w:cs="仿宋_GB2312"/>
          <w:color w:val="000000" w:themeColor="text1"/>
          <w:kern w:val="0"/>
          <w:sz w:val="32"/>
          <w:szCs w:val="32"/>
          <w14:textFill>
            <w14:solidFill>
              <w14:schemeClr w14:val="tx1"/>
            </w14:solidFill>
          </w14:textFill>
        </w:rPr>
        <w:t>试点项目实施方案</w:t>
      </w:r>
      <w:r>
        <w:rPr>
          <w:rFonts w:ascii="仿宋_GB2312" w:hAnsi="仿宋_GB2312" w:cs="仿宋_GB2312"/>
          <w:color w:val="000000" w:themeColor="text1"/>
          <w:kern w:val="0"/>
          <w:sz w:val="32"/>
          <w:szCs w:val="32"/>
          <w14:textFill>
            <w14:solidFill>
              <w14:schemeClr w14:val="tx1"/>
            </w14:solidFill>
          </w14:textFill>
        </w:rPr>
        <w:t>》要求</w:t>
      </w:r>
      <w:r>
        <w:rPr>
          <w:rFonts w:hint="eastAsia" w:ascii="仿宋_GB2312" w:hAnsi="仿宋_GB2312" w:cs="仿宋_GB2312"/>
          <w:color w:val="000000" w:themeColor="text1"/>
          <w:kern w:val="0"/>
          <w:sz w:val="32"/>
          <w:szCs w:val="32"/>
          <w14:textFill>
            <w14:solidFill>
              <w14:schemeClr w14:val="tx1"/>
            </w14:solidFill>
          </w14:textFill>
        </w:rPr>
        <w:t>，</w:t>
      </w:r>
      <w:r>
        <w:rPr>
          <w:rFonts w:ascii="仿宋_GB2312" w:hAnsi="仿宋_GB2312" w:cs="仿宋_GB2312"/>
          <w:color w:val="000000" w:themeColor="text1"/>
          <w:kern w:val="0"/>
          <w:sz w:val="32"/>
          <w:szCs w:val="32"/>
          <w14:textFill>
            <w14:solidFill>
              <w14:schemeClr w14:val="tx1"/>
            </w14:solidFill>
          </w14:textFill>
        </w:rPr>
        <w:t>坚持把轮作作为统筹当前与长远、协调生产与生态、兼顾用地与养地的制度性安排，完整准确全面贯彻新发展理念，落实高质量发展要求，突出问题导向、目标导向，明确重点区域、聚焦重点品种、完善技术路径、培育新型主体，在确保谷物基本自给、口粮绝对安全的前提下，扎实推进粮食稳产增产</w:t>
      </w:r>
      <w:r>
        <w:rPr>
          <w:rFonts w:hint="eastAsia" w:ascii="仿宋_GB2312" w:hAnsi="仿宋_GB2312" w:cs="仿宋_GB2312"/>
          <w:color w:val="000000" w:themeColor="text1"/>
          <w:kern w:val="0"/>
          <w:sz w:val="32"/>
          <w:szCs w:val="32"/>
          <w14:textFill>
            <w14:solidFill>
              <w14:schemeClr w14:val="tx1"/>
            </w14:solidFill>
          </w14:textFill>
        </w:rPr>
        <w:t>，</w:t>
      </w:r>
      <w:r>
        <w:rPr>
          <w:rFonts w:ascii="仿宋_GB2312" w:hAnsi="仿宋_GB2312" w:cs="仿宋_GB2312"/>
          <w:color w:val="000000" w:themeColor="text1"/>
          <w:kern w:val="0"/>
          <w:sz w:val="32"/>
          <w:szCs w:val="32"/>
          <w14:textFill>
            <w14:solidFill>
              <w14:schemeClr w14:val="tx1"/>
            </w14:solidFill>
          </w14:textFill>
        </w:rPr>
        <w:t>不断优化种植结构和耕作制度，为保障粮食和油料供给安全、促进农业绿色发展提供有力支撑</w:t>
      </w:r>
      <w:r>
        <w:rPr>
          <w:rFonts w:hint="eastAsia" w:ascii="仿宋_GB2312" w:hAnsi="仿宋_GB2312" w:cs="仿宋_GB2312"/>
          <w:color w:val="000000" w:themeColor="text1"/>
          <w:kern w:val="0"/>
          <w:sz w:val="32"/>
          <w:szCs w:val="32"/>
          <w14:textFill>
            <w14:solidFill>
              <w14:schemeClr w14:val="tx1"/>
            </w14:solidFill>
          </w14:textFill>
        </w:rPr>
        <w:t>。</w:t>
      </w:r>
    </w:p>
    <w:p>
      <w:pPr>
        <w:ind w:firstLine="643"/>
        <w:rPr>
          <w:b/>
          <w:bCs/>
          <w:sz w:val="32"/>
          <w:szCs w:val="32"/>
        </w:rPr>
      </w:pPr>
      <w:r>
        <w:rPr>
          <w:rFonts w:hint="eastAsia"/>
          <w:b/>
          <w:bCs/>
          <w:sz w:val="32"/>
          <w:szCs w:val="32"/>
        </w:rPr>
        <w:t>2. 项目主要内容及实施情况</w:t>
      </w:r>
    </w:p>
    <w:p>
      <w:pPr>
        <w:spacing w:line="520" w:lineRule="exact"/>
        <w:ind w:firstLine="640"/>
        <w:rPr>
          <w:rFonts w:ascii="仿宋_GB2312" w:hAnsi="仿宋_GB2312" w:cs="仿宋_GB2312"/>
          <w:color w:val="000000" w:themeColor="text1"/>
          <w:kern w:val="0"/>
          <w:sz w:val="32"/>
          <w:szCs w:val="32"/>
          <w14:textFill>
            <w14:solidFill>
              <w14:schemeClr w14:val="tx1"/>
            </w14:solidFill>
          </w14:textFill>
        </w:rPr>
      </w:pPr>
      <w:r>
        <w:rPr>
          <w:rFonts w:hint="eastAsia" w:ascii="仿宋_GB2312" w:hAnsi="仿宋_GB2312" w:cs="仿宋_GB2312"/>
          <w:color w:val="000000"/>
          <w:kern w:val="0"/>
          <w:sz w:val="32"/>
          <w:szCs w:val="32"/>
        </w:rPr>
        <w:t>本项目主要内容为：按照塔城地区2023年度耕地轮作</w:t>
      </w:r>
      <w:r>
        <w:rPr>
          <w:rFonts w:hint="eastAsia" w:ascii="仿宋_GB2312" w:hAnsi="仿宋_GB2312" w:cs="仿宋_GB2312"/>
          <w:color w:val="000000"/>
          <w:kern w:val="0"/>
          <w:sz w:val="32"/>
          <w:szCs w:val="32"/>
          <w:lang w:eastAsia="zh-CN"/>
        </w:rPr>
        <w:t>分配</w:t>
      </w:r>
      <w:r>
        <w:rPr>
          <w:rFonts w:hint="eastAsia" w:ascii="仿宋_GB2312" w:hAnsi="仿宋_GB2312" w:cs="仿宋_GB2312"/>
          <w:color w:val="000000" w:themeColor="text1"/>
          <w:kern w:val="0"/>
          <w:sz w:val="32"/>
          <w:szCs w:val="32"/>
          <w14:textFill>
            <w14:solidFill>
              <w14:schemeClr w14:val="tx1"/>
            </w14:solidFill>
          </w14:textFill>
        </w:rPr>
        <w:t>工作</w:t>
      </w:r>
      <w:r>
        <w:rPr>
          <w:rFonts w:hint="eastAsia" w:ascii="仿宋_GB2312" w:hAnsi="仿宋_GB2312" w:cs="仿宋_GB2312"/>
          <w:color w:val="000000"/>
          <w:kern w:val="0"/>
          <w:sz w:val="32"/>
          <w:szCs w:val="32"/>
        </w:rPr>
        <w:t>方案，2023年我市耕地轮作任务4.5万亩，总预算资金为675万元。</w:t>
      </w:r>
    </w:p>
    <w:p>
      <w:pPr>
        <w:ind w:firstLine="640"/>
        <w:jc w:val="left"/>
        <w:rPr>
          <w:rFonts w:ascii="仿宋" w:hAnsi="仿宋" w:eastAsia="仿宋"/>
          <w:bCs/>
          <w:sz w:val="32"/>
          <w:szCs w:val="32"/>
        </w:rPr>
      </w:pPr>
      <w:r>
        <w:rPr>
          <w:rFonts w:hint="eastAsia" w:ascii="仿宋_GB2312" w:hAnsi="仿宋_GB2312" w:cs="仿宋_GB2312"/>
          <w:color w:val="000000" w:themeColor="text1"/>
          <w:kern w:val="0"/>
          <w:sz w:val="32"/>
          <w:szCs w:val="32"/>
          <w14:textFill>
            <w14:solidFill>
              <w14:schemeClr w14:val="tx1"/>
            </w14:solidFill>
          </w14:textFill>
        </w:rPr>
        <w:t>按照地区要求制定了《2023年沙湾市耕地轮作试点项目实施方案》，在2022年耕地轮作的基础上，将2023年耕地轮作任务分解落实到各乡镇</w:t>
      </w:r>
      <w:r>
        <w:rPr>
          <w:rFonts w:hint="eastAsia" w:ascii="仿宋" w:hAnsi="仿宋" w:eastAsia="仿宋"/>
          <w:bCs/>
          <w:sz w:val="32"/>
          <w:szCs w:val="32"/>
        </w:rPr>
        <w:t>。</w:t>
      </w:r>
    </w:p>
    <w:p>
      <w:pPr>
        <w:ind w:firstLine="640"/>
        <w:jc w:val="center"/>
        <w:rPr>
          <w:rFonts w:ascii="仿宋" w:hAnsi="仿宋" w:eastAsia="仿宋"/>
          <w:bCs/>
          <w:sz w:val="32"/>
          <w:szCs w:val="32"/>
        </w:rPr>
      </w:pPr>
      <w:r>
        <w:rPr>
          <w:rFonts w:hint="eastAsia" w:ascii="仿宋" w:hAnsi="仿宋" w:eastAsia="仿宋"/>
          <w:bCs/>
          <w:sz w:val="32"/>
          <w:szCs w:val="32"/>
        </w:rPr>
        <w:t>2023年沙湾市耕地轮作任务安排表</w:t>
      </w:r>
    </w:p>
    <w:tbl>
      <w:tblPr>
        <w:tblStyle w:val="10"/>
        <w:tblW w:w="8901" w:type="dxa"/>
        <w:jc w:val="center"/>
        <w:tblLayout w:type="fixed"/>
        <w:tblCellMar>
          <w:top w:w="0" w:type="dxa"/>
          <w:left w:w="108" w:type="dxa"/>
          <w:bottom w:w="0" w:type="dxa"/>
          <w:right w:w="108" w:type="dxa"/>
        </w:tblCellMar>
      </w:tblPr>
      <w:tblGrid>
        <w:gridCol w:w="1790"/>
        <w:gridCol w:w="5646"/>
        <w:gridCol w:w="1465"/>
      </w:tblGrid>
      <w:tr>
        <w:tblPrEx>
          <w:tblCellMar>
            <w:top w:w="0" w:type="dxa"/>
            <w:left w:w="108" w:type="dxa"/>
            <w:bottom w:w="0" w:type="dxa"/>
            <w:right w:w="108" w:type="dxa"/>
          </w:tblCellMar>
        </w:tblPrEx>
        <w:trPr>
          <w:trHeight w:val="657" w:hRule="atLeast"/>
          <w:jc w:val="center"/>
        </w:trPr>
        <w:tc>
          <w:tcPr>
            <w:tcW w:w="17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乡镇（场）</w:t>
            </w:r>
          </w:p>
        </w:tc>
        <w:tc>
          <w:tcPr>
            <w:tcW w:w="564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仿宋_GB2312"/>
                <w:bCs/>
                <w:color w:val="000000"/>
                <w:kern w:val="0"/>
                <w:sz w:val="24"/>
              </w:rPr>
              <w:t>轮作模式</w:t>
            </w:r>
          </w:p>
        </w:tc>
        <w:tc>
          <w:tcPr>
            <w:tcW w:w="1465" w:type="dxa"/>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轮作面积（亩）</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四道河子镇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5200</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老沙湾镇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5298.5</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柳毛湾镇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3771.67</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商户地乡</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4348.37</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安集海镇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小麦、玉米与花生、棉花等经济作物轮作；棉花与花生、加工番茄、加工辣椒等其他经济作物轮作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4613</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大泉乡</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小麦、玉米与花生、棉花等经济作物轮作；棉花与花生、加工番茄、加工辣椒等其他经济作物轮作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5995.2</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金沟河镇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小麦、玉米与花生、棉花等经济作物轮作；棉花与花生、加工番茄、加工辣椒等其他经济作物轮作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5481.3</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乌兰乌苏镇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小麦、玉米与花生、棉花等经济作物轮作；棉花与花生、加工番茄、加工辣椒等其他经济作物轮作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6291.23</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西戈壁镇</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小麦、玉米与甜菜等经济作物轮作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1000</w:t>
            </w:r>
          </w:p>
        </w:tc>
      </w:tr>
      <w:tr>
        <w:tblPrEx>
          <w:tblCellMar>
            <w:top w:w="0" w:type="dxa"/>
            <w:left w:w="108" w:type="dxa"/>
            <w:bottom w:w="0" w:type="dxa"/>
            <w:right w:w="108" w:type="dxa"/>
          </w:tblCellMar>
        </w:tblPrEx>
        <w:trPr>
          <w:trHeight w:val="480" w:hRule="atLeast"/>
          <w:jc w:val="center"/>
        </w:trPr>
        <w:tc>
          <w:tcPr>
            <w:tcW w:w="179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盛博公司</w:t>
            </w:r>
          </w:p>
        </w:tc>
        <w:tc>
          <w:tcPr>
            <w:tcW w:w="5646"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小麦、玉米与花生、棉花等经济作物轮作；棉花与花生、加工番茄、加工辣椒等其他经济作物轮作</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3000.73</w:t>
            </w:r>
          </w:p>
        </w:tc>
      </w:tr>
      <w:tr>
        <w:tblPrEx>
          <w:tblCellMar>
            <w:top w:w="0" w:type="dxa"/>
            <w:left w:w="108" w:type="dxa"/>
            <w:bottom w:w="0" w:type="dxa"/>
            <w:right w:w="108" w:type="dxa"/>
          </w:tblCellMar>
        </w:tblPrEx>
        <w:trPr>
          <w:trHeight w:val="480" w:hRule="atLeast"/>
          <w:jc w:val="center"/>
        </w:trPr>
        <w:tc>
          <w:tcPr>
            <w:tcW w:w="743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s="宋体"/>
                <w:color w:val="000000"/>
                <w:kern w:val="0"/>
                <w:sz w:val="24"/>
              </w:rPr>
            </w:pPr>
            <w:r>
              <w:rPr>
                <w:rFonts w:hint="eastAsia" w:ascii="仿宋" w:hAnsi="仿宋" w:eastAsia="仿宋" w:cs="宋体"/>
                <w:color w:val="000000"/>
                <w:kern w:val="0"/>
                <w:sz w:val="24"/>
              </w:rPr>
              <w:t>合计</w:t>
            </w:r>
          </w:p>
        </w:tc>
        <w:tc>
          <w:tcPr>
            <w:tcW w:w="1465" w:type="dxa"/>
            <w:tcBorders>
              <w:top w:val="nil"/>
              <w:left w:val="nil"/>
              <w:bottom w:val="single" w:color="auto" w:sz="4" w:space="0"/>
              <w:right w:val="single" w:color="auto" w:sz="4" w:space="0"/>
            </w:tcBorders>
            <w:shd w:val="clear" w:color="auto" w:fill="auto"/>
            <w:vAlign w:val="center"/>
          </w:tcPr>
          <w:p>
            <w:pPr>
              <w:widowControl/>
              <w:spacing w:line="300" w:lineRule="exact"/>
              <w:ind w:firstLine="480"/>
              <w:jc w:val="center"/>
              <w:rPr>
                <w:rFonts w:ascii="仿宋" w:hAnsi="仿宋" w:eastAsia="仿宋"/>
                <w:color w:val="000000"/>
                <w:kern w:val="0"/>
                <w:sz w:val="24"/>
              </w:rPr>
            </w:pPr>
            <w:r>
              <w:rPr>
                <w:rFonts w:hint="eastAsia" w:ascii="仿宋" w:hAnsi="仿宋" w:eastAsia="仿宋"/>
                <w:color w:val="000000"/>
                <w:kern w:val="0"/>
                <w:sz w:val="24"/>
              </w:rPr>
              <w:t>45000</w:t>
            </w:r>
          </w:p>
        </w:tc>
      </w:tr>
    </w:tbl>
    <w:p>
      <w:pPr>
        <w:pStyle w:val="21"/>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于2023年6月开始实施，截止2023年12月，我市已核实完成耕地轮作试点面积45000亩，与361个农户和合作社及单位签订了耕地轮作试点协议书，并落实到了具体地块，向361个农户和合作社及单位（其中：355户农户、5家合作社、1家单位）及时支付补助资金675万元（由于我市2023年耕地轮作目前按照《方案》要求落实到地块，</w:t>
      </w:r>
      <w:r>
        <w:rPr>
          <w:rFonts w:hint="eastAsia" w:ascii="仿宋_GB2312" w:hAnsi="仿宋_GB2312" w:cs="仿宋_GB2312"/>
          <w:color w:val="000000" w:themeColor="text1"/>
          <w:szCs w:val="32"/>
          <w14:textFill>
            <w14:solidFill>
              <w14:schemeClr w14:val="tx1"/>
            </w14:solidFill>
          </w14:textFill>
        </w:rPr>
        <w:t>目前无法进行核实验收</w:t>
      </w:r>
      <w:r>
        <w:rPr>
          <w:rFonts w:hint="eastAsia" w:ascii="仿宋_GB2312" w:hAnsi="仿宋_GB2312" w:cs="仿宋_GB2312"/>
          <w:color w:val="000000" w:themeColor="text1"/>
          <w:sz w:val="32"/>
          <w:szCs w:val="32"/>
          <w14:textFill>
            <w14:solidFill>
              <w14:schemeClr w14:val="tx1"/>
            </w14:solidFill>
          </w14:textFill>
        </w:rPr>
        <w:t>，要到2024年春播结束后才能组织人员进行轮作试点项目核实验收工作）</w:t>
      </w:r>
    </w:p>
    <w:p>
      <w:pPr>
        <w:ind w:firstLine="643"/>
        <w:rPr>
          <w:b/>
          <w:bCs/>
          <w:sz w:val="32"/>
          <w:szCs w:val="32"/>
        </w:rPr>
      </w:pPr>
      <w:r>
        <w:rPr>
          <w:rFonts w:hint="eastAsia"/>
          <w:b/>
          <w:bCs/>
          <w:sz w:val="32"/>
          <w:szCs w:val="32"/>
        </w:rPr>
        <w:t>3. 项目实施主体</w:t>
      </w:r>
    </w:p>
    <w:p>
      <w:pPr>
        <w:pStyle w:val="21"/>
        <w:spacing w:line="570" w:lineRule="exact"/>
        <w:ind w:firstLine="640"/>
        <w:rPr>
          <w:rFonts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14:textFill>
            <w14:solidFill>
              <w14:schemeClr w14:val="tx1"/>
            </w14:solidFill>
          </w14:textFill>
        </w:rPr>
        <w:t>202</w:t>
      </w:r>
      <w:r>
        <w:rPr>
          <w:rFonts w:hint="eastAsia" w:ascii="仿宋_GB2312" w:hAnsi="仿宋_GB2312" w:cs="仿宋_GB2312"/>
          <w:color w:val="000000" w:themeColor="text1"/>
          <w:sz w:val="32"/>
          <w:szCs w:val="32"/>
          <w14:textFill>
            <w14:solidFill>
              <w14:schemeClr w14:val="tx1"/>
            </w14:solidFill>
          </w14:textFill>
        </w:rPr>
        <w:t>3年塔城地区沙湾市耕地轮作试点项目的实施主体为塔城地区沙湾市农业农村局。</w:t>
      </w:r>
    </w:p>
    <w:p>
      <w:pPr>
        <w:ind w:firstLine="643"/>
        <w:rPr>
          <w:b/>
          <w:bCs/>
          <w:sz w:val="32"/>
          <w:szCs w:val="32"/>
        </w:rPr>
      </w:pPr>
      <w:r>
        <w:rPr>
          <w:rFonts w:hint="eastAsia"/>
          <w:b/>
          <w:bCs/>
          <w:sz w:val="32"/>
          <w:szCs w:val="32"/>
        </w:rPr>
        <w:t>4. 资金投入和使用情况</w:t>
      </w:r>
    </w:p>
    <w:p>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pPr>
        <w:spacing w:line="600" w:lineRule="exact"/>
        <w:ind w:firstLine="640"/>
        <w:rPr>
          <w:rFonts w:ascii="仿宋_GB2312" w:hAnsi="仿宋_GB2312" w:cs="仿宋_GB2312"/>
          <w:color w:val="FF0000"/>
          <w:sz w:val="32"/>
          <w:szCs w:val="32"/>
        </w:rPr>
      </w:pPr>
      <w:r>
        <w:rPr>
          <w:rFonts w:hint="eastAsia" w:ascii="仿宋_GB2312" w:hAnsi="仿宋_GB2312" w:cs="仿宋_GB2312"/>
          <w:sz w:val="32"/>
          <w:szCs w:val="32"/>
        </w:rPr>
        <w:t>根据塔城地区财政局（塔地财预〔2022〕47号）文件，耕地轮作试点项目预算安排资金总额675万元，其中财政资金675万元、其他资金0万元；2023年实际收到预算资金675万元，预算资金到位率为100.0%</w:t>
      </w:r>
      <w:r>
        <w:rPr>
          <w:rFonts w:hint="eastAsia" w:ascii="仿宋_GB2312"/>
          <w:sz w:val="32"/>
          <w:szCs w:val="32"/>
        </w:rPr>
        <w:t>。</w:t>
      </w:r>
    </w:p>
    <w:p>
      <w:pPr>
        <w:spacing w:line="600" w:lineRule="exact"/>
        <w:ind w:firstLine="640"/>
        <w:rPr>
          <w:sz w:val="32"/>
          <w:szCs w:val="32"/>
        </w:rPr>
      </w:pPr>
      <w:r>
        <w:rPr>
          <w:rFonts w:hint="eastAsia"/>
          <w:sz w:val="32"/>
          <w:szCs w:val="32"/>
        </w:rPr>
        <w:t>（2）项目资金实际使用情况</w:t>
      </w:r>
    </w:p>
    <w:p>
      <w:pPr>
        <w:spacing w:line="600" w:lineRule="exact"/>
        <w:ind w:firstLine="640"/>
        <w:rPr>
          <w:rFonts w:ascii="仿宋_GB2312"/>
          <w:sz w:val="32"/>
          <w:szCs w:val="32"/>
        </w:rPr>
      </w:pPr>
      <w:r>
        <w:rPr>
          <w:rFonts w:hint="eastAsia" w:ascii="仿宋_GB2312" w:hAnsi="仿宋_GB2312" w:cs="仿宋_GB2312"/>
          <w:color w:val="000000" w:themeColor="text1"/>
          <w:sz w:val="32"/>
          <w:szCs w:val="32"/>
          <w14:textFill>
            <w14:solidFill>
              <w14:schemeClr w14:val="tx1"/>
            </w14:solidFill>
          </w14:textFill>
        </w:rPr>
        <w:t>截至2023年12月31日，</w:t>
      </w:r>
      <w:r>
        <w:rPr>
          <w:rFonts w:hint="eastAsia" w:ascii="仿宋_GB2312"/>
          <w:sz w:val="32"/>
          <w:szCs w:val="32"/>
        </w:rPr>
        <w:t>本项目实际支付资金675万元，预算执行</w:t>
      </w:r>
      <w:r>
        <w:rPr>
          <w:rFonts w:hint="eastAsia" w:ascii="仿宋_GB2312" w:hAnsi="仿宋_GB2312" w:cs="仿宋_GB2312"/>
          <w:color w:val="000000" w:themeColor="text1"/>
          <w:sz w:val="32"/>
          <w:szCs w:val="32"/>
          <w14:textFill>
            <w14:solidFill>
              <w14:schemeClr w14:val="tx1"/>
            </w14:solidFill>
          </w14:textFill>
        </w:rPr>
        <w:t>率100.0%（预算执行率=（实际支出资金/预算批复金额）*100%）。项目资金主要用于支付耕地轮作补助费用675</w:t>
      </w:r>
      <w:r>
        <w:rPr>
          <w:rFonts w:hint="eastAsia" w:ascii="仿宋_GB2312"/>
          <w:sz w:val="32"/>
          <w:szCs w:val="32"/>
        </w:rPr>
        <w:t>万元。</w:t>
      </w:r>
    </w:p>
    <w:p>
      <w:pPr>
        <w:pStyle w:val="4"/>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ind w:firstLine="643"/>
        <w:rPr>
          <w:b/>
          <w:bCs/>
          <w:sz w:val="32"/>
          <w:szCs w:val="32"/>
        </w:rPr>
      </w:pPr>
      <w:r>
        <w:rPr>
          <w:rFonts w:hint="eastAsia"/>
          <w:b/>
          <w:bCs/>
          <w:sz w:val="32"/>
          <w:szCs w:val="32"/>
        </w:rPr>
        <w:t>1.总体目标</w:t>
      </w:r>
    </w:p>
    <w:p>
      <w:pPr>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通过耕地轮作试点项目实施，</w:t>
      </w:r>
      <w:r>
        <w:rPr>
          <w:rFonts w:ascii="仿宋_GB2312" w:hAnsi="仿宋_GB2312" w:cs="仿宋_GB2312"/>
          <w:color w:val="000000" w:themeColor="text1"/>
          <w:sz w:val="32"/>
          <w:szCs w:val="32"/>
          <w14:textFill>
            <w14:solidFill>
              <w14:schemeClr w14:val="tx1"/>
            </w14:solidFill>
          </w14:textFill>
        </w:rPr>
        <w:t>优化粮食结构，巩固粮食综合生产能力，推行小麦、玉米</w:t>
      </w:r>
      <w:r>
        <w:rPr>
          <w:rFonts w:hint="eastAsia" w:ascii="仿宋_GB2312" w:hAnsi="仿宋_GB2312" w:cs="仿宋_GB2312"/>
          <w:color w:val="000000" w:themeColor="text1"/>
          <w:sz w:val="32"/>
          <w:szCs w:val="32"/>
          <w14:textFill>
            <w14:solidFill>
              <w14:schemeClr w14:val="tx1"/>
            </w14:solidFill>
          </w14:textFill>
        </w:rPr>
        <w:t>等粮食作物</w:t>
      </w:r>
      <w:r>
        <w:rPr>
          <w:rFonts w:ascii="仿宋_GB2312" w:hAnsi="仿宋_GB2312" w:cs="仿宋_GB2312"/>
          <w:color w:val="000000" w:themeColor="text1"/>
          <w:sz w:val="32"/>
          <w:szCs w:val="32"/>
          <w14:textFill>
            <w14:solidFill>
              <w14:schemeClr w14:val="tx1"/>
            </w14:solidFill>
          </w14:textFill>
        </w:rPr>
        <w:t>与</w:t>
      </w:r>
      <w:r>
        <w:rPr>
          <w:rFonts w:hint="eastAsia" w:ascii="仿宋_GB2312" w:hAnsi="仿宋_GB2312" w:cs="仿宋_GB2312"/>
          <w:color w:val="000000" w:themeColor="text1"/>
          <w:sz w:val="32"/>
          <w:szCs w:val="32"/>
          <w14:textFill>
            <w14:solidFill>
              <w14:schemeClr w14:val="tx1"/>
            </w14:solidFill>
          </w14:textFill>
        </w:rPr>
        <w:t>棉花、豆类、</w:t>
      </w:r>
      <w:r>
        <w:rPr>
          <w:rFonts w:ascii="仿宋_GB2312" w:hAnsi="仿宋_GB2312" w:cs="仿宋_GB2312"/>
          <w:color w:val="000000" w:themeColor="text1"/>
          <w:sz w:val="32"/>
          <w:szCs w:val="32"/>
          <w14:textFill>
            <w14:solidFill>
              <w14:schemeClr w14:val="tx1"/>
            </w14:solidFill>
          </w14:textFill>
        </w:rPr>
        <w:t>油菜、花生</w:t>
      </w:r>
      <w:r>
        <w:rPr>
          <w:rFonts w:hint="eastAsia" w:ascii="仿宋_GB2312" w:hAnsi="仿宋_GB2312" w:cs="仿宋_GB2312"/>
          <w:color w:val="000000" w:themeColor="text1"/>
          <w:sz w:val="32"/>
          <w:szCs w:val="32"/>
          <w14:textFill>
            <w14:solidFill>
              <w14:schemeClr w14:val="tx1"/>
            </w14:solidFill>
          </w14:textFill>
        </w:rPr>
        <w:t>、红花、加工番茄等经济作物</w:t>
      </w:r>
      <w:r>
        <w:rPr>
          <w:rFonts w:ascii="仿宋_GB2312" w:hAnsi="仿宋_GB2312" w:cs="仿宋_GB2312"/>
          <w:color w:val="000000" w:themeColor="text1"/>
          <w:sz w:val="32"/>
          <w:szCs w:val="32"/>
          <w14:textFill>
            <w14:solidFill>
              <w14:schemeClr w14:val="tx1"/>
            </w14:solidFill>
          </w14:textFill>
        </w:rPr>
        <w:t>轮作</w:t>
      </w:r>
      <w:r>
        <w:rPr>
          <w:rFonts w:hint="eastAsia" w:ascii="仿宋_GB2312" w:hAnsi="仿宋_GB2312" w:cs="仿宋_GB2312"/>
          <w:color w:val="000000" w:themeColor="text1"/>
          <w:sz w:val="32"/>
          <w:szCs w:val="32"/>
          <w14:textFill>
            <w14:solidFill>
              <w14:schemeClr w14:val="tx1"/>
            </w14:solidFill>
          </w14:textFill>
        </w:rPr>
        <w:t>，棉花与豆类、</w:t>
      </w:r>
      <w:r>
        <w:rPr>
          <w:rFonts w:ascii="仿宋_GB2312" w:hAnsi="仿宋_GB2312" w:cs="仿宋_GB2312"/>
          <w:color w:val="000000" w:themeColor="text1"/>
          <w:sz w:val="32"/>
          <w:szCs w:val="32"/>
          <w14:textFill>
            <w14:solidFill>
              <w14:schemeClr w14:val="tx1"/>
            </w14:solidFill>
          </w14:textFill>
        </w:rPr>
        <w:t>花生</w:t>
      </w:r>
      <w:r>
        <w:rPr>
          <w:rFonts w:hint="eastAsia" w:ascii="仿宋_GB2312" w:hAnsi="仿宋_GB2312" w:cs="仿宋_GB2312"/>
          <w:color w:val="000000" w:themeColor="text1"/>
          <w:sz w:val="32"/>
          <w:szCs w:val="32"/>
          <w14:textFill>
            <w14:solidFill>
              <w14:schemeClr w14:val="tx1"/>
            </w14:solidFill>
          </w14:textFill>
        </w:rPr>
        <w:t>、加工番茄、加工辣椒等经济作物</w:t>
      </w:r>
      <w:r>
        <w:rPr>
          <w:rFonts w:ascii="仿宋_GB2312" w:hAnsi="仿宋_GB2312" w:cs="仿宋_GB2312"/>
          <w:color w:val="000000" w:themeColor="text1"/>
          <w:sz w:val="32"/>
          <w:szCs w:val="32"/>
          <w14:textFill>
            <w14:solidFill>
              <w14:schemeClr w14:val="tx1"/>
            </w14:solidFill>
          </w14:textFill>
        </w:rPr>
        <w:t>轮作</w:t>
      </w:r>
      <w:r>
        <w:rPr>
          <w:rFonts w:hint="eastAsia" w:ascii="仿宋_GB2312" w:hAnsi="仿宋_GB2312" w:cs="仿宋_GB2312"/>
          <w:color w:val="000000" w:themeColor="text1"/>
          <w:sz w:val="32"/>
          <w:szCs w:val="32"/>
          <w14:textFill>
            <w14:solidFill>
              <w14:schemeClr w14:val="tx1"/>
            </w14:solidFill>
          </w14:textFill>
        </w:rPr>
        <w:t>，</w:t>
      </w:r>
      <w:r>
        <w:rPr>
          <w:rFonts w:ascii="仿宋_GB2312" w:hAnsi="仿宋_GB2312" w:cs="仿宋_GB2312"/>
          <w:color w:val="000000" w:themeColor="text1"/>
          <w:sz w:val="32"/>
          <w:szCs w:val="32"/>
          <w14:textFill>
            <w14:solidFill>
              <w14:schemeClr w14:val="tx1"/>
            </w14:solidFill>
          </w14:textFill>
        </w:rPr>
        <w:t>加快构建用地与养地相结合、生产与生态相协调的绿色耕作制度</w:t>
      </w:r>
      <w:r>
        <w:rPr>
          <w:rFonts w:hint="eastAsia" w:ascii="仿宋_GB2312" w:hAnsi="仿宋_GB2312" w:cs="仿宋_GB2312"/>
          <w:color w:val="000000" w:themeColor="text1"/>
          <w:sz w:val="32"/>
          <w:szCs w:val="32"/>
          <w14:textFill>
            <w14:solidFill>
              <w14:schemeClr w14:val="tx1"/>
            </w14:solidFill>
          </w14:textFill>
        </w:rPr>
        <w:t>，完成耕地轮作任务4.5万亩。</w:t>
      </w:r>
    </w:p>
    <w:p>
      <w:pPr>
        <w:ind w:firstLine="643"/>
        <w:rPr>
          <w:b/>
          <w:bCs/>
          <w:sz w:val="32"/>
          <w:szCs w:val="32"/>
        </w:rPr>
      </w:pPr>
      <w:r>
        <w:rPr>
          <w:rFonts w:hint="eastAsia"/>
          <w:b/>
          <w:bCs/>
          <w:sz w:val="32"/>
          <w:szCs w:val="32"/>
        </w:rPr>
        <w:t>2.阶段性目标</w:t>
      </w:r>
    </w:p>
    <w:p>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10号）、《塔城地区财政</w:t>
      </w:r>
      <w:r>
        <w:rPr>
          <w:rFonts w:hint="eastAsia" w:ascii="仿宋_GB2312"/>
          <w:sz w:val="32"/>
          <w:szCs w:val="32"/>
        </w:rPr>
        <w:t>支出绩效评价管理暂行办法》（塔地财预〔201</w:t>
      </w:r>
      <w:r>
        <w:rPr>
          <w:rFonts w:ascii="仿宋_GB2312"/>
          <w:sz w:val="32"/>
          <w:szCs w:val="32"/>
        </w:rPr>
        <w:t>8</w:t>
      </w:r>
      <w:r>
        <w:rPr>
          <w:rFonts w:hint="eastAsia" w:ascii="仿宋_GB2312"/>
          <w:sz w:val="32"/>
          <w:szCs w:val="32"/>
        </w:rPr>
        <w:t>〕</w:t>
      </w:r>
      <w:r>
        <w:rPr>
          <w:rFonts w:ascii="仿宋_GB2312"/>
          <w:sz w:val="32"/>
          <w:szCs w:val="32"/>
        </w:rPr>
        <w:t>114</w:t>
      </w:r>
      <w:r>
        <w:rPr>
          <w:rFonts w:hint="eastAsia" w:ascii="仿宋_GB2312"/>
          <w:sz w:val="32"/>
          <w:szCs w:val="32"/>
        </w:rPr>
        <w:t>号）等文件要求，</w:t>
      </w:r>
      <w:r>
        <w:rPr>
          <w:rFonts w:hint="eastAsia" w:ascii="仿宋_GB2312" w:hAnsi="Arial" w:cs="宋体"/>
          <w:bCs/>
          <w:color w:val="000000"/>
          <w:sz w:val="32"/>
          <w:szCs w:val="32"/>
        </w:rPr>
        <w:t>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项目产出指标</w:t>
      </w:r>
    </w:p>
    <w:p>
      <w:pPr>
        <w:pStyle w:val="28"/>
        <w:numPr>
          <w:ilvl w:val="0"/>
          <w:numId w:val="4"/>
        </w:numPr>
        <w:spacing w:line="600" w:lineRule="exact"/>
        <w:ind w:firstLineChars="0"/>
        <w:rPr>
          <w:sz w:val="32"/>
          <w:szCs w:val="32"/>
        </w:rPr>
      </w:pPr>
      <w:r>
        <w:rPr>
          <w:rFonts w:hint="eastAsia"/>
          <w:sz w:val="32"/>
          <w:szCs w:val="32"/>
        </w:rPr>
        <w:t>数量指标</w:t>
      </w:r>
    </w:p>
    <w:p>
      <w:pPr>
        <w:spacing w:line="600" w:lineRule="exact"/>
        <w:ind w:firstLine="640"/>
        <w:rPr>
          <w:sz w:val="32"/>
          <w:szCs w:val="32"/>
        </w:rPr>
      </w:pPr>
      <w:r>
        <w:rPr>
          <w:rFonts w:hint="eastAsia"/>
          <w:sz w:val="32"/>
          <w:szCs w:val="32"/>
        </w:rPr>
        <w:t>“耕地轮作试点面积”指标，预期指标值为“4.5万亩”。</w:t>
      </w:r>
    </w:p>
    <w:p>
      <w:pPr>
        <w:spacing w:line="600" w:lineRule="exact"/>
        <w:ind w:firstLine="640"/>
        <w:rPr>
          <w:sz w:val="32"/>
          <w:szCs w:val="32"/>
        </w:rPr>
      </w:pPr>
      <w:r>
        <w:rPr>
          <w:rFonts w:hint="eastAsia"/>
          <w:sz w:val="32"/>
          <w:szCs w:val="32"/>
        </w:rPr>
        <w:t>②质量指标</w:t>
      </w:r>
    </w:p>
    <w:p>
      <w:pPr>
        <w:spacing w:line="600" w:lineRule="exact"/>
        <w:ind w:firstLine="640"/>
        <w:rPr>
          <w:sz w:val="32"/>
          <w:szCs w:val="32"/>
        </w:rPr>
      </w:pPr>
      <w:r>
        <w:rPr>
          <w:rFonts w:hint="eastAsia"/>
          <w:sz w:val="32"/>
          <w:szCs w:val="32"/>
        </w:rPr>
        <w:t>“耕地轮作试点（级）”指标，预期指标值为“4.5万亩”。</w:t>
      </w:r>
    </w:p>
    <w:p>
      <w:pPr>
        <w:spacing w:line="600" w:lineRule="exact"/>
        <w:ind w:firstLine="640"/>
        <w:rPr>
          <w:sz w:val="32"/>
          <w:szCs w:val="32"/>
        </w:rPr>
      </w:pPr>
      <w:r>
        <w:rPr>
          <w:rFonts w:hint="eastAsia"/>
          <w:sz w:val="32"/>
          <w:szCs w:val="32"/>
        </w:rPr>
        <w:t>③时效指标</w:t>
      </w:r>
    </w:p>
    <w:p>
      <w:pPr>
        <w:spacing w:line="600" w:lineRule="exact"/>
        <w:ind w:firstLine="640"/>
        <w:rPr>
          <w:sz w:val="32"/>
          <w:szCs w:val="32"/>
        </w:rPr>
      </w:pPr>
      <w:r>
        <w:rPr>
          <w:rFonts w:hint="eastAsia"/>
          <w:sz w:val="32"/>
          <w:szCs w:val="32"/>
        </w:rPr>
        <w:t>“项目完成及时率”指标，预期指标值为“100%”。</w:t>
      </w:r>
    </w:p>
    <w:p>
      <w:pPr>
        <w:numPr>
          <w:ilvl w:val="0"/>
          <w:numId w:val="3"/>
        </w:numPr>
        <w:spacing w:line="600" w:lineRule="exact"/>
        <w:ind w:firstLine="640"/>
        <w:rPr>
          <w:sz w:val="32"/>
          <w:szCs w:val="32"/>
        </w:rPr>
      </w:pPr>
      <w:r>
        <w:rPr>
          <w:rFonts w:hint="eastAsia"/>
          <w:sz w:val="32"/>
          <w:szCs w:val="32"/>
        </w:rPr>
        <w:t>项目成本指标</w:t>
      </w:r>
    </w:p>
    <w:p>
      <w:pPr>
        <w:spacing w:line="600" w:lineRule="exact"/>
        <w:ind w:firstLine="640" w:firstLineChars="0"/>
      </w:pPr>
      <w:r>
        <w:rPr>
          <w:rFonts w:hint="eastAsia"/>
          <w:sz w:val="32"/>
          <w:szCs w:val="32"/>
        </w:rPr>
        <w:t>①经济成本指标</w:t>
      </w:r>
    </w:p>
    <w:p>
      <w:pPr>
        <w:spacing w:line="600" w:lineRule="exact"/>
        <w:ind w:firstLine="640"/>
        <w:rPr>
          <w:sz w:val="32"/>
          <w:szCs w:val="32"/>
        </w:rPr>
      </w:pPr>
      <w:r>
        <w:rPr>
          <w:rFonts w:hint="eastAsia"/>
          <w:sz w:val="32"/>
          <w:szCs w:val="32"/>
        </w:rPr>
        <w:t>“项目资金管理支持”指标，预期指标值为“675万元”。</w:t>
      </w:r>
    </w:p>
    <w:p>
      <w:pPr>
        <w:spacing w:line="600" w:lineRule="exact"/>
        <w:ind w:firstLine="640"/>
        <w:rPr>
          <w:sz w:val="32"/>
          <w:szCs w:val="32"/>
        </w:rPr>
      </w:pPr>
      <w:r>
        <w:rPr>
          <w:rFonts w:hint="eastAsia"/>
          <w:sz w:val="32"/>
          <w:szCs w:val="32"/>
        </w:rPr>
        <w:t>②社会成本指标</w:t>
      </w:r>
    </w:p>
    <w:p>
      <w:pPr>
        <w:spacing w:line="600" w:lineRule="exact"/>
        <w:ind w:firstLine="640"/>
        <w:rPr>
          <w:sz w:val="32"/>
          <w:szCs w:val="32"/>
        </w:rPr>
      </w:pPr>
      <w:r>
        <w:rPr>
          <w:rFonts w:hint="eastAsia"/>
          <w:color w:val="FF0000"/>
          <w:sz w:val="32"/>
          <w:szCs w:val="32"/>
        </w:rPr>
        <w:t xml:space="preserve"> </w:t>
      </w:r>
      <w:r>
        <w:rPr>
          <w:rFonts w:hint="eastAsia"/>
          <w:sz w:val="32"/>
          <w:szCs w:val="32"/>
        </w:rPr>
        <w:t>“无此项指标”</w:t>
      </w:r>
    </w:p>
    <w:p>
      <w:pPr>
        <w:spacing w:line="600" w:lineRule="exact"/>
        <w:ind w:firstLine="640"/>
        <w:rPr>
          <w:sz w:val="32"/>
          <w:szCs w:val="32"/>
        </w:rPr>
      </w:pPr>
      <w:r>
        <w:rPr>
          <w:rFonts w:hint="eastAsia"/>
          <w:sz w:val="32"/>
          <w:szCs w:val="32"/>
        </w:rPr>
        <w:t>③生态环境成本指标</w:t>
      </w:r>
    </w:p>
    <w:p>
      <w:pPr>
        <w:spacing w:line="600" w:lineRule="exact"/>
        <w:ind w:firstLine="640"/>
        <w:rPr>
          <w:sz w:val="32"/>
          <w:szCs w:val="32"/>
        </w:rPr>
      </w:pPr>
      <w:r>
        <w:rPr>
          <w:rFonts w:hint="eastAsia"/>
          <w:sz w:val="32"/>
          <w:szCs w:val="32"/>
        </w:rPr>
        <w:t>“无此项指标”。</w:t>
      </w:r>
    </w:p>
    <w:p>
      <w:pPr>
        <w:spacing w:line="600" w:lineRule="exact"/>
        <w:ind w:firstLine="640"/>
        <w:rPr>
          <w:sz w:val="32"/>
          <w:szCs w:val="32"/>
        </w:rPr>
      </w:pPr>
      <w:r>
        <w:rPr>
          <w:rFonts w:hint="eastAsia"/>
          <w:sz w:val="32"/>
          <w:szCs w:val="32"/>
        </w:rPr>
        <w:t>（3）项目效益指标</w:t>
      </w:r>
    </w:p>
    <w:p>
      <w:pPr>
        <w:spacing w:line="600" w:lineRule="exact"/>
        <w:ind w:firstLine="640"/>
        <w:rPr>
          <w:sz w:val="32"/>
          <w:szCs w:val="32"/>
        </w:rPr>
      </w:pPr>
      <w:r>
        <w:rPr>
          <w:rFonts w:hint="eastAsia"/>
          <w:sz w:val="32"/>
          <w:szCs w:val="32"/>
        </w:rPr>
        <w:t>①经济效益指标</w:t>
      </w:r>
    </w:p>
    <w:p>
      <w:pPr>
        <w:spacing w:line="600" w:lineRule="exact"/>
        <w:ind w:firstLine="640"/>
        <w:rPr>
          <w:sz w:val="32"/>
          <w:szCs w:val="32"/>
        </w:rPr>
      </w:pPr>
      <w:r>
        <w:rPr>
          <w:rFonts w:hint="eastAsia"/>
          <w:sz w:val="32"/>
          <w:szCs w:val="32"/>
        </w:rPr>
        <w:t>“提高作物产量”指标，预期指标值为“10-15%”。</w:t>
      </w:r>
    </w:p>
    <w:p>
      <w:pPr>
        <w:spacing w:line="600" w:lineRule="exact"/>
        <w:ind w:firstLine="640"/>
        <w:rPr>
          <w:sz w:val="32"/>
          <w:szCs w:val="32"/>
        </w:rPr>
      </w:pPr>
      <w:r>
        <w:rPr>
          <w:rFonts w:hint="eastAsia"/>
          <w:sz w:val="32"/>
          <w:szCs w:val="32"/>
        </w:rPr>
        <w:t>②社会效益指标</w:t>
      </w:r>
    </w:p>
    <w:p>
      <w:pPr>
        <w:spacing w:line="600" w:lineRule="exact"/>
        <w:ind w:firstLine="640"/>
        <w:rPr>
          <w:sz w:val="32"/>
          <w:szCs w:val="32"/>
        </w:rPr>
      </w:pPr>
      <w:r>
        <w:rPr>
          <w:rFonts w:hint="eastAsia"/>
          <w:sz w:val="32"/>
          <w:szCs w:val="32"/>
        </w:rPr>
        <w:t>“粮食和重要农产品生产高质量发展”指标，预期指标值为“5%（提升粮食和重要农产品生产高质量发展）”。</w:t>
      </w:r>
    </w:p>
    <w:p>
      <w:pPr>
        <w:spacing w:line="600" w:lineRule="exact"/>
        <w:ind w:firstLine="640"/>
        <w:rPr>
          <w:sz w:val="32"/>
          <w:szCs w:val="32"/>
        </w:rPr>
      </w:pPr>
      <w:r>
        <w:rPr>
          <w:rFonts w:hint="eastAsia"/>
          <w:sz w:val="32"/>
          <w:szCs w:val="32"/>
        </w:rPr>
        <w:t>③生态效益指标</w:t>
      </w:r>
    </w:p>
    <w:p>
      <w:pPr>
        <w:spacing w:line="600" w:lineRule="exact"/>
        <w:ind w:firstLine="640"/>
        <w:rPr>
          <w:sz w:val="32"/>
          <w:szCs w:val="32"/>
        </w:rPr>
      </w:pPr>
      <w:r>
        <w:rPr>
          <w:rFonts w:hint="eastAsia"/>
          <w:sz w:val="32"/>
          <w:szCs w:val="32"/>
        </w:rPr>
        <w:t>“改善生态环境，促进生态可持续发展”指标，预期指标值为“≥95%”。</w:t>
      </w:r>
    </w:p>
    <w:p>
      <w:pPr>
        <w:spacing w:line="600" w:lineRule="exact"/>
        <w:ind w:firstLine="640"/>
        <w:rPr>
          <w:sz w:val="32"/>
          <w:szCs w:val="32"/>
        </w:rPr>
      </w:pPr>
      <w:r>
        <w:rPr>
          <w:rFonts w:hint="eastAsia"/>
          <w:sz w:val="32"/>
          <w:szCs w:val="32"/>
        </w:rPr>
        <w:t>（4）相关满意度目标</w:t>
      </w:r>
    </w:p>
    <w:p>
      <w:pPr>
        <w:spacing w:line="600" w:lineRule="exact"/>
        <w:ind w:firstLine="640"/>
        <w:rPr>
          <w:sz w:val="32"/>
          <w:szCs w:val="32"/>
        </w:rPr>
      </w:pPr>
      <w:r>
        <w:rPr>
          <w:rFonts w:hint="eastAsia"/>
          <w:sz w:val="32"/>
          <w:szCs w:val="32"/>
        </w:rPr>
        <w:t>“种植户满意度”指标，预期指标值为“≥95%”。</w:t>
      </w:r>
    </w:p>
    <w:p>
      <w:pPr>
        <w:pStyle w:val="3"/>
        <w:spacing w:line="600" w:lineRule="exact"/>
        <w:ind w:firstLine="640"/>
        <w:rPr>
          <w:szCs w:val="32"/>
        </w:rPr>
      </w:pPr>
      <w:r>
        <w:rPr>
          <w:rFonts w:hint="eastAsia"/>
          <w:szCs w:val="32"/>
        </w:rPr>
        <w:t>二、绩效评价工作开展情况</w:t>
      </w:r>
    </w:p>
    <w:p>
      <w:pPr>
        <w:pStyle w:val="4"/>
        <w:numPr>
          <w:ilvl w:val="0"/>
          <w:numId w:val="5"/>
        </w:numPr>
        <w:spacing w:line="600" w:lineRule="exact"/>
        <w:ind w:firstLine="643"/>
        <w:rPr>
          <w:rFonts w:ascii="楷体_GB2312" w:eastAsia="楷体_GB2312"/>
          <w:szCs w:val="32"/>
        </w:rPr>
      </w:pPr>
      <w:bookmarkStart w:id="1" w:name="_Toc22169_WPSOffice_Level2"/>
      <w:bookmarkStart w:id="2" w:name="_Toc5258"/>
      <w:bookmarkStart w:id="3" w:name="_Toc26632"/>
      <w:bookmarkStart w:id="4" w:name="_Toc21664"/>
      <w:bookmarkStart w:id="5" w:name="_Toc12868"/>
      <w:bookmarkStart w:id="6" w:name="_Toc22922"/>
      <w:bookmarkStart w:id="7" w:name="_Toc480473081"/>
      <w:bookmarkStart w:id="8" w:name="_Toc5462343"/>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pStyle w:val="28"/>
        <w:numPr>
          <w:ilvl w:val="0"/>
          <w:numId w:val="6"/>
        </w:numPr>
        <w:ind w:firstLineChars="0"/>
        <w:rPr>
          <w:b/>
          <w:bCs/>
          <w:sz w:val="32"/>
          <w:szCs w:val="32"/>
        </w:rPr>
      </w:pPr>
      <w:r>
        <w:rPr>
          <w:rFonts w:hint="eastAsia"/>
          <w:b/>
          <w:bCs/>
          <w:sz w:val="32"/>
          <w:szCs w:val="32"/>
        </w:rPr>
        <w:t>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Style w:val="28"/>
        <w:numPr>
          <w:ilvl w:val="0"/>
          <w:numId w:val="6"/>
        </w:numPr>
        <w:ind w:firstLineChars="0"/>
        <w:rPr>
          <w:b/>
          <w:bCs/>
          <w:sz w:val="32"/>
          <w:szCs w:val="32"/>
        </w:rPr>
      </w:pPr>
      <w:r>
        <w:rPr>
          <w:rFonts w:hint="eastAsia"/>
          <w:b/>
          <w:bCs/>
          <w:sz w:val="32"/>
          <w:szCs w:val="32"/>
        </w:rPr>
        <w:t>绩效评价的对象和范围</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以及自治区财政厅《自治区财政支出绩效评价管理暂行办法》（新财预〔2018〕189号）等文件规定，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对2023年度我单位实施的</w:t>
      </w:r>
      <w:r>
        <w:rPr>
          <w:rFonts w:hint="eastAsia" w:ascii="仿宋_GB2312"/>
          <w:sz w:val="32"/>
          <w:szCs w:val="32"/>
        </w:rPr>
        <w:t>耕地轮作试点</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5"/>
        </w:numPr>
        <w:spacing w:line="600" w:lineRule="exact"/>
        <w:ind w:firstLine="643"/>
        <w:rPr>
          <w:rFonts w:ascii="楷体_GB2312" w:eastAsia="楷体_GB2312"/>
          <w:szCs w:val="32"/>
        </w:rPr>
      </w:pPr>
      <w:r>
        <w:rPr>
          <w:rFonts w:hint="eastAsia" w:ascii="楷体_GB2312" w:eastAsia="楷体_GB2312"/>
          <w:szCs w:val="32"/>
        </w:rPr>
        <w:t>评价工作简述</w:t>
      </w:r>
    </w:p>
    <w:p>
      <w:pPr>
        <w:pStyle w:val="28"/>
        <w:numPr>
          <w:ilvl w:val="0"/>
          <w:numId w:val="7"/>
        </w:numPr>
        <w:ind w:firstLineChars="0"/>
        <w:rPr>
          <w:b/>
          <w:bCs/>
          <w:sz w:val="32"/>
          <w:szCs w:val="32"/>
        </w:rPr>
      </w:pPr>
      <w:r>
        <w:rPr>
          <w:rFonts w:hint="eastAsia"/>
          <w:b/>
          <w:bCs/>
          <w:sz w:val="32"/>
          <w:szCs w:val="32"/>
        </w:rPr>
        <w:t>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耕地轮作试点</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3"/>
        <w:rPr>
          <w:b/>
          <w:bCs/>
          <w:sz w:val="32"/>
          <w:szCs w:val="32"/>
        </w:rPr>
      </w:pPr>
      <w:bookmarkStart w:id="9" w:name="_Toc428278230"/>
      <w:bookmarkStart w:id="10" w:name="_Toc26131"/>
      <w:bookmarkStart w:id="11" w:name="_Toc419984722"/>
      <w:bookmarkStart w:id="12" w:name="_Toc1913"/>
      <w:r>
        <w:rPr>
          <w:rFonts w:hint="eastAsia"/>
          <w:b/>
          <w:bCs/>
          <w:sz w:val="32"/>
          <w:szCs w:val="32"/>
        </w:rPr>
        <w:t>2. 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一级指标为：决策、过程、产出、成本、效益。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二级指标为：项目立项、绩效目标、资金投入、资金管理、组织实施、产出数量、产出质量、产出时效、经济成本、项目效益。</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pStyle w:val="28"/>
        <w:numPr>
          <w:ilvl w:val="0"/>
          <w:numId w:val="7"/>
        </w:numPr>
        <w:ind w:firstLineChars="0"/>
        <w:rPr>
          <w:b/>
          <w:bCs/>
          <w:sz w:val="32"/>
          <w:szCs w:val="32"/>
        </w:rPr>
      </w:pPr>
      <w:r>
        <w:rPr>
          <w:rFonts w:hint="eastAsia"/>
          <w:b/>
          <w:bCs/>
          <w:sz w:val="32"/>
          <w:szCs w:val="32"/>
        </w:rPr>
        <w:t>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28"/>
        <w:numPr>
          <w:ilvl w:val="0"/>
          <w:numId w:val="7"/>
        </w:numPr>
        <w:ind w:firstLineChars="0"/>
        <w:rPr>
          <w:b/>
          <w:bCs/>
          <w:sz w:val="32"/>
          <w:szCs w:val="32"/>
        </w:rPr>
      </w:pPr>
      <w:r>
        <w:rPr>
          <w:rFonts w:hint="eastAsia"/>
          <w:b/>
          <w:bCs/>
          <w:sz w:val="32"/>
          <w:szCs w:val="32"/>
        </w:rPr>
        <w:t>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廖海龙任评价组组长，绩效评价工作职责为检查项目绩效指标完成情况、审定项目支出绩效评价结果及项目支出绩效评价报告。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唐新涛任评价组副组长，绩效评价工作职责为组织和协调项目工作人员采取实地调查、资料检查等方式，核实项目绩效指标完成情况；组织受益对象对项目工作进行评价等。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潘建春任评价组成员，绩效评价工作职责为做好项目支出绩效评价工作的沟通协调工作，对项目实施情况进行实地调查，编写项目支出绩效评价报告。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numPr>
          <w:ilvl w:val="0"/>
          <w:numId w:val="8"/>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spacing w:line="600" w:lineRule="exact"/>
        <w:ind w:firstLine="640"/>
        <w:rPr>
          <w:rFonts w:ascii="仿宋_GB2312"/>
          <w:sz w:val="32"/>
          <w:szCs w:val="32"/>
        </w:rPr>
      </w:pPr>
      <w:r>
        <w:rPr>
          <w:rFonts w:hint="eastAsia" w:ascii="仿宋_GB2312"/>
          <w:sz w:val="32"/>
          <w:szCs w:val="32"/>
        </w:rPr>
        <w:t>通过耕地轮作试点项目的实施，解决了耕地多年连茬种植病虫害加重耕地质量下降等问题，实现了10-15%效益，该项目预算执行率达100.0</w:t>
      </w:r>
      <w:r>
        <w:rPr>
          <w:rFonts w:ascii="仿宋_GB2312"/>
          <w:sz w:val="32"/>
          <w:szCs w:val="32"/>
        </w:rPr>
        <w:t>%</w:t>
      </w:r>
      <w:r>
        <w:rPr>
          <w:rFonts w:hint="eastAsia" w:ascii="仿宋_GB2312"/>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pPr>
      <w:r>
        <w:rPr>
          <w:rFonts w:hint="eastAsia" w:ascii="仿宋_GB2312" w:hAnsi="仿宋_GB2312" w:cs="仿宋_GB2312"/>
          <w:bCs/>
          <w:sz w:val="32"/>
          <w:szCs w:val="32"/>
        </w:rPr>
        <w:t>本次评价采取定量与定性评价相结合的方式，</w:t>
      </w:r>
      <w:r>
        <w:rPr>
          <w:rFonts w:hint="eastAsia" w:ascii="仿宋_GB2312"/>
          <w:sz w:val="32"/>
          <w:szCs w:val="32"/>
        </w:rPr>
        <w:t>对耕地轮作试点项目的绩效目标和各项具体绩效指标实现情况进行了客观评价，最终评分为95分。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rPr>
        <w:t>15</w:t>
      </w:r>
      <w:r>
        <w:rPr>
          <w:rFonts w:hint="eastAsia" w:ascii="仿宋_GB2312" w:cs="仿宋_GB2312"/>
          <w:sz w:val="32"/>
          <w:szCs w:val="32"/>
        </w:rPr>
        <w:t>分、项目产出</w:t>
      </w:r>
      <w:r>
        <w:rPr>
          <w:rFonts w:hint="eastAsia" w:ascii="仿宋_GB2312"/>
          <w:sz w:val="32"/>
          <w:szCs w:val="32"/>
        </w:rPr>
        <w:t>40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pPr>
        <w:pStyle w:val="3"/>
        <w:spacing w:line="600" w:lineRule="exact"/>
        <w:ind w:firstLine="640"/>
        <w:rPr>
          <w:szCs w:val="32"/>
        </w:rPr>
      </w:pPr>
      <w:r>
        <w:rPr>
          <w:rFonts w:hint="eastAsia"/>
          <w:szCs w:val="32"/>
        </w:rPr>
        <w:t>四、绩效评价指标分析</w:t>
      </w:r>
    </w:p>
    <w:p>
      <w:pPr>
        <w:pStyle w:val="4"/>
        <w:spacing w:line="600" w:lineRule="exact"/>
        <w:ind w:firstLine="643"/>
        <w:rPr>
          <w:rFonts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pStyle w:val="24"/>
        <w:spacing w:line="600" w:lineRule="exact"/>
        <w:ind w:firstLine="736"/>
        <w:rPr>
          <w:rFonts w:cs="仿宋_GB2312"/>
          <w:color w:val="auto"/>
        </w:rPr>
      </w:pPr>
      <w:r>
        <w:rPr>
          <w:rFonts w:hint="eastAsia" w:cs="仿宋_GB2312"/>
          <w:b/>
          <w:bCs/>
          <w:color w:val="auto"/>
        </w:rPr>
        <w:t>1.立项依据充分性：因</w:t>
      </w:r>
      <w:r>
        <w:rPr>
          <w:rFonts w:hint="eastAsia" w:cs="仿宋_GB2312"/>
          <w:color w:val="auto"/>
        </w:rPr>
        <w:t>本项目是由自治区农业农村厅、塔城地区农业农村局下达的项目，没有立项要求，得2.5分。</w:t>
      </w:r>
    </w:p>
    <w:p>
      <w:pPr>
        <w:pStyle w:val="24"/>
        <w:spacing w:line="600" w:lineRule="exact"/>
        <w:ind w:firstLine="736"/>
        <w:rPr>
          <w:rFonts w:cs="仿宋_GB2312"/>
          <w:color w:val="auto"/>
        </w:rPr>
      </w:pPr>
      <w:r>
        <w:rPr>
          <w:rFonts w:hint="eastAsia" w:cs="仿宋_GB2312"/>
          <w:b/>
          <w:bCs/>
          <w:color w:val="auto"/>
        </w:rPr>
        <w:t>2.立项程序规范性：因</w:t>
      </w:r>
      <w:r>
        <w:rPr>
          <w:rFonts w:hint="eastAsia" w:cs="仿宋_GB2312"/>
          <w:color w:val="auto"/>
        </w:rPr>
        <w:t>本项目是由自治区农业农村厅、塔城地区农业农村局下达的项目，没有立项要求，得2.5分。</w:t>
      </w:r>
    </w:p>
    <w:p>
      <w:pPr>
        <w:spacing w:line="600" w:lineRule="exact"/>
        <w:ind w:firstLine="643"/>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pPr>
        <w:spacing w:line="600" w:lineRule="exact"/>
        <w:ind w:firstLine="643"/>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pPr>
        <w:spacing w:line="600" w:lineRule="exact"/>
        <w:ind w:firstLine="643"/>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本项目预算由上级部门安排，内容与项目内容匹配，项目投资额与工作任务相匹配，根据评分标准，该指标3分，得3分。</w:t>
      </w:r>
    </w:p>
    <w:p>
      <w:pPr>
        <w:spacing w:line="600" w:lineRule="exact"/>
        <w:ind w:firstLine="643"/>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本项目资金分配按照地区“实施方案”结合我市各乡镇种植区域特点及上年（2022年）轮作实际情况分配，依据充分，资金分配额度合理，与项目地方实际相适应。根据评分标准，该指标2分，得2分。</w:t>
      </w:r>
    </w:p>
    <w:p>
      <w:pPr>
        <w:pStyle w:val="4"/>
        <w:spacing w:line="600" w:lineRule="exact"/>
        <w:ind w:firstLine="643"/>
        <w:rPr>
          <w:rFonts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15</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643"/>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该项目所需财政资金能够足额拨付到位，农业农村局能够及时足额按照合同约定将专项资金拨付到位，根据评分标准，该指标2分，得2分。   </w:t>
      </w:r>
    </w:p>
    <w:p>
      <w:pPr>
        <w:spacing w:line="600" w:lineRule="exact"/>
        <w:ind w:firstLine="643"/>
        <w:rPr>
          <w:rFonts w:ascii="仿宋_GB2312" w:cs="仿宋_GB2312"/>
          <w:sz w:val="32"/>
          <w:szCs w:val="32"/>
        </w:rPr>
      </w:pPr>
      <w:r>
        <w:rPr>
          <w:rFonts w:hint="eastAsia" w:ascii="仿宋_GB2312" w:cs="仿宋_GB2312"/>
          <w:b/>
          <w:bCs/>
          <w:sz w:val="32"/>
          <w:szCs w:val="32"/>
        </w:rPr>
        <w:t>2.预算执行率：本项目</w:t>
      </w:r>
      <w:r>
        <w:rPr>
          <w:rFonts w:hint="eastAsia" w:ascii="仿宋_GB2312" w:cs="仿宋_GB2312"/>
          <w:sz w:val="32"/>
          <w:szCs w:val="32"/>
        </w:rPr>
        <w:t>预算资金675万元</w:t>
      </w:r>
      <w:r>
        <w:rPr>
          <w:rFonts w:ascii="仿宋_GB2312" w:cs="仿宋_GB2312"/>
          <w:sz w:val="32"/>
          <w:szCs w:val="32"/>
        </w:rPr>
        <w:t>，</w:t>
      </w:r>
      <w:r>
        <w:rPr>
          <w:rFonts w:hint="eastAsia" w:ascii="仿宋_GB2312" w:cs="仿宋_GB2312"/>
          <w:sz w:val="32"/>
          <w:szCs w:val="32"/>
        </w:rPr>
        <w:t>实际执行675万元，预算执行率为100.0</w:t>
      </w:r>
      <w:r>
        <w:rPr>
          <w:rFonts w:ascii="仿宋_GB2312" w:cs="仿宋_GB2312"/>
          <w:sz w:val="32"/>
          <w:szCs w:val="32"/>
        </w:rPr>
        <w:t>%</w:t>
      </w:r>
      <w:r>
        <w:rPr>
          <w:rFonts w:hint="eastAsia" w:ascii="仿宋_GB2312" w:cs="仿宋_GB2312"/>
          <w:sz w:val="32"/>
          <w:szCs w:val="32"/>
        </w:rPr>
        <w:t>，项目资金支出总体能够按照预算执行，根据评分标准，该指标2分，得2分。</w:t>
      </w:r>
    </w:p>
    <w:p>
      <w:pPr>
        <w:spacing w:line="600" w:lineRule="exact"/>
        <w:ind w:firstLine="643"/>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w:t>
      </w:r>
      <w:r>
        <w:rPr>
          <w:rFonts w:ascii="仿宋_GB2312" w:cs="仿宋_GB2312"/>
          <w:sz w:val="32"/>
          <w:szCs w:val="32"/>
        </w:rPr>
        <w:t>，</w:t>
      </w:r>
      <w:r>
        <w:rPr>
          <w:rFonts w:hint="eastAsia" w:ascii="仿宋_GB2312" w:cs="仿宋_GB2312"/>
          <w:sz w:val="32"/>
          <w:szCs w:val="32"/>
        </w:rPr>
        <w:t>制定了</w:t>
      </w:r>
      <w:r>
        <w:rPr>
          <w:rFonts w:ascii="仿宋_GB2312" w:cs="仿宋_GB2312"/>
          <w:sz w:val="32"/>
          <w:szCs w:val="32"/>
        </w:rPr>
        <w:t>《</w:t>
      </w:r>
      <w:r>
        <w:rPr>
          <w:rFonts w:hint="eastAsia" w:ascii="仿宋_GB2312" w:cs="仿宋_GB2312"/>
          <w:sz w:val="32"/>
          <w:szCs w:val="32"/>
        </w:rPr>
        <w:t>耕地轮作试点</w:t>
      </w:r>
      <w:r>
        <w:rPr>
          <w:rFonts w:ascii="仿宋_GB2312" w:cs="仿宋_GB2312"/>
          <w:sz w:val="32"/>
          <w:szCs w:val="32"/>
        </w:rPr>
        <w:t>》</w:t>
      </w:r>
      <w:r>
        <w:rPr>
          <w:rFonts w:hint="eastAsia" w:ascii="仿宋_GB2312" w:cs="仿宋_GB2312"/>
          <w:sz w:val="32"/>
          <w:szCs w:val="32"/>
        </w:rPr>
        <w:t>制度和管理规定对经费使用进行规范管理，财务制度健全、执行严格；根据评分标准，该指标3分，得3分。</w:t>
      </w:r>
    </w:p>
    <w:p>
      <w:pPr>
        <w:spacing w:line="600" w:lineRule="exact"/>
        <w:ind w:firstLine="643"/>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制定了</w:t>
      </w:r>
      <w:r>
        <w:rPr>
          <w:rFonts w:ascii="仿宋_GB2312" w:cs="仿宋_GB2312"/>
          <w:sz w:val="32"/>
          <w:szCs w:val="32"/>
        </w:rPr>
        <w:t>《</w:t>
      </w:r>
      <w:r>
        <w:rPr>
          <w:rFonts w:hint="eastAsia" w:ascii="仿宋_GB2312" w:cs="仿宋_GB2312"/>
          <w:sz w:val="32"/>
          <w:szCs w:val="32"/>
        </w:rPr>
        <w:t>耕地轮作</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管理，做到了专款专用，根据评分标准，该指标4分，得4分。</w:t>
      </w:r>
    </w:p>
    <w:p>
      <w:pPr>
        <w:spacing w:line="600" w:lineRule="exact"/>
        <w:ind w:firstLine="643"/>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：地区农业农村局提出经费预算支出方案，经过与市政府分管领导沟通后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pPr>
        <w:pStyle w:val="4"/>
        <w:spacing w:line="600" w:lineRule="exact"/>
        <w:ind w:firstLine="643"/>
        <w:rPr>
          <w:rFonts w:ascii="楷体_GB2312" w:eastAsia="楷体_GB2312"/>
          <w:szCs w:val="32"/>
        </w:rPr>
      </w:pPr>
      <w:r>
        <w:rPr>
          <w:rFonts w:hint="eastAsia" w:ascii="楷体_GB2312" w:eastAsia="楷体_GB2312"/>
          <w:szCs w:val="32"/>
        </w:rPr>
        <w:t>（三）项目产出情况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项目产出类指标包括产出数量、产出质量、产出时效、产出成本共四方面的内容，由4个指标构成，权重分为4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40</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耕地轮作试点面积指标，预期指标值为4.5万亩，实际完成耕地轮作试点面积4.5万亩，与预期目标一致，根据评分标准，该指标10分（填附件1中该指标分列的分数），得10分。</w:t>
      </w:r>
    </w:p>
    <w:p>
      <w:pPr>
        <w:spacing w:line="600" w:lineRule="exact"/>
        <w:ind w:firstLine="643"/>
        <w:rPr>
          <w:rFonts w:ascii="仿宋_GB2312"/>
          <w:b/>
          <w:bCs/>
          <w:sz w:val="32"/>
        </w:rPr>
      </w:pPr>
      <w:r>
        <w:rPr>
          <w:rFonts w:hint="eastAsia" w:ascii="仿宋_GB2312"/>
          <w:b/>
          <w:bCs/>
          <w:sz w:val="32"/>
        </w:rPr>
        <w:t>2.产出质量</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项目完成及时率指标，预期指标值为“100%”， 根据2023年初步核查项目完成及时率达</w:t>
      </w:r>
      <w:r>
        <w:rPr>
          <w:rFonts w:ascii="仿宋_GB2312" w:hAnsi="仿宋_GB2312" w:cs="仿宋_GB2312"/>
          <w:sz w:val="32"/>
          <w:szCs w:val="32"/>
        </w:rPr>
        <w:t>100%，</w:t>
      </w:r>
      <w:r>
        <w:rPr>
          <w:rFonts w:hint="eastAsia" w:ascii="仿宋_GB2312" w:hAnsi="仿宋_GB2312" w:cs="仿宋_GB2312"/>
          <w:sz w:val="32"/>
          <w:szCs w:val="32"/>
        </w:rPr>
        <w:t>轮作作物与目标一致，根据评分标准，该指标</w:t>
      </w:r>
      <w:r>
        <w:rPr>
          <w:rFonts w:hint="eastAsia" w:ascii="仿宋_GB2312"/>
          <w:sz w:val="32"/>
          <w:szCs w:val="32"/>
        </w:rPr>
        <w:t>10</w:t>
      </w:r>
      <w:r>
        <w:rPr>
          <w:rFonts w:hint="eastAsia" w:ascii="仿宋_GB2312" w:hAnsi="仿宋_GB2312" w:cs="仿宋_GB2312"/>
          <w:sz w:val="32"/>
          <w:szCs w:val="32"/>
        </w:rPr>
        <w:t>分，得</w:t>
      </w:r>
      <w:r>
        <w:rPr>
          <w:rFonts w:hint="eastAsia" w:ascii="仿宋_GB2312"/>
          <w:sz w:val="32"/>
          <w:szCs w:val="32"/>
        </w:rPr>
        <w:t>10</w:t>
      </w:r>
      <w:r>
        <w:rPr>
          <w:rFonts w:hint="eastAsia" w:ascii="仿宋_GB2312" w:hAnsi="仿宋_GB2312" w:cs="仿宋_GB2312"/>
          <w:sz w:val="32"/>
          <w:szCs w:val="32"/>
        </w:rPr>
        <w:t>分。</w:t>
      </w:r>
    </w:p>
    <w:p>
      <w:pPr>
        <w:pStyle w:val="5"/>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pPr>
        <w:pStyle w:val="5"/>
        <w:spacing w:before="0" w:after="0" w:line="600" w:lineRule="exact"/>
        <w:ind w:firstLine="640"/>
        <w:jc w:val="both"/>
        <w:rPr>
          <w:rFonts w:ascii="仿宋_GB2312" w:cs="仿宋_GB2312"/>
          <w:b w:val="0"/>
          <w:sz w:val="32"/>
          <w:szCs w:val="32"/>
        </w:rPr>
      </w:pPr>
      <w:r>
        <w:rPr>
          <w:rFonts w:hint="eastAsia" w:ascii="仿宋_GB2312" w:cs="仿宋_GB2312"/>
          <w:b w:val="0"/>
          <w:sz w:val="32"/>
          <w:szCs w:val="32"/>
        </w:rPr>
        <w:t>“资金支付及时率”</w:t>
      </w:r>
      <w:r>
        <w:rPr>
          <w:rFonts w:hint="eastAsia" w:ascii="仿宋_GB2312" w:hAnsi="仿宋_GB2312" w:cs="仿宋_GB2312"/>
          <w:b w:val="0"/>
          <w:sz w:val="32"/>
          <w:szCs w:val="32"/>
        </w:rPr>
        <w:t>指标，预期指标值为</w:t>
      </w:r>
      <w:r>
        <w:rPr>
          <w:rFonts w:hint="eastAsia" w:ascii="仿宋_GB2312" w:cs="仿宋_GB2312"/>
          <w:b w:val="0"/>
          <w:sz w:val="32"/>
          <w:szCs w:val="32"/>
        </w:rPr>
        <w:t>“</w:t>
      </w:r>
      <w:r>
        <w:rPr>
          <w:rFonts w:ascii="仿宋_GB2312" w:cs="仿宋_GB2312"/>
          <w:b w:val="0"/>
          <w:sz w:val="32"/>
          <w:szCs w:val="32"/>
        </w:rPr>
        <w:t>100%</w:t>
      </w:r>
      <w:r>
        <w:rPr>
          <w:rFonts w:hint="eastAsia" w:ascii="仿宋_GB2312" w:cs="仿宋_GB2312"/>
          <w:b w:val="0"/>
          <w:sz w:val="32"/>
          <w:szCs w:val="32"/>
        </w:rPr>
        <w:t>”</w:t>
      </w:r>
      <w:r>
        <w:rPr>
          <w:rFonts w:ascii="仿宋_GB2312" w:cs="仿宋_GB2312"/>
          <w:b w:val="0"/>
          <w:sz w:val="32"/>
          <w:szCs w:val="32"/>
        </w:rPr>
        <w:t>；</w:t>
      </w:r>
      <w:r>
        <w:rPr>
          <w:rFonts w:hint="eastAsia" w:ascii="仿宋_GB2312" w:cs="仿宋_GB2312"/>
          <w:b w:val="0"/>
          <w:sz w:val="32"/>
          <w:szCs w:val="32"/>
        </w:rPr>
        <w:t>根据资金支付凭证显示</w:t>
      </w:r>
      <w:r>
        <w:rPr>
          <w:rFonts w:ascii="仿宋_GB2312" w:cs="仿宋_GB2312"/>
          <w:b w:val="0"/>
          <w:sz w:val="32"/>
          <w:szCs w:val="32"/>
        </w:rPr>
        <w:t>，</w:t>
      </w:r>
      <w:r>
        <w:rPr>
          <w:rFonts w:hint="eastAsia" w:ascii="仿宋_GB2312" w:cs="仿宋_GB2312"/>
          <w:b w:val="0"/>
          <w:sz w:val="32"/>
          <w:szCs w:val="32"/>
        </w:rPr>
        <w:t>资金已于</w:t>
      </w:r>
      <w:r>
        <w:rPr>
          <w:rFonts w:ascii="仿宋_GB2312" w:cs="仿宋_GB2312"/>
          <w:b w:val="0"/>
          <w:sz w:val="32"/>
          <w:szCs w:val="32"/>
        </w:rPr>
        <w:t>202</w:t>
      </w:r>
      <w:r>
        <w:rPr>
          <w:rFonts w:hint="eastAsia" w:ascii="仿宋_GB2312" w:cs="仿宋_GB2312"/>
          <w:b w:val="0"/>
          <w:sz w:val="32"/>
          <w:szCs w:val="32"/>
        </w:rPr>
        <w:t>3年12月全部支付完毕</w:t>
      </w:r>
      <w:r>
        <w:rPr>
          <w:rFonts w:ascii="仿宋_GB2312" w:cs="仿宋_GB2312"/>
          <w:b w:val="0"/>
          <w:sz w:val="32"/>
          <w:szCs w:val="32"/>
        </w:rPr>
        <w:t>，</w:t>
      </w:r>
      <w:r>
        <w:rPr>
          <w:rFonts w:hint="eastAsia" w:ascii="仿宋_GB2312" w:cs="仿宋_GB2312"/>
          <w:b w:val="0"/>
          <w:sz w:val="32"/>
          <w:szCs w:val="32"/>
        </w:rPr>
        <w:t>与预期目标指标一</w:t>
      </w:r>
      <w:r>
        <w:rPr>
          <w:rFonts w:hint="eastAsia" w:ascii="仿宋_GB2312" w:cs="仿宋_GB2312"/>
          <w:b w:val="0"/>
          <w:bCs/>
          <w:sz w:val="32"/>
          <w:szCs w:val="32"/>
        </w:rPr>
        <w:t>致</w:t>
      </w:r>
      <w:r>
        <w:rPr>
          <w:rFonts w:hint="eastAsia" w:ascii="仿宋_GB2312" w:cs="仿宋_GB2312"/>
          <w:b w:val="0"/>
          <w:sz w:val="32"/>
          <w:szCs w:val="32"/>
        </w:rPr>
        <w:t>，根据评分标准，该指标</w:t>
      </w:r>
      <w:r>
        <w:rPr>
          <w:rFonts w:hint="eastAsia" w:ascii="仿宋_GB2312"/>
          <w:sz w:val="32"/>
          <w:szCs w:val="32"/>
        </w:rPr>
        <w:t>10</w:t>
      </w:r>
      <w:r>
        <w:rPr>
          <w:rFonts w:hint="eastAsia" w:ascii="仿宋_GB2312" w:cs="仿宋_GB2312"/>
          <w:b w:val="0"/>
          <w:sz w:val="32"/>
          <w:szCs w:val="32"/>
        </w:rPr>
        <w:t>分，得</w:t>
      </w:r>
      <w:r>
        <w:rPr>
          <w:rFonts w:hint="eastAsia" w:ascii="仿宋_GB2312"/>
          <w:sz w:val="32"/>
          <w:szCs w:val="32"/>
        </w:rPr>
        <w:t>10</w:t>
      </w:r>
      <w:r>
        <w:rPr>
          <w:rFonts w:hint="eastAsia" w:ascii="仿宋_GB2312" w:cs="仿宋_GB2312"/>
          <w:b w:val="0"/>
          <w:sz w:val="32"/>
          <w:szCs w:val="32"/>
        </w:rPr>
        <w:t>分。</w:t>
      </w:r>
    </w:p>
    <w:p>
      <w:pPr>
        <w:pStyle w:val="5"/>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spacing w:line="600" w:lineRule="exact"/>
        <w:ind w:firstLine="640"/>
        <w:rPr>
          <w:rFonts w:ascii="仿宋_GB2312" w:cs="仿宋_GB2312"/>
          <w:sz w:val="32"/>
          <w:szCs w:val="32"/>
        </w:rPr>
      </w:pPr>
      <w:r>
        <w:rPr>
          <w:rFonts w:hint="eastAsia" w:ascii="仿宋_GB2312" w:cs="仿宋_GB2312"/>
          <w:sz w:val="32"/>
          <w:szCs w:val="32"/>
        </w:rPr>
        <w:t>“本年支付项目资金”</w:t>
      </w:r>
      <w:r>
        <w:rPr>
          <w:rFonts w:hint="eastAsia" w:ascii="仿宋_GB2312" w:hAnsi="仿宋_GB2312" w:cs="仿宋_GB2312"/>
          <w:sz w:val="32"/>
          <w:szCs w:val="32"/>
        </w:rPr>
        <w:t>指标，预期指标值为</w:t>
      </w:r>
      <w:r>
        <w:rPr>
          <w:rFonts w:hint="eastAsia" w:ascii="仿宋_GB2312" w:cs="仿宋_GB2312"/>
          <w:sz w:val="32"/>
          <w:szCs w:val="32"/>
        </w:rPr>
        <w:t>675，根据项目资金支付凭证显示</w:t>
      </w:r>
      <w:r>
        <w:rPr>
          <w:rFonts w:ascii="仿宋_GB2312" w:cs="仿宋_GB2312"/>
          <w:sz w:val="32"/>
          <w:szCs w:val="32"/>
        </w:rPr>
        <w:t>，</w:t>
      </w:r>
      <w:r>
        <w:rPr>
          <w:rFonts w:hint="eastAsia" w:ascii="仿宋_GB2312" w:cs="仿宋_GB2312"/>
          <w:sz w:val="32"/>
          <w:szCs w:val="32"/>
        </w:rPr>
        <w:t>本项目支付资金675万元</w:t>
      </w:r>
      <w:r>
        <w:rPr>
          <w:rFonts w:ascii="仿宋_GB2312" w:cs="仿宋_GB2312"/>
          <w:sz w:val="32"/>
          <w:szCs w:val="32"/>
        </w:rPr>
        <w:t>，</w:t>
      </w:r>
      <w:r>
        <w:rPr>
          <w:rFonts w:hint="eastAsia" w:ascii="仿宋_GB2312" w:cs="仿宋_GB2312"/>
          <w:sz w:val="32"/>
          <w:szCs w:val="32"/>
        </w:rPr>
        <w:t>根据评分标准，该指标10分，得10分。</w:t>
      </w:r>
    </w:p>
    <w:p>
      <w:pPr>
        <w:pStyle w:val="4"/>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spacing w:line="600" w:lineRule="exact"/>
        <w:ind w:firstLine="640"/>
        <w:contextualSpacing/>
        <w:rPr>
          <w:rFonts w:ascii="仿宋_GB2312" w:hAnsi="仿宋_GB2312" w:cs="仿宋_GB2312"/>
          <w:sz w:val="32"/>
          <w:szCs w:val="32"/>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w:t>
      </w:r>
      <w:r>
        <w:rPr>
          <w:rFonts w:hint="eastAsia"/>
          <w:sz w:val="32"/>
          <w:szCs w:val="32"/>
          <w:u w:color="000000"/>
          <w:lang w:val="zh-TW" w:eastAsia="zh-TW"/>
        </w:rPr>
        <w:t>由</w:t>
      </w:r>
      <w:r>
        <w:rPr>
          <w:rFonts w:hint="eastAsia"/>
          <w:sz w:val="32"/>
          <w:szCs w:val="32"/>
          <w:u w:color="000000"/>
        </w:rPr>
        <w:t>经济效益、社会效益、生态效益等3</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级指标构成，</w:t>
      </w:r>
      <w:r>
        <w:rPr>
          <w:rFonts w:hint="eastAsia" w:ascii="仿宋_GB2312" w:cs="仿宋_GB2312"/>
          <w:sz w:val="32"/>
          <w:szCs w:val="32"/>
        </w:rPr>
        <w:t>权重分为2</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16</w:t>
      </w:r>
      <w:r>
        <w:rPr>
          <w:rFonts w:hint="eastAsia" w:ascii="仿宋_GB2312" w:hAnsi="仿宋_GB2312" w:cs="仿宋_GB2312"/>
          <w:sz w:val="32"/>
          <w:szCs w:val="32"/>
        </w:rPr>
        <w:t>分，得分率为</w:t>
      </w:r>
      <w:r>
        <w:rPr>
          <w:rFonts w:hint="eastAsia" w:ascii="仿宋_GB2312"/>
          <w:sz w:val="32"/>
          <w:szCs w:val="32"/>
        </w:rPr>
        <w:t>80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643"/>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spacing w:line="600" w:lineRule="exact"/>
        <w:ind w:firstLine="640"/>
      </w:pPr>
      <w:r>
        <w:rPr>
          <w:rFonts w:hint="eastAsia" w:ascii="仿宋_GB2312"/>
          <w:sz w:val="32"/>
          <w:szCs w:val="32"/>
        </w:rPr>
        <w:t>粮食和重要农产品生产高质量发展</w:t>
      </w:r>
      <w:r>
        <w:rPr>
          <w:rFonts w:hint="eastAsia" w:ascii="仿宋_GB2312" w:hAnsi="仿宋_GB2312" w:cs="仿宋_GB2312"/>
          <w:sz w:val="32"/>
          <w:szCs w:val="32"/>
        </w:rPr>
        <w:t>指标，预期指标值为</w:t>
      </w:r>
      <w:r>
        <w:rPr>
          <w:rFonts w:hint="eastAsia" w:ascii="仿宋_GB2312"/>
          <w:sz w:val="32"/>
          <w:szCs w:val="32"/>
        </w:rPr>
        <w:t>较好提升粮食和重要农产品生产高质量发展，</w:t>
      </w:r>
      <w:r>
        <w:rPr>
          <w:rFonts w:hint="eastAsia"/>
          <w:sz w:val="32"/>
          <w:szCs w:val="32"/>
        </w:rPr>
        <w:t>实际完成值为</w:t>
      </w:r>
      <w:r>
        <w:rPr>
          <w:rFonts w:hint="eastAsia" w:ascii="仿宋_GB2312"/>
          <w:sz w:val="32"/>
          <w:szCs w:val="32"/>
        </w:rPr>
        <w:t>较好提升粮食和重要农产品生产高质量发展，根据评分标准，该指标7分，得5分。</w:t>
      </w:r>
    </w:p>
    <w:p>
      <w:pPr>
        <w:spacing w:line="600" w:lineRule="exact"/>
        <w:ind w:firstLine="643"/>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spacing w:line="600" w:lineRule="exact"/>
        <w:ind w:firstLine="640"/>
      </w:pPr>
      <w:r>
        <w:rPr>
          <w:rFonts w:hint="eastAsia" w:ascii="仿宋_GB2312"/>
          <w:sz w:val="32"/>
          <w:szCs w:val="32"/>
        </w:rPr>
        <w:t>“提高作物产量”</w:t>
      </w:r>
      <w:r>
        <w:rPr>
          <w:rFonts w:hint="eastAsia" w:ascii="仿宋_GB2312" w:hAnsi="仿宋_GB2312" w:cs="仿宋_GB2312"/>
          <w:sz w:val="32"/>
          <w:szCs w:val="32"/>
        </w:rPr>
        <w:t>指标，预期指标值为“</w:t>
      </w:r>
      <w:r>
        <w:rPr>
          <w:rFonts w:ascii="仿宋_GB2312" w:hAnsi="仿宋_GB2312" w:cs="仿宋_GB2312"/>
          <w:sz w:val="32"/>
          <w:szCs w:val="32"/>
        </w:rPr>
        <w:t>10%--15%</w:t>
      </w:r>
      <w:r>
        <w:rPr>
          <w:rFonts w:hint="eastAsia" w:ascii="仿宋_GB2312" w:hAnsi="仿宋_GB2312" w:cs="仿宋_GB2312"/>
          <w:sz w:val="32"/>
          <w:szCs w:val="32"/>
        </w:rPr>
        <w:t>”，</w:t>
      </w:r>
      <w:r>
        <w:rPr>
          <w:rFonts w:hint="eastAsia"/>
          <w:sz w:val="32"/>
          <w:szCs w:val="32"/>
        </w:rPr>
        <w:t>根据</w:t>
      </w:r>
      <w:r>
        <w:rPr>
          <w:rFonts w:hint="eastAsia" w:ascii="仿宋_GB2312"/>
          <w:sz w:val="32"/>
          <w:szCs w:val="32"/>
        </w:rPr>
        <w:t>本单位年度考核情况</w:t>
      </w:r>
      <w:r>
        <w:rPr>
          <w:rFonts w:hint="eastAsia"/>
          <w:sz w:val="32"/>
          <w:szCs w:val="32"/>
        </w:rPr>
        <w:t>，实际完成值为</w:t>
      </w:r>
      <w:r>
        <w:rPr>
          <w:rFonts w:hint="eastAsia" w:ascii="仿宋_GB2312"/>
          <w:sz w:val="32"/>
          <w:szCs w:val="32"/>
        </w:rPr>
        <w:t>“达成年度指标”根据评分标准，该指标10分，得10分。</w:t>
      </w:r>
    </w:p>
    <w:p>
      <w:pPr>
        <w:spacing w:line="600" w:lineRule="exact"/>
        <w:ind w:firstLine="643"/>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spacing w:line="600" w:lineRule="exact"/>
        <w:ind w:firstLine="640"/>
        <w:rPr>
          <w:rFonts w:ascii="仿宋_GB2312"/>
          <w:sz w:val="32"/>
          <w:szCs w:val="32"/>
        </w:rPr>
      </w:pPr>
      <w:r>
        <w:rPr>
          <w:rFonts w:hint="eastAsia" w:ascii="仿宋_GB2312"/>
          <w:sz w:val="32"/>
          <w:szCs w:val="32"/>
        </w:rPr>
        <w:t>改善生态环境，促进生态可持续发展，预期指标值为“95</w:t>
      </w:r>
      <w:r>
        <w:rPr>
          <w:rFonts w:ascii="仿宋_GB2312"/>
          <w:sz w:val="32"/>
          <w:szCs w:val="32"/>
        </w:rPr>
        <w:t>%</w:t>
      </w:r>
      <w:r>
        <w:rPr>
          <w:rFonts w:hint="eastAsia" w:ascii="仿宋_GB2312"/>
          <w:sz w:val="32"/>
          <w:szCs w:val="32"/>
        </w:rPr>
        <w:t>”， 实际完成值为“95%”根据评分标准，该指标5分，得3分。</w:t>
      </w:r>
    </w:p>
    <w:p>
      <w:pPr>
        <w:spacing w:line="600" w:lineRule="exact"/>
        <w:ind w:firstLine="643"/>
        <w:rPr>
          <w:rFonts w:ascii="楷体_GB2312" w:hAnsi="Arial" w:eastAsia="楷体_GB2312"/>
          <w:b/>
          <w:sz w:val="32"/>
          <w:szCs w:val="32"/>
        </w:rPr>
      </w:pPr>
      <w:r>
        <w:rPr>
          <w:rFonts w:hint="eastAsia" w:ascii="楷体_GB2312" w:hAnsi="Arial" w:eastAsia="楷体_GB2312"/>
          <w:b/>
          <w:sz w:val="32"/>
          <w:szCs w:val="32"/>
        </w:rPr>
        <w:t>（五）满意度指标完成情况分析</w:t>
      </w:r>
    </w:p>
    <w:p>
      <w:pPr>
        <w:pStyle w:val="21"/>
        <w:spacing w:line="600" w:lineRule="exact"/>
        <w:ind w:firstLine="640"/>
        <w:rPr>
          <w:rFonts w:ascii="仿宋_GB2312" w:cs="仿宋_GB2312"/>
          <w:kern w:val="2"/>
          <w:sz w:val="32"/>
          <w:szCs w:val="32"/>
        </w:rPr>
      </w:pPr>
      <w:bookmarkStart w:id="16" w:name="_Toc1921"/>
      <w:bookmarkStart w:id="17" w:name="_Toc28290"/>
      <w:r>
        <w:rPr>
          <w:rFonts w:hint="eastAsia" w:ascii="仿宋_GB2312" w:cs="仿宋_GB2312"/>
          <w:kern w:val="2"/>
          <w:sz w:val="32"/>
          <w:szCs w:val="32"/>
        </w:rPr>
        <w:t>“农民满意度”</w:t>
      </w:r>
      <w:r>
        <w:rPr>
          <w:rFonts w:hint="eastAsia" w:ascii="仿宋_GB2312" w:hAnsi="仿宋_GB2312" w:cs="仿宋_GB2312"/>
          <w:kern w:val="2"/>
          <w:sz w:val="32"/>
          <w:szCs w:val="32"/>
        </w:rPr>
        <w:t>指标，预期指标值为</w:t>
      </w:r>
      <w:r>
        <w:rPr>
          <w:rFonts w:hint="eastAsia" w:ascii="仿宋_GB2312" w:cs="仿宋_GB2312"/>
          <w:kern w:val="2"/>
          <w:sz w:val="32"/>
          <w:szCs w:val="32"/>
        </w:rPr>
        <w:t>“</w:t>
      </w:r>
      <w:r>
        <w:rPr>
          <w:rFonts w:hint="eastAsia" w:ascii="宋体" w:hAnsi="宋体" w:eastAsia="宋体" w:cs="仿宋_GB2312"/>
          <w:kern w:val="2"/>
          <w:sz w:val="32"/>
          <w:szCs w:val="32"/>
        </w:rPr>
        <w:t>≥</w:t>
      </w:r>
      <w:r>
        <w:rPr>
          <w:rFonts w:ascii="仿宋_GB2312" w:cs="仿宋_GB2312"/>
          <w:kern w:val="2"/>
          <w:sz w:val="32"/>
          <w:szCs w:val="32"/>
        </w:rPr>
        <w:t>95%</w:t>
      </w:r>
      <w:r>
        <w:rPr>
          <w:rFonts w:hint="eastAsia" w:ascii="仿宋_GB2312" w:cs="仿宋_GB2312"/>
          <w:kern w:val="2"/>
          <w:sz w:val="32"/>
          <w:szCs w:val="32"/>
        </w:rPr>
        <w:t>”，根据对轮作种植户进行满意度问卷调查的结果</w:t>
      </w:r>
      <w:r>
        <w:rPr>
          <w:rFonts w:ascii="仿宋_GB2312" w:cs="仿宋_GB2312"/>
          <w:kern w:val="2"/>
          <w:sz w:val="32"/>
          <w:szCs w:val="32"/>
        </w:rPr>
        <w:t>，</w:t>
      </w:r>
      <w:r>
        <w:rPr>
          <w:rFonts w:hint="eastAsia" w:ascii="仿宋_GB2312" w:cs="仿宋_GB2312"/>
          <w:kern w:val="2"/>
          <w:sz w:val="32"/>
          <w:szCs w:val="32"/>
        </w:rPr>
        <w:t>农民满意度达95</w:t>
      </w:r>
      <w:r>
        <w:rPr>
          <w:rFonts w:ascii="仿宋_GB2312" w:cs="仿宋_GB2312"/>
          <w:kern w:val="2"/>
          <w:sz w:val="32"/>
          <w:szCs w:val="32"/>
        </w:rPr>
        <w:t>%</w:t>
      </w:r>
      <w:r>
        <w:rPr>
          <w:rFonts w:hint="eastAsia" w:ascii="仿宋_GB2312" w:cs="仿宋_GB2312"/>
          <w:kern w:val="2"/>
          <w:sz w:val="32"/>
          <w:szCs w:val="32"/>
        </w:rPr>
        <w:t>，根据评分标准，该指标10分,得9分。</w:t>
      </w:r>
    </w:p>
    <w:p>
      <w:pPr>
        <w:pStyle w:val="3"/>
        <w:spacing w:line="600" w:lineRule="exact"/>
        <w:ind w:firstLine="640"/>
        <w:rPr>
          <w:szCs w:val="32"/>
        </w:rPr>
      </w:pPr>
      <w:r>
        <w:rPr>
          <w:rFonts w:hint="eastAsia"/>
          <w:szCs w:val="32"/>
        </w:rPr>
        <w:t>五、预算执行进度与绩效指标偏差情况</w:t>
      </w:r>
    </w:p>
    <w:p>
      <w:pPr>
        <w:pStyle w:val="4"/>
        <w:numPr>
          <w:ilvl w:val="0"/>
          <w:numId w:val="9"/>
        </w:numPr>
        <w:spacing w:line="600" w:lineRule="exact"/>
        <w:ind w:firstLine="643"/>
        <w:rPr>
          <w:rFonts w:ascii="楷体_GB2312" w:eastAsia="楷体_GB2312"/>
          <w:szCs w:val="32"/>
        </w:rPr>
      </w:pPr>
      <w:r>
        <w:rPr>
          <w:rFonts w:hint="eastAsia" w:ascii="楷体_GB2312" w:eastAsia="楷体_GB2312"/>
          <w:szCs w:val="32"/>
        </w:rPr>
        <w:t>预算执行进度</w:t>
      </w:r>
    </w:p>
    <w:p>
      <w:pPr>
        <w:pStyle w:val="21"/>
        <w:spacing w:line="600" w:lineRule="exact"/>
        <w:ind w:firstLine="640"/>
        <w:rPr>
          <w:rFonts w:ascii="仿宋_GB2312"/>
          <w:sz w:val="32"/>
          <w:szCs w:val="32"/>
        </w:rPr>
      </w:pPr>
      <w:r>
        <w:rPr>
          <w:rFonts w:hint="eastAsia" w:ascii="仿宋_GB2312"/>
          <w:sz w:val="32"/>
          <w:szCs w:val="32"/>
        </w:rPr>
        <w:t>耕地轮作试点项目预算金额675万元，实际到位675万元，全年项目实际支出675万元，预算执行率为100%。</w:t>
      </w:r>
    </w:p>
    <w:p>
      <w:pPr>
        <w:pStyle w:val="4"/>
        <w:numPr>
          <w:ilvl w:val="0"/>
          <w:numId w:val="9"/>
        </w:numPr>
        <w:spacing w:line="600" w:lineRule="exact"/>
        <w:ind w:firstLine="643"/>
        <w:rPr>
          <w:rFonts w:ascii="楷体_GB2312" w:eastAsia="楷体_GB2312"/>
          <w:szCs w:val="32"/>
        </w:rPr>
      </w:pPr>
      <w:r>
        <w:rPr>
          <w:rFonts w:hint="eastAsia" w:ascii="楷体_GB2312" w:eastAsia="楷体_GB2312"/>
          <w:szCs w:val="32"/>
        </w:rPr>
        <w:t>绩效指标偏差情况</w:t>
      </w:r>
    </w:p>
    <w:p>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2023年本单位负责实施的</w:t>
      </w:r>
      <w:r>
        <w:rPr>
          <w:rFonts w:hint="eastAsia" w:ascii="仿宋_GB2312"/>
          <w:sz w:val="32"/>
          <w:szCs w:val="32"/>
        </w:rPr>
        <w:t>耕地轮作试点</w:t>
      </w:r>
      <w:r>
        <w:rPr>
          <w:rFonts w:hint="eastAsia" w:ascii="仿宋_GB2312"/>
          <w:color w:val="000000" w:themeColor="text1"/>
          <w:sz w:val="32"/>
          <w:szCs w:val="32"/>
          <w14:textFill>
            <w14:solidFill>
              <w14:schemeClr w14:val="tx1"/>
            </w14:solidFill>
          </w14:textFill>
        </w:rPr>
        <w:t>项目的绩效目标及指标已经全部达成，不存在偏差情况。</w:t>
      </w:r>
      <w:bookmarkEnd w:id="16"/>
      <w:bookmarkEnd w:id="17"/>
    </w:p>
    <w:p>
      <w:pPr>
        <w:pStyle w:val="3"/>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楷体_GB2312" w:hAnsi="Arial" w:eastAsia="楷体_GB2312"/>
          <w:sz w:val="32"/>
          <w:szCs w:val="32"/>
        </w:rPr>
        <w:t>（一）主要经验及做法</w:t>
      </w:r>
    </w:p>
    <w:p>
      <w:pPr>
        <w:ind w:firstLine="643"/>
        <w:rPr>
          <w:rFonts w:ascii="仿宋_GB2312" w:hAnsi="仿宋_GB2312" w:cs="仿宋_GB2312"/>
          <w:b/>
          <w:bCs/>
          <w:sz w:val="32"/>
        </w:rPr>
      </w:pPr>
      <w:r>
        <w:rPr>
          <w:rFonts w:hint="eastAsia" w:ascii="仿宋_GB2312" w:hAnsi="仿宋_GB2312" w:cs="仿宋_GB2312"/>
          <w:b/>
          <w:bCs/>
          <w:sz w:val="32"/>
        </w:rPr>
        <w:t>1.</w:t>
      </w:r>
      <w:r>
        <w:rPr>
          <w:rFonts w:ascii="仿宋_GB2312" w:hAnsi="仿宋_GB2312" w:cs="仿宋_GB2312"/>
          <w:b/>
          <w:bCs/>
          <w:sz w:val="32"/>
        </w:rPr>
        <w:t>加强组织领导</w:t>
      </w:r>
    </w:p>
    <w:p>
      <w:pPr>
        <w:pStyle w:val="21"/>
        <w:spacing w:line="600" w:lineRule="exact"/>
        <w:ind w:firstLine="640"/>
        <w:rPr>
          <w:rFonts w:ascii="仿宋_GB2312"/>
          <w:kern w:val="2"/>
          <w:sz w:val="32"/>
          <w:szCs w:val="32"/>
        </w:rPr>
      </w:pPr>
      <w:r>
        <w:rPr>
          <w:rFonts w:hint="eastAsia" w:ascii="仿宋_GB2312"/>
          <w:kern w:val="2"/>
          <w:sz w:val="32"/>
          <w:szCs w:val="32"/>
        </w:rPr>
        <w:t>沙湾市</w:t>
      </w:r>
      <w:r>
        <w:rPr>
          <w:rFonts w:ascii="仿宋_GB2312"/>
          <w:kern w:val="2"/>
          <w:sz w:val="32"/>
          <w:szCs w:val="32"/>
        </w:rPr>
        <w:t>按照树立大食物观、大粮食观和落实粮食安全党政同责要求，把发展粮食和油料生产摆在突出位置。加强与相关部门的协同配合，明确责任分工，形成工作合力。</w:t>
      </w:r>
      <w:r>
        <w:rPr>
          <w:rFonts w:hint="eastAsia" w:ascii="仿宋_GB2312"/>
          <w:kern w:val="2"/>
          <w:sz w:val="32"/>
          <w:szCs w:val="32"/>
        </w:rPr>
        <w:t>成立沙湾市耕地轮作试点项目落实领导小组，各乡镇场也根据耕地轮作试点工作实际制定具体实施办法，层层抓落实，有效促进了各项工作的落实。</w:t>
      </w:r>
    </w:p>
    <w:p>
      <w:pPr>
        <w:ind w:firstLine="643"/>
        <w:rPr>
          <w:rFonts w:ascii="仿宋_GB2312" w:hAnsi="仿宋_GB2312" w:cs="仿宋_GB2312"/>
          <w:b/>
          <w:bCs/>
          <w:sz w:val="32"/>
        </w:rPr>
      </w:pPr>
      <w:r>
        <w:rPr>
          <w:rFonts w:hint="eastAsia" w:ascii="仿宋_GB2312" w:hAnsi="仿宋_GB2312" w:cs="仿宋_GB2312"/>
          <w:b/>
          <w:bCs/>
          <w:sz w:val="32"/>
        </w:rPr>
        <w:t>2. 结合实际制定方案</w:t>
      </w:r>
    </w:p>
    <w:p>
      <w:pPr>
        <w:pStyle w:val="21"/>
        <w:spacing w:line="600" w:lineRule="exact"/>
        <w:ind w:firstLine="640"/>
        <w:rPr>
          <w:rFonts w:ascii="仿宋_GB2312"/>
          <w:kern w:val="2"/>
          <w:sz w:val="32"/>
          <w:szCs w:val="32"/>
        </w:rPr>
      </w:pPr>
      <w:r>
        <w:rPr>
          <w:rFonts w:hint="eastAsia" w:ascii="仿宋_GB2312"/>
          <w:kern w:val="2"/>
          <w:sz w:val="32"/>
          <w:szCs w:val="32"/>
        </w:rPr>
        <w:t>结合沙湾市实际，制定了《</w:t>
      </w:r>
      <w:r>
        <w:rPr>
          <w:rFonts w:ascii="仿宋_GB2312"/>
          <w:kern w:val="2"/>
          <w:sz w:val="32"/>
          <w:szCs w:val="32"/>
        </w:rPr>
        <w:t>2022年</w:t>
      </w:r>
      <w:r>
        <w:rPr>
          <w:rFonts w:hint="eastAsia" w:ascii="仿宋_GB2312"/>
          <w:kern w:val="2"/>
          <w:sz w:val="32"/>
          <w:szCs w:val="32"/>
        </w:rPr>
        <w:t>沙湾市耕地</w:t>
      </w:r>
      <w:r>
        <w:rPr>
          <w:rFonts w:ascii="仿宋_GB2312"/>
          <w:kern w:val="2"/>
          <w:sz w:val="32"/>
          <w:szCs w:val="32"/>
        </w:rPr>
        <w:t>轮作</w:t>
      </w:r>
      <w:r>
        <w:rPr>
          <w:rFonts w:hint="eastAsia" w:ascii="仿宋_GB2312"/>
          <w:kern w:val="2"/>
          <w:sz w:val="32"/>
          <w:szCs w:val="32"/>
        </w:rPr>
        <w:t>试点项目实施方案</w:t>
      </w:r>
      <w:r>
        <w:rPr>
          <w:rFonts w:ascii="仿宋_GB2312"/>
          <w:kern w:val="2"/>
          <w:sz w:val="32"/>
          <w:szCs w:val="32"/>
        </w:rPr>
        <w:t>》</w:t>
      </w:r>
      <w:r>
        <w:rPr>
          <w:rFonts w:hint="eastAsia" w:ascii="仿宋_GB2312"/>
          <w:kern w:val="2"/>
          <w:sz w:val="32"/>
          <w:szCs w:val="32"/>
        </w:rPr>
        <w:t>，在我市山区推行</w:t>
      </w:r>
      <w:r>
        <w:rPr>
          <w:rFonts w:ascii="仿宋_GB2312"/>
          <w:kern w:val="2"/>
          <w:sz w:val="32"/>
          <w:szCs w:val="32"/>
        </w:rPr>
        <w:t>小麦、玉米等粮食作物与豆类</w:t>
      </w:r>
      <w:r>
        <w:rPr>
          <w:rFonts w:hint="eastAsia" w:ascii="仿宋_GB2312"/>
          <w:kern w:val="2"/>
          <w:sz w:val="32"/>
          <w:szCs w:val="32"/>
        </w:rPr>
        <w:t>、甜菜、土豆等经济作物轮作的模式；公路沿线片</w:t>
      </w:r>
      <w:r>
        <w:rPr>
          <w:rFonts w:hint="eastAsia" w:ascii="仿宋_GB2312"/>
          <w:kern w:val="2"/>
          <w:sz w:val="32"/>
          <w:szCs w:val="32"/>
          <w:lang w:eastAsia="zh-CN"/>
        </w:rPr>
        <w:t>区</w:t>
      </w:r>
      <w:r>
        <w:rPr>
          <w:rFonts w:hint="eastAsia" w:ascii="仿宋_GB2312"/>
          <w:kern w:val="2"/>
          <w:sz w:val="32"/>
          <w:szCs w:val="32"/>
        </w:rPr>
        <w:t>推行小麦、玉米与</w:t>
      </w:r>
      <w:r>
        <w:rPr>
          <w:rFonts w:ascii="仿宋_GB2312"/>
          <w:kern w:val="2"/>
          <w:sz w:val="32"/>
          <w:szCs w:val="32"/>
        </w:rPr>
        <w:t>花生、加工番茄</w:t>
      </w:r>
      <w:r>
        <w:rPr>
          <w:rFonts w:hint="eastAsia" w:ascii="仿宋_GB2312"/>
          <w:kern w:val="2"/>
          <w:sz w:val="32"/>
          <w:szCs w:val="32"/>
        </w:rPr>
        <w:t>、加工辣椒</w:t>
      </w:r>
      <w:r>
        <w:rPr>
          <w:rFonts w:ascii="仿宋_GB2312"/>
          <w:kern w:val="2"/>
          <w:sz w:val="32"/>
          <w:szCs w:val="32"/>
        </w:rPr>
        <w:t>等经济作物</w:t>
      </w:r>
      <w:r>
        <w:rPr>
          <w:rFonts w:hint="eastAsia" w:ascii="仿宋_GB2312"/>
          <w:kern w:val="2"/>
          <w:sz w:val="32"/>
          <w:szCs w:val="32"/>
        </w:rPr>
        <w:t>轮作模式；老沙湾片推行</w:t>
      </w:r>
      <w:r>
        <w:rPr>
          <w:rFonts w:ascii="仿宋_GB2312"/>
          <w:kern w:val="2"/>
          <w:sz w:val="32"/>
          <w:szCs w:val="32"/>
        </w:rPr>
        <w:t>棉花与</w:t>
      </w:r>
      <w:r>
        <w:rPr>
          <w:rFonts w:hint="eastAsia" w:ascii="仿宋_GB2312"/>
          <w:kern w:val="2"/>
          <w:sz w:val="32"/>
          <w:szCs w:val="32"/>
        </w:rPr>
        <w:t>小麦、</w:t>
      </w:r>
      <w:r>
        <w:rPr>
          <w:rFonts w:ascii="仿宋_GB2312"/>
          <w:kern w:val="2"/>
          <w:sz w:val="32"/>
          <w:szCs w:val="32"/>
        </w:rPr>
        <w:t>花生等经济作物轮作</w:t>
      </w:r>
      <w:r>
        <w:rPr>
          <w:rFonts w:hint="eastAsia" w:ascii="仿宋_GB2312"/>
          <w:kern w:val="2"/>
          <w:sz w:val="32"/>
          <w:szCs w:val="32"/>
        </w:rPr>
        <w:t>的模式。</w:t>
      </w:r>
      <w:r>
        <w:rPr>
          <w:rFonts w:ascii="仿宋_GB2312"/>
          <w:kern w:val="2"/>
          <w:sz w:val="32"/>
          <w:szCs w:val="32"/>
        </w:rPr>
        <w:t>形成合理的</w:t>
      </w:r>
      <w:r>
        <w:rPr>
          <w:rFonts w:hint="eastAsia" w:ascii="仿宋_GB2312"/>
          <w:kern w:val="2"/>
          <w:sz w:val="32"/>
          <w:szCs w:val="32"/>
        </w:rPr>
        <w:t>区域轮作</w:t>
      </w:r>
      <w:r>
        <w:rPr>
          <w:rFonts w:ascii="仿宋_GB2312"/>
          <w:kern w:val="2"/>
          <w:sz w:val="32"/>
          <w:szCs w:val="32"/>
        </w:rPr>
        <w:t>种植模式，持续提升耕地质量，促进</w:t>
      </w:r>
      <w:r>
        <w:rPr>
          <w:rFonts w:hint="eastAsia" w:ascii="仿宋_GB2312"/>
          <w:kern w:val="2"/>
          <w:sz w:val="32"/>
          <w:szCs w:val="32"/>
        </w:rPr>
        <w:t>粮食和重要农产品生产能力提升</w:t>
      </w:r>
      <w:r>
        <w:rPr>
          <w:rFonts w:ascii="仿宋_GB2312"/>
          <w:kern w:val="2"/>
          <w:sz w:val="32"/>
          <w:szCs w:val="32"/>
        </w:rPr>
        <w:t>。</w:t>
      </w:r>
    </w:p>
    <w:p>
      <w:pPr>
        <w:pStyle w:val="21"/>
        <w:spacing w:line="600" w:lineRule="exact"/>
        <w:ind w:firstLine="640"/>
        <w:rPr>
          <w:rFonts w:ascii="仿宋_GB2312"/>
          <w:kern w:val="2"/>
          <w:sz w:val="32"/>
          <w:szCs w:val="32"/>
        </w:rPr>
      </w:pPr>
      <w:r>
        <w:rPr>
          <w:rFonts w:ascii="仿宋_GB2312"/>
          <w:kern w:val="2"/>
          <w:sz w:val="32"/>
          <w:szCs w:val="32"/>
        </w:rPr>
        <w:t>按照</w:t>
      </w:r>
      <w:r>
        <w:rPr>
          <w:rFonts w:hint="eastAsia" w:ascii="仿宋_GB2312"/>
          <w:kern w:val="2"/>
          <w:sz w:val="32"/>
          <w:szCs w:val="32"/>
        </w:rPr>
        <w:t>自治区《方案</w:t>
      </w:r>
      <w:r>
        <w:rPr>
          <w:rFonts w:ascii="仿宋_GB2312"/>
          <w:kern w:val="2"/>
          <w:sz w:val="32"/>
          <w:szCs w:val="32"/>
        </w:rPr>
        <w:t>》要求，结合</w:t>
      </w:r>
      <w:r>
        <w:rPr>
          <w:rFonts w:hint="eastAsia" w:ascii="仿宋_GB2312"/>
          <w:kern w:val="2"/>
          <w:sz w:val="32"/>
          <w:szCs w:val="32"/>
        </w:rPr>
        <w:t>我市实际，我市主要</w:t>
      </w:r>
      <w:r>
        <w:rPr>
          <w:rFonts w:ascii="仿宋_GB2312"/>
          <w:kern w:val="2"/>
          <w:sz w:val="32"/>
          <w:szCs w:val="32"/>
        </w:rPr>
        <w:t>推行小麦、玉米等粮食作物与花生、棉花、豆类、加工番茄</w:t>
      </w:r>
      <w:r>
        <w:rPr>
          <w:rFonts w:hint="eastAsia" w:ascii="仿宋_GB2312"/>
          <w:kern w:val="2"/>
          <w:sz w:val="32"/>
          <w:szCs w:val="32"/>
        </w:rPr>
        <w:t>、加工辣椒</w:t>
      </w:r>
      <w:r>
        <w:rPr>
          <w:rFonts w:ascii="仿宋_GB2312"/>
          <w:kern w:val="2"/>
          <w:sz w:val="32"/>
          <w:szCs w:val="32"/>
        </w:rPr>
        <w:t>等经济作物，棉花与花生、豆类、加工番茄、加工辣椒等经济作物轮作</w:t>
      </w:r>
      <w:r>
        <w:rPr>
          <w:rFonts w:hint="eastAsia" w:ascii="仿宋_GB2312"/>
          <w:kern w:val="2"/>
          <w:sz w:val="32"/>
          <w:szCs w:val="32"/>
        </w:rPr>
        <w:t>；</w:t>
      </w:r>
      <w:r>
        <w:rPr>
          <w:rFonts w:ascii="仿宋_GB2312"/>
          <w:kern w:val="2"/>
          <w:sz w:val="32"/>
          <w:szCs w:val="32"/>
        </w:rPr>
        <w:t>形成合理的种植模式，持续提升耕地质量，促进</w:t>
      </w:r>
      <w:r>
        <w:rPr>
          <w:rFonts w:hint="eastAsia" w:ascii="仿宋_GB2312"/>
          <w:kern w:val="2"/>
          <w:sz w:val="32"/>
          <w:szCs w:val="32"/>
        </w:rPr>
        <w:t>粮食和重要农产品生产能力提升。</w:t>
      </w:r>
    </w:p>
    <w:p>
      <w:pPr>
        <w:ind w:firstLine="643"/>
        <w:rPr>
          <w:rFonts w:ascii="仿宋_GB2312" w:hAnsi="仿宋_GB2312" w:cs="仿宋_GB2312"/>
          <w:b/>
          <w:bCs/>
          <w:sz w:val="32"/>
        </w:rPr>
      </w:pPr>
      <w:bookmarkStart w:id="18" w:name="_Toc68364674"/>
      <w:r>
        <w:rPr>
          <w:rFonts w:ascii="仿宋_GB2312" w:hAnsi="仿宋_GB2312" w:cs="仿宋_GB2312"/>
          <w:b/>
          <w:bCs/>
          <w:sz w:val="32"/>
        </w:rPr>
        <w:t>3</w:t>
      </w:r>
      <w:r>
        <w:rPr>
          <w:rFonts w:hint="eastAsia" w:ascii="仿宋_GB2312" w:hAnsi="仿宋_GB2312" w:cs="仿宋_GB2312"/>
          <w:b/>
          <w:bCs/>
          <w:sz w:val="32"/>
        </w:rPr>
        <w:t>.强化绩效目标，狠抓落实</w:t>
      </w:r>
    </w:p>
    <w:p>
      <w:pPr>
        <w:pStyle w:val="21"/>
        <w:spacing w:line="600" w:lineRule="exact"/>
        <w:ind w:firstLine="640"/>
        <w:rPr>
          <w:rFonts w:ascii="仿宋_GB2312"/>
          <w:kern w:val="2"/>
          <w:sz w:val="32"/>
          <w:szCs w:val="32"/>
        </w:rPr>
      </w:pPr>
      <w:r>
        <w:rPr>
          <w:rFonts w:hint="eastAsia" w:ascii="仿宋_GB2312"/>
          <w:kern w:val="2"/>
          <w:sz w:val="32"/>
          <w:szCs w:val="32"/>
        </w:rPr>
        <w:t>一是严格按照相关程序，做</w:t>
      </w:r>
      <w:r>
        <w:rPr>
          <w:rFonts w:hint="eastAsia" w:ascii="仿宋_GB2312"/>
          <w:kern w:val="2"/>
          <w:sz w:val="32"/>
          <w:szCs w:val="32"/>
          <w:lang w:eastAsia="zh-CN"/>
        </w:rPr>
        <w:t>到</w:t>
      </w:r>
      <w:r>
        <w:rPr>
          <w:rFonts w:hint="eastAsia" w:ascii="仿宋_GB2312"/>
          <w:kern w:val="2"/>
          <w:sz w:val="32"/>
          <w:szCs w:val="32"/>
        </w:rPr>
        <w:t>公开</w:t>
      </w:r>
      <w:bookmarkStart w:id="19" w:name="_GoBack"/>
      <w:bookmarkEnd w:id="19"/>
      <w:r>
        <w:rPr>
          <w:rFonts w:hint="eastAsia" w:ascii="仿宋_GB2312"/>
          <w:kern w:val="2"/>
          <w:sz w:val="32"/>
          <w:szCs w:val="32"/>
        </w:rPr>
        <w:t>公正，按照农户自愿申请并签订耕地轮作试点协议书，村委会根据农户申请逐户核实后进行公示，并报请乡镇复核、市农业农村局复核，并反馈到乡镇村队进行二次公示。</w:t>
      </w:r>
    </w:p>
    <w:p>
      <w:pPr>
        <w:pStyle w:val="21"/>
        <w:spacing w:line="600" w:lineRule="exact"/>
        <w:ind w:firstLine="640"/>
        <w:rPr>
          <w:rFonts w:ascii="仿宋_GB2312"/>
          <w:kern w:val="2"/>
          <w:sz w:val="32"/>
          <w:szCs w:val="32"/>
        </w:rPr>
      </w:pPr>
      <w:r>
        <w:rPr>
          <w:rFonts w:hint="eastAsia" w:ascii="仿宋_GB2312"/>
          <w:kern w:val="2"/>
          <w:sz w:val="32"/>
          <w:szCs w:val="32"/>
        </w:rPr>
        <w:t>二是狠抓各个环节的落实，保证轮作补贴</w:t>
      </w:r>
      <w:r>
        <w:rPr>
          <w:rFonts w:ascii="仿宋_GB2312"/>
          <w:kern w:val="2"/>
          <w:sz w:val="32"/>
          <w:szCs w:val="32"/>
        </w:rPr>
        <w:t>用于补贴农户原有作物种植收益和土地管护投入。鼓励发挥种植大户、家庭农场、农民合作社等新型经营主体的示范带动作用，承担轮作任务的耕地属于土地流转的补助资金要发给流转经营户，而非土地承包户。坚决杜绝项目资金挪作他用</w:t>
      </w:r>
      <w:r>
        <w:rPr>
          <w:rFonts w:hint="eastAsia" w:ascii="仿宋_GB2312"/>
          <w:kern w:val="2"/>
          <w:sz w:val="32"/>
          <w:szCs w:val="32"/>
        </w:rPr>
        <w:t>。</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0"/>
        <w:rPr>
          <w:rFonts w:ascii="仿宋_GB2312"/>
          <w:kern w:val="2"/>
          <w:sz w:val="32"/>
          <w:szCs w:val="32"/>
        </w:rPr>
      </w:pPr>
      <w:r>
        <w:rPr>
          <w:rFonts w:hint="eastAsia" w:ascii="仿宋_GB2312"/>
          <w:kern w:val="2"/>
          <w:sz w:val="32"/>
          <w:szCs w:val="32"/>
        </w:rPr>
        <w:t>由于我市2023年耕地轮作目前按照《方案》要求落实到地块，目前无法进行核实验收，要到2024年春播结束后才能组织人员进行轮作试点项目核实验收工作。</w:t>
      </w:r>
    </w:p>
    <w:p>
      <w:pPr>
        <w:pStyle w:val="3"/>
        <w:spacing w:line="600" w:lineRule="exact"/>
        <w:ind w:firstLine="640"/>
        <w:rPr>
          <w:szCs w:val="32"/>
        </w:rPr>
      </w:pPr>
      <w:r>
        <w:rPr>
          <w:rFonts w:hint="eastAsia"/>
          <w:szCs w:val="32"/>
        </w:rPr>
        <w:t>七、有关建议</w:t>
      </w:r>
    </w:p>
    <w:p>
      <w:pPr>
        <w:pStyle w:val="21"/>
        <w:spacing w:line="600" w:lineRule="exact"/>
        <w:ind w:firstLine="640"/>
        <w:rPr>
          <w:rFonts w:ascii="仿宋_GB2312"/>
          <w:sz w:val="32"/>
          <w:szCs w:val="32"/>
        </w:rPr>
      </w:pPr>
      <w:r>
        <w:rPr>
          <w:rFonts w:hint="eastAsia" w:ascii="仿宋_GB2312"/>
          <w:sz w:val="32"/>
          <w:szCs w:val="32"/>
        </w:rPr>
        <w:t>无</w:t>
      </w:r>
    </w:p>
    <w:p>
      <w:pPr>
        <w:pStyle w:val="3"/>
        <w:spacing w:line="600" w:lineRule="exact"/>
        <w:ind w:firstLine="640"/>
        <w:rPr>
          <w:szCs w:val="32"/>
        </w:rPr>
      </w:pPr>
      <w:r>
        <w:rPr>
          <w:rFonts w:hint="eastAsia"/>
          <w:szCs w:val="32"/>
        </w:rPr>
        <w:t>八、其他需要说明的问题</w:t>
      </w:r>
    </w:p>
    <w:p>
      <w:pPr>
        <w:pStyle w:val="21"/>
        <w:spacing w:line="600" w:lineRule="exact"/>
        <w:ind w:firstLine="624"/>
        <w:rPr>
          <w:rFonts w:ascii="仿宋_GB2312"/>
          <w:sz w:val="32"/>
          <w:szCs w:val="32"/>
        </w:rPr>
      </w:pPr>
      <w:r>
        <w:rPr>
          <w:rFonts w:hint="eastAsia"/>
          <w:spacing w:val="-4"/>
          <w:sz w:val="32"/>
          <w:szCs w:val="32"/>
        </w:rPr>
        <w:t xml:space="preserve"> “无其他说明内容”。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003F01F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602"/>
        <w:tab w:val="clear" w:pos="4153"/>
        <w:tab w:val="clear" w:pos="8306"/>
      </w:tabs>
      <w:ind w:firstLine="360"/>
    </w:pPr>
    <w:r>
      <w:pict>
        <v:shape id="_x0000_s2049" o:spid="_x0000_s2049" o:spt="202" type="#_x0000_t202" style="position:absolute;left:0pt;margin-top:0pt;height:28pt;width:43.55pt;mso-position-horizontal:center;mso-position-horizontal-relative:margin;z-index:251659264;mso-width-relative:page;mso-height-relative:page;" filled="f" stroked="f" coordsize="21600,21600">
          <v:path/>
          <v:fill on="f" focussize="0,0"/>
          <v:stroke on="f" weight="0.5pt" joinstyle="miter"/>
          <v:imagedata o:title=""/>
          <o:lock v:ext="edit"/>
          <v:textbox inset="0mm,0mm,0mm,0mm" style="mso-fit-shape-to-text:t;">
            <w:txbxContent>
              <w:p>
                <w:pPr>
                  <w:pStyle w:val="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12</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chineseCounting"/>
      <w:suff w:val="nothing"/>
      <w:lvlText w:val="（%1）"/>
      <w:lvlJc w:val="left"/>
      <w:pPr>
        <w:ind w:left="0" w:firstLine="420"/>
      </w:pPr>
      <w:rPr>
        <w:rFonts w:hint="eastAsia"/>
      </w:rPr>
    </w:lvl>
  </w:abstractNum>
  <w:abstractNum w:abstractNumId="1">
    <w:nsid w:val="BF205925"/>
    <w:multiLevelType w:val="multilevel"/>
    <w:tmpl w:val="BF205925"/>
    <w:lvl w:ilvl="0" w:tentative="0">
      <w:start w:val="1"/>
      <w:numFmt w:val="decimalEnclosedCircle"/>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CF092B84"/>
    <w:multiLevelType w:val="singleLevel"/>
    <w:tmpl w:val="CF092B84"/>
    <w:lvl w:ilvl="0" w:tentative="0">
      <w:start w:val="2"/>
      <w:numFmt w:val="chineseCounting"/>
      <w:suff w:val="nothing"/>
      <w:lvlText w:val="（%1）"/>
      <w:lvlJc w:val="left"/>
      <w:rPr>
        <w:rFonts w:hint="eastAsia"/>
      </w:rPr>
    </w:lvl>
  </w:abstractNum>
  <w:abstractNum w:abstractNumId="3">
    <w:nsid w:val="0053208E"/>
    <w:multiLevelType w:val="multilevel"/>
    <w:tmpl w:val="0053208E"/>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248C179"/>
    <w:multiLevelType w:val="singleLevel"/>
    <w:tmpl w:val="0248C179"/>
    <w:lvl w:ilvl="0" w:tentative="0">
      <w:start w:val="1"/>
      <w:numFmt w:val="chineseCounting"/>
      <w:suff w:val="nothing"/>
      <w:lvlText w:val="（%1）"/>
      <w:lvlJc w:val="left"/>
      <w:rPr>
        <w:rFonts w:hint="eastAsia"/>
      </w:rPr>
    </w:lvl>
  </w:abstractNum>
  <w:abstractNum w:abstractNumId="5">
    <w:nsid w:val="03D62ECE"/>
    <w:multiLevelType w:val="multilevel"/>
    <w:tmpl w:val="03D62ECE"/>
    <w:lvl w:ilvl="0" w:tentative="0">
      <w:start w:val="1"/>
      <w:numFmt w:val="decimal"/>
      <w:lvlText w:val="%1."/>
      <w:lvlJc w:val="left"/>
      <w:pPr>
        <w:ind w:left="1003" w:hanging="36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6">
    <w:nsid w:val="25B654F3"/>
    <w:multiLevelType w:val="multilevel"/>
    <w:tmpl w:val="25B654F3"/>
    <w:lvl w:ilvl="0" w:tentative="0">
      <w:start w:val="1"/>
      <w:numFmt w:val="decimal"/>
      <w:lvlText w:val="%1."/>
      <w:lvlJc w:val="left"/>
      <w:pPr>
        <w:ind w:left="1003" w:hanging="36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7">
    <w:nsid w:val="59ADCABA"/>
    <w:multiLevelType w:val="singleLevel"/>
    <w:tmpl w:val="59ADCABA"/>
    <w:lvl w:ilvl="0" w:tentative="0">
      <w:start w:val="1"/>
      <w:numFmt w:val="decimal"/>
      <w:suff w:val="nothing"/>
      <w:lvlText w:val="（%1）"/>
      <w:lvlJc w:val="left"/>
    </w:lvl>
  </w:abstractNum>
  <w:abstractNum w:abstractNumId="8">
    <w:nsid w:val="72183CF9"/>
    <w:multiLevelType w:val="singleLevel"/>
    <w:tmpl w:val="72183CF9"/>
    <w:lvl w:ilvl="0" w:tentative="0">
      <w:start w:val="3"/>
      <w:numFmt w:val="chineseCounting"/>
      <w:suff w:val="nothing"/>
      <w:lvlText w:val="%1、"/>
      <w:lvlJc w:val="left"/>
      <w:rPr>
        <w:rFonts w:hint="eastAsia"/>
      </w:rPr>
    </w:lvl>
  </w:abstractNum>
  <w:num w:numId="1">
    <w:abstractNumId w:val="3"/>
  </w:num>
  <w:num w:numId="2">
    <w:abstractNumId w:val="2"/>
  </w:num>
  <w:num w:numId="3">
    <w:abstractNumId w:val="7"/>
  </w:num>
  <w:num w:numId="4">
    <w:abstractNumId w:val="1"/>
  </w:num>
  <w:num w:numId="5">
    <w:abstractNumId w:val="0"/>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HorizontalSpacing w:val="140"/>
  <w:drawingGridVerticalSpacing w:val="204"/>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
  <w:docVars>
    <w:docVar w:name="commondata" w:val="eyJoZGlkIjoiMjg3Nzg3NmU3NGUyZTA1ZDZlNDM0ZjAzMTZhMzZiMmIifQ=="/>
  </w:docVars>
  <w:rsids>
    <w:rsidRoot w:val="00000000"/>
    <w:rsid w:val="15143AE9"/>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unhideWhenUsed/>
    <w:qFormat/>
    <w:uiPriority w:val="0"/>
    <w:pPr>
      <w:spacing w:before="240" w:after="240" w:line="360" w:lineRule="auto"/>
      <w:jc w:val="center"/>
    </w:pPr>
    <w:rPr>
      <w:b/>
      <w:sz w:val="44"/>
    </w:rPr>
  </w:style>
  <w:style w:type="paragraph" w:styleId="6">
    <w:name w:val="Balloon Text"/>
    <w:basedOn w:val="1"/>
    <w:link w:val="17"/>
    <w:qFormat/>
    <w:uiPriority w:val="99"/>
    <w:pPr>
      <w:spacing w:line="240" w:lineRule="auto"/>
    </w:pPr>
    <w:rPr>
      <w:sz w:val="18"/>
      <w:szCs w:val="18"/>
    </w:rPr>
  </w:style>
  <w:style w:type="paragraph" w:styleId="7">
    <w:name w:val="footer"/>
    <w:basedOn w:val="1"/>
    <w:link w:val="20"/>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Normal (Web)"/>
    <w:basedOn w:val="1"/>
    <w:semiHidden/>
    <w:unhideWhenUsed/>
    <w:qFormat/>
    <w:uiPriority w:val="0"/>
    <w:pPr>
      <w:spacing w:beforeAutospacing="1" w:afterAutospacing="1"/>
      <w:jc w:val="left"/>
    </w:pPr>
    <w:rPr>
      <w:kern w:val="0"/>
      <w:sz w:val="24"/>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bCs/>
    </w:rPr>
  </w:style>
  <w:style w:type="paragraph" w:customStyle="1" w:styleId="14">
    <w:name w:val="Comment Text"/>
    <w:basedOn w:val="1"/>
    <w:qFormat/>
    <w:uiPriority w:val="0"/>
    <w:pPr>
      <w:jc w:val="left"/>
    </w:pPr>
  </w:style>
  <w:style w:type="character" w:customStyle="1" w:styleId="15">
    <w:name w:val="Comment Reference"/>
    <w:basedOn w:val="12"/>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2"/>
    <w:link w:val="6"/>
    <w:qFormat/>
    <w:uiPriority w:val="99"/>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2"/>
    <w:link w:val="7"/>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 w:type="character" w:customStyle="1" w:styleId="27">
    <w:name w:val="NormalCharacter"/>
    <w:qFormat/>
    <w:uiPriority w:val="0"/>
    <w:rPr>
      <w:rFonts w:ascii="Calibri" w:hAnsi="Calibri" w:eastAsia="宋体" w:cs="Times New Roman"/>
      <w:kern w:val="2"/>
      <w:sz w:val="21"/>
      <w:szCs w:val="24"/>
      <w:lang w:val="en-US" w:eastAsia="zh-CN" w:bidi="ar-SA"/>
    </w:rPr>
  </w:style>
  <w:style w:type="paragraph" w:styleId="28">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235B44973DA9A7007EC2D165511795CE_42</vt:lpwstr>
  </property>
</Properties>
</file>

<file path=customXml/item3.xml><?xml version="1.0" encoding="utf-8"?>
<Properties xmlns="http://schemas.openxmlformats.org/officeDocument/2006/extended-properties" xmlns:vt="http://schemas.openxmlformats.org/officeDocument/2006/docPropsVTypes">
  <Template>Normal</Template>
  <Company>Microsoft</Company>
  <Pages>17</Pages>
  <Words>7179</Words>
  <Characters>7551</Characters>
  <Lines>55</Lines>
  <Paragraphs>15</Paragraphs>
  <TotalTime>413</TotalTime>
  <ScaleCrop>false</ScaleCrop>
  <LinksUpToDate>false</LinksUpToDate>
  <CharactersWithSpaces>7571</CharactersWithSpaces>
  <Application>WPS Office_12.1.0.18276_F1E327BC-269C-435d-A152-05C5408002CA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奔跑的菊子</cp:lastModifiedBy>
  <cp:lastPrinted>2021-03-04T11:49:00Z</cp:lastPrinted>
  <dcterms:modified xsi:type="dcterms:W3CDTF">2023-11-25T10:11:47Z</dcterms:modified>
  <cp:revision>42</cp:revision>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0725d-f16c-4a48-829d-34085a3d5191}">
  <ds:schemaRefs/>
</ds:datastoreItem>
</file>

<file path=customXml/itemProps3.xml><?xml version="1.0" encoding="utf-8"?>
<ds:datastoreItem xmlns:ds="http://schemas.openxmlformats.org/officeDocument/2006/customXml" ds:itemID="{19bb6359-dd2d-49f1-b30a-58828b0a474d}">
  <ds:schemaRefs/>
</ds:datastoreItem>
</file>

<file path=customXml/itemProps4.xml><?xml version="1.0" encoding="utf-8"?>
<ds:datastoreItem xmlns:ds="http://schemas.openxmlformats.org/officeDocument/2006/customXml" ds:itemID="{4f3f1625-bba6-4893-aa6c-068d4efff2c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7179</Words>
  <Characters>7551</Characters>
  <Lines>55</Lines>
  <Paragraphs>15</Paragraphs>
  <TotalTime>415</TotalTime>
  <ScaleCrop>false</ScaleCrop>
  <LinksUpToDate>false</LinksUpToDate>
  <CharactersWithSpaces>7571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农经局</cp:lastModifiedBy>
  <cp:lastPrinted>2021-03-04T11:49:00Z</cp:lastPrinted>
  <dcterms:modified xsi:type="dcterms:W3CDTF">2024-11-09T04:33:58Z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