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rPr>
      </w:pPr>
      <w:bookmarkStart w:id="19" w:name="_GoBack"/>
    </w:p>
    <w:p>
      <w:pPr>
        <w:spacing w:line="240" w:lineRule="atLeast"/>
        <w:ind w:left="0" w:leftChars="0" w:firstLine="0" w:firstLineChars="0"/>
        <w:jc w:val="both"/>
        <w:rPr>
          <w:rFonts w:ascii="方正小标宋简体" w:hAnsi="黑体" w:eastAsia="方正小标宋简体" w:cs="黑体"/>
          <w:bCs/>
          <w:color w:val="auto"/>
          <w:sz w:val="48"/>
          <w:szCs w:val="48"/>
        </w:rPr>
      </w:pPr>
    </w:p>
    <w:p>
      <w:pPr>
        <w:spacing w:line="240" w:lineRule="atLeast"/>
        <w:ind w:firstLine="0" w:firstLineChars="0"/>
        <w:jc w:val="center"/>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塔城</w:t>
      </w:r>
      <w:r>
        <w:rPr>
          <w:rFonts w:hint="eastAsia" w:ascii="方正小标宋简体" w:hAnsi="黑体" w:eastAsia="方正小标宋简体" w:cs="黑体"/>
          <w:bCs/>
          <w:color w:val="auto"/>
          <w:sz w:val="48"/>
          <w:szCs w:val="48"/>
          <w:lang w:val="en-US" w:eastAsia="zh-CN"/>
        </w:rPr>
        <w:t>地区</w:t>
      </w:r>
      <w:r>
        <w:rPr>
          <w:rFonts w:hint="eastAsia" w:ascii="方正小标宋简体" w:hAnsi="黑体" w:eastAsia="方正小标宋简体" w:cs="黑体"/>
          <w:bCs/>
          <w:color w:val="auto"/>
          <w:sz w:val="48"/>
          <w:szCs w:val="48"/>
          <w:lang w:val="en-US" w:eastAsia="zh-CN"/>
        </w:rPr>
        <w:t>沙湾市农业农村</w:t>
      </w:r>
      <w:r>
        <w:rPr>
          <w:rFonts w:hint="eastAsia" w:ascii="方正小标宋简体" w:hAnsi="黑体" w:eastAsia="方正小标宋简体" w:cs="黑体"/>
          <w:bCs/>
          <w:color w:val="auto"/>
          <w:sz w:val="48"/>
          <w:szCs w:val="48"/>
          <w:lang w:val="en-US" w:eastAsia="zh-CN"/>
        </w:rPr>
        <w:t>局（委员会）</w:t>
      </w:r>
      <w:r>
        <w:rPr>
          <w:rFonts w:hint="eastAsia" w:ascii="方正小标宋简体" w:hAnsi="黑体" w:eastAsia="方正小标宋简体" w:cs="黑体"/>
          <w:bCs/>
          <w:color w:val="auto"/>
          <w:sz w:val="48"/>
          <w:szCs w:val="48"/>
          <w:lang w:val="en-US" w:eastAsia="zh-CN"/>
        </w:rPr>
        <w:t>2023年绿色高产高效行动促进粮棉等主要作物大面积单产提升</w:t>
      </w:r>
      <w:r>
        <w:rPr>
          <w:rFonts w:hint="eastAsia" w:ascii="方正小标宋简体" w:hAnsi="黑体" w:eastAsia="方正小标宋简体" w:cs="黑体"/>
          <w:bCs/>
          <w:color w:val="auto"/>
          <w:sz w:val="48"/>
          <w:szCs w:val="48"/>
        </w:rPr>
        <w:t>项目支出绩效评价报告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ind w:firstLine="1200" w:firstLineChars="400"/>
        <w:rPr>
          <w:rFonts w:hint="eastAsia"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年绿色高产高效行动促进粮棉等主要作物</w:t>
      </w:r>
    </w:p>
    <w:p>
      <w:pPr>
        <w:ind w:leftChars="400" w:firstLine="1500" w:firstLineChars="500"/>
        <w:rPr>
          <w:rFonts w:ascii="黑体" w:hAnsi="黑体" w:eastAsia="黑体" w:cs="仿宋_GB2312"/>
          <w:color w:val="auto"/>
          <w:sz w:val="30"/>
          <w:szCs w:val="30"/>
        </w:rPr>
      </w:pPr>
      <w:r>
        <w:rPr>
          <w:rFonts w:hint="eastAsia" w:ascii="黑体" w:hAnsi="黑体" w:eastAsia="黑体" w:cs="仿宋_GB2312"/>
          <w:color w:val="auto"/>
          <w:sz w:val="30"/>
          <w:szCs w:val="30"/>
          <w:lang w:val="en-US" w:eastAsia="zh-CN"/>
        </w:rPr>
        <w:t xml:space="preserve"> </w:t>
      </w:r>
      <w:r>
        <w:rPr>
          <w:rFonts w:hint="eastAsia" w:ascii="黑体" w:hAnsi="黑体" w:eastAsia="黑体" w:cs="仿宋_GB2312"/>
          <w:color w:val="auto"/>
          <w:sz w:val="30"/>
          <w:szCs w:val="30"/>
        </w:rPr>
        <w:t>大面积单产提升项目</w:t>
      </w:r>
      <w:bookmarkEnd w:id="0"/>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宋体"/>
          <w:color w:val="auto"/>
          <w:sz w:val="30"/>
          <w:szCs w:val="30"/>
          <w:lang w:val="en-US" w:eastAsia="zh-CN"/>
        </w:rPr>
        <w:t>沙湾市农业农村局</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宋体"/>
          <w:color w:val="auto"/>
          <w:sz w:val="30"/>
          <w:szCs w:val="30"/>
          <w:lang w:val="en-US" w:eastAsia="zh-CN"/>
        </w:rPr>
        <w:t>沙湾市人民政府</w:t>
      </w:r>
    </w:p>
    <w:p>
      <w:pPr>
        <w:ind w:firstLine="1200" w:firstLineChars="400"/>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p>
    <w:p>
      <w:pPr>
        <w:ind w:firstLine="1200" w:firstLineChars="400"/>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4</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18</w:t>
      </w:r>
      <w:r>
        <w:rPr>
          <w:rFonts w:hint="eastAsia" w:ascii="黑体" w:hAnsi="黑体" w:eastAsia="黑体" w:cs="仿宋_GB2312"/>
          <w:color w:val="auto"/>
          <w:sz w:val="30"/>
          <w:szCs w:val="30"/>
        </w:rPr>
        <w:t>日</w:t>
      </w:r>
    </w:p>
    <w:p>
      <w:pPr>
        <w:spacing w:after="100" w:afterAutospacing="1" w:line="360" w:lineRule="auto"/>
        <w:ind w:left="0" w:leftChars="0" w:firstLine="0" w:firstLineChars="0"/>
        <w:jc w:val="center"/>
        <w:rPr>
          <w:rFonts w:hint="eastAsia" w:ascii="方正小标宋_GBK" w:hAnsi="黑体" w:eastAsia="方正小标宋_GBK" w:cs="黑体"/>
          <w:bCs/>
          <w:color w:val="auto"/>
          <w:sz w:val="44"/>
          <w:szCs w:val="44"/>
          <w:lang w:val="en-US" w:eastAsia="zh-CN"/>
        </w:rPr>
      </w:pPr>
    </w:p>
    <w:p>
      <w:pPr>
        <w:spacing w:after="100" w:afterAutospacing="1" w:line="360" w:lineRule="auto"/>
        <w:ind w:left="0" w:leftChars="0" w:firstLine="0" w:firstLineChars="0"/>
        <w:jc w:val="center"/>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塔城地区</w:t>
      </w:r>
      <w:r>
        <w:rPr>
          <w:rFonts w:hint="eastAsia" w:ascii="方正小标宋_GBK" w:hAnsi="黑体" w:eastAsia="方正小标宋_GBK" w:cs="黑体"/>
          <w:bCs/>
          <w:color w:val="auto"/>
          <w:sz w:val="44"/>
          <w:szCs w:val="44"/>
          <w:lang w:val="en-US" w:eastAsia="zh-CN"/>
        </w:rPr>
        <w:t>沙湾市农业农村</w:t>
      </w:r>
      <w:r>
        <w:rPr>
          <w:rFonts w:hint="eastAsia" w:ascii="方正小标宋_GBK" w:hAnsi="黑体" w:eastAsia="方正小标宋_GBK" w:cs="黑体"/>
          <w:bCs/>
          <w:color w:val="auto"/>
          <w:sz w:val="44"/>
          <w:szCs w:val="44"/>
          <w:lang w:val="en-US" w:eastAsia="zh-CN"/>
        </w:rPr>
        <w:t>局（委员会）</w:t>
      </w:r>
      <w:r>
        <w:rPr>
          <w:rFonts w:hint="eastAsia" w:ascii="方正小标宋_GBK" w:hAnsi="黑体" w:eastAsia="方正小标宋_GBK" w:cs="黑体"/>
          <w:bCs/>
          <w:color w:val="auto"/>
          <w:sz w:val="44"/>
          <w:szCs w:val="44"/>
          <w:lang w:val="en-US" w:eastAsia="zh-CN"/>
        </w:rPr>
        <w:t>2023年绿色高产高效行动促进粮棉等主要作物大面积单产提升</w:t>
      </w:r>
      <w:r>
        <w:rPr>
          <w:rFonts w:hint="eastAsia" w:ascii="方正小标宋_GBK" w:hAnsi="黑体" w:eastAsia="方正小标宋_GBK" w:cs="黑体"/>
          <w:bCs/>
          <w:color w:val="auto"/>
          <w:sz w:val="44"/>
          <w:szCs w:val="44"/>
        </w:rPr>
        <w:t>项目支出绩效评价报告</w:t>
      </w:r>
    </w:p>
    <w:p>
      <w:pPr>
        <w:pStyle w:val="2"/>
        <w:spacing w:line="600" w:lineRule="exact"/>
        <w:ind w:firstLine="640"/>
        <w:rPr>
          <w:color w:val="auto"/>
          <w:szCs w:val="32"/>
        </w:rPr>
      </w:pPr>
      <w:r>
        <w:rPr>
          <w:rFonts w:hint="eastAsia"/>
          <w:color w:val="auto"/>
          <w:szCs w:val="32"/>
        </w:rPr>
        <w:t>一、基本情况</w:t>
      </w:r>
    </w:p>
    <w:p>
      <w:pPr>
        <w:pStyle w:val="3"/>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b/>
          <w:bCs/>
          <w:color w:val="auto"/>
          <w:sz w:val="32"/>
          <w:szCs w:val="32"/>
        </w:rPr>
      </w:pPr>
      <w:r>
        <w:rPr>
          <w:rFonts w:hint="eastAsia"/>
          <w:b/>
          <w:bCs/>
          <w:color w:val="auto"/>
          <w:sz w:val="32"/>
          <w:szCs w:val="32"/>
        </w:rPr>
        <w:t>1.项目背景</w:t>
      </w:r>
    </w:p>
    <w:p>
      <w:pPr>
        <w:bidi w:val="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坚持以习近平新时代中国特色社会主义思想为指导，深入贯彻落实党的二十大精神，贯彻落实中央经济工作会议、中央农村工作会议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中央一号文件</w:t>
      </w:r>
      <w:r>
        <w:rPr>
          <w:rFonts w:hint="default" w:ascii="Times New Roman" w:hAnsi="Times New Roman" w:eastAsia="仿宋_GB2312" w:cs="Times New Roman"/>
          <w:color w:val="auto"/>
          <w:sz w:val="32"/>
          <w:szCs w:val="32"/>
          <w:lang w:val="en-US" w:eastAsia="zh-CN"/>
        </w:rPr>
        <w:t>及自治区党委一号文件</w:t>
      </w:r>
      <w:r>
        <w:rPr>
          <w:rFonts w:hint="default" w:ascii="Times New Roman" w:hAnsi="Times New Roman" w:eastAsia="仿宋_GB2312" w:cs="Times New Roman"/>
          <w:color w:val="auto"/>
          <w:sz w:val="32"/>
          <w:szCs w:val="32"/>
        </w:rPr>
        <w:t>部署要求</w:t>
      </w:r>
      <w:r>
        <w:rPr>
          <w:rFonts w:hint="eastAsia" w:eastAsia="仿宋_GB2312" w:cs="Times New Roman"/>
          <w:color w:val="auto"/>
          <w:sz w:val="32"/>
          <w:szCs w:val="32"/>
          <w:lang w:val="en-US" w:eastAsia="zh-CN"/>
        </w:rPr>
        <w:t>，贯彻落实</w:t>
      </w:r>
      <w:r>
        <w:rPr>
          <w:rFonts w:hint="default" w:ascii="Times New Roman" w:hAnsi="Times New Roman" w:eastAsia="仿宋_GB2312" w:cs="Times New Roman"/>
          <w:color w:val="auto"/>
          <w:sz w:val="32"/>
          <w:szCs w:val="32"/>
        </w:rPr>
        <w:t>第三次中央新疆工作座谈会精神，按照自治区党委，人民政府</w:t>
      </w:r>
      <w:r>
        <w:rPr>
          <w:rFonts w:hint="default" w:ascii="Times New Roman" w:hAnsi="Times New Roman" w:eastAsia="仿宋_GB2312" w:cs="Times New Roman"/>
          <w:color w:val="auto"/>
          <w:sz w:val="32"/>
          <w:szCs w:val="32"/>
          <w:lang w:val="en-US" w:eastAsia="zh-CN"/>
        </w:rPr>
        <w:t>加快建设农业强区</w:t>
      </w:r>
      <w:r>
        <w:rPr>
          <w:rFonts w:hint="default" w:ascii="Times New Roman" w:hAnsi="Times New Roman" w:eastAsia="仿宋_GB2312" w:cs="Times New Roman"/>
          <w:color w:val="auto"/>
          <w:sz w:val="32"/>
          <w:szCs w:val="32"/>
        </w:rPr>
        <w:t>工作部署，坚持把保障粮食和油料等重要农产品供给安全作为</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三农</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rPr>
        <w:t>工作的首要任务，以绿色发展为导向，以促进粮油增产和农民增收为目标，组织开展绿色高产高效行动，选择一批重点县市整建制推进，聚焦关键作物，加强技术集成，示范带动大面积均衡增产和效益提升，全方位夯实粮食安全根基。</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eastAsia"/>
          <w:color w:val="auto"/>
          <w:lang w:eastAsia="zh-CN"/>
        </w:rPr>
      </w:pPr>
      <w:r>
        <w:rPr>
          <w:rFonts w:hint="eastAsia" w:ascii="仿宋_GB2312" w:hAnsi="仿宋_GB2312" w:eastAsia="仿宋_GB2312" w:cs="仿宋_GB2312"/>
          <w:color w:val="auto"/>
          <w:sz w:val="32"/>
          <w:szCs w:val="32"/>
          <w:lang w:val="en-US" w:eastAsia="zh-CN"/>
        </w:rPr>
        <w:t>聚焦品种培优、品质提升、品牌打造和标准化生产，以绿色投入品替代、种植业结构优化、节本增效、生态循环、产业融合、绿色标准规范为主攻方向，全面构建高效、安全、低碳、循环、智能、集成的棉花绿色生产方式和高产高效发展模式及其技术集成创新体系，打造沙湾市棉花“三品一标”基地县，在大泉乡、金沟河镇、商户地乡、老沙湾镇、四道河子镇等全市有代表性的5个乡镇和沙湾市小拐农业开发区，整建制推进绿色高产高效行动，打造</w:t>
      </w:r>
      <w:r>
        <w:rPr>
          <w:rFonts w:hint="eastAsia" w:ascii="仿宋_GB2312" w:hAnsi="仿宋_GB2312" w:eastAsia="仿宋_GB2312" w:cs="仿宋_GB2312"/>
          <w:color w:val="auto"/>
          <w:sz w:val="32"/>
          <w:szCs w:val="32"/>
          <w:highlight w:val="none"/>
          <w:lang w:val="en-US" w:eastAsia="zh-CN"/>
        </w:rPr>
        <w:t>2个棉花万亩片、6个千亩方，辐射带动15万亩以</w:t>
      </w:r>
      <w:r>
        <w:rPr>
          <w:rFonts w:hint="eastAsia" w:ascii="仿宋_GB2312" w:hAnsi="仿宋_GB2312" w:eastAsia="仿宋_GB2312" w:cs="仿宋_GB2312"/>
          <w:color w:val="auto"/>
          <w:sz w:val="32"/>
          <w:szCs w:val="32"/>
          <w:lang w:val="en-US" w:eastAsia="zh-CN"/>
        </w:rPr>
        <w:t>上，在建设区力争亩产160公斤以上，打造棉花绿色高产高效发展典型，引领带动全市棉花均衡增产。</w:t>
      </w:r>
    </w:p>
    <w:p>
      <w:pPr>
        <w:bidi w:val="0"/>
        <w:rPr>
          <w:rFonts w:hint="eastAsia"/>
          <w:b/>
          <w:bCs/>
          <w:color w:val="auto"/>
          <w:sz w:val="32"/>
          <w:szCs w:val="32"/>
        </w:rPr>
      </w:pPr>
      <w:r>
        <w:rPr>
          <w:rFonts w:hint="eastAsia"/>
          <w:b/>
          <w:bCs/>
          <w:color w:val="auto"/>
          <w:sz w:val="32"/>
          <w:szCs w:val="32"/>
        </w:rPr>
        <w:t>2.项目主要内容及实施情况</w:t>
      </w:r>
    </w:p>
    <w:p>
      <w:pPr>
        <w:rPr>
          <w:rFonts w:hint="default"/>
          <w:color w:val="auto"/>
          <w:lang w:val="en-US"/>
        </w:rPr>
      </w:pPr>
      <w:r>
        <w:rPr>
          <w:rFonts w:hint="eastAsia" w:ascii="Times New Roman" w:hAnsi="Times New Roman" w:cs="Times New Roman"/>
          <w:color w:val="auto"/>
          <w:sz w:val="32"/>
          <w:szCs w:val="32"/>
          <w:lang w:val="en-US" w:eastAsia="zh-CN"/>
        </w:rPr>
        <w:t>根据《2023年塔城地区绿色高产高效行动促进粮棉等主要农作物大面积单产提升实施方案》（塔地农业农村字〔2023〕63号）要求，</w:t>
      </w:r>
      <w:r>
        <w:rPr>
          <w:rFonts w:hint="eastAsia" w:ascii="Times New Roman" w:hAnsi="Times New Roman" w:cs="Times New Roman"/>
          <w:color w:val="auto"/>
          <w:sz w:val="32"/>
          <w:szCs w:val="32"/>
          <w:lang w:val="en-US"/>
        </w:rPr>
        <w:t>本项目实施</w:t>
      </w:r>
      <w:r>
        <w:rPr>
          <w:rFonts w:hint="eastAsia" w:ascii="Times New Roman" w:hAnsi="Times New Roman" w:cs="Times New Roman"/>
          <w:color w:val="auto"/>
          <w:sz w:val="32"/>
          <w:szCs w:val="32"/>
          <w:lang w:val="en-US" w:eastAsia="zh-CN"/>
        </w:rPr>
        <w:t>（或</w:t>
      </w:r>
      <w:r>
        <w:rPr>
          <w:rFonts w:hint="eastAsia" w:ascii="Times New Roman" w:hAnsi="Times New Roman" w:cs="Times New Roman"/>
          <w:color w:val="auto"/>
          <w:sz w:val="32"/>
          <w:szCs w:val="32"/>
          <w:lang w:val="en-US"/>
        </w:rPr>
        <w:t>建设</w:t>
      </w:r>
      <w:r>
        <w:rPr>
          <w:rFonts w:hint="eastAsia" w:ascii="Times New Roman" w:hAnsi="Times New Roman" w:cs="Times New Roman"/>
          <w:color w:val="auto"/>
          <w:sz w:val="32"/>
          <w:szCs w:val="32"/>
          <w:lang w:val="en-US" w:eastAsia="zh-CN"/>
        </w:rPr>
        <w:t>）内容为：1、加强主导品种推广，做好品种示范。2、加强主推技术应用，促进引领性技术示范。3、构建“五统一”服务体系，推进品质提升。4、推进产业融合发展，打造标准化样板基地。5、创建高产示范区，打造高产示范样板。6、建立专家服务机制，抓好行动重点任务落实</w:t>
      </w:r>
      <w:r>
        <w:rPr>
          <w:rFonts w:hint="eastAsia" w:ascii="楷体_GB2312" w:hAnsi="楷体_GB2312" w:eastAsia="楷体_GB2312" w:cs="楷体_GB2312"/>
          <w:b/>
          <w:bCs/>
          <w:color w:val="auto"/>
          <w:kern w:val="2"/>
          <w:sz w:val="32"/>
          <w:szCs w:val="32"/>
          <w:lang w:val="en-US" w:eastAsia="zh-CN" w:bidi="ar-SA"/>
        </w:rPr>
        <w:t>。</w:t>
      </w:r>
    </w:p>
    <w:p>
      <w:pPr>
        <w:bidi w:val="0"/>
        <w:rPr>
          <w:rFonts w:hint="eastAsia"/>
          <w:b/>
          <w:bCs/>
          <w:color w:val="auto"/>
          <w:sz w:val="32"/>
          <w:szCs w:val="32"/>
        </w:rPr>
      </w:pPr>
      <w:r>
        <w:rPr>
          <w:rFonts w:hint="eastAsia"/>
          <w:b/>
          <w:bCs/>
          <w:color w:val="auto"/>
          <w:sz w:val="32"/>
          <w:szCs w:val="32"/>
        </w:rPr>
        <w:t>3.项目实施主体</w:t>
      </w:r>
    </w:p>
    <w:p>
      <w:pPr>
        <w:pStyle w:val="22"/>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w:t>
      </w:r>
      <w:r>
        <w:rPr>
          <w:rFonts w:hint="eastAsia" w:ascii="仿宋_GB2312" w:hAnsi="仿宋_GB2312" w:cs="仿宋_GB2312"/>
          <w:color w:val="auto"/>
          <w:sz w:val="32"/>
          <w:szCs w:val="32"/>
          <w:highlight w:val="none"/>
          <w:lang w:val="en-US" w:eastAsia="zh-CN"/>
        </w:rPr>
        <w:t>塔城地区</w:t>
      </w:r>
      <w:r>
        <w:rPr>
          <w:rFonts w:hint="eastAsia"/>
          <w:color w:val="auto"/>
          <w:sz w:val="32"/>
          <w:szCs w:val="32"/>
          <w:lang w:val="en-US"/>
        </w:rPr>
        <w:t>2023年绿色高产高效行动促进粮棉等主要作物大面积单产提升</w:t>
      </w:r>
      <w:r>
        <w:rPr>
          <w:rFonts w:hint="eastAsia" w:ascii="仿宋_GB2312" w:hAnsi="仿宋_GB2312" w:cs="仿宋_GB2312"/>
          <w:color w:val="auto"/>
          <w:sz w:val="32"/>
          <w:szCs w:val="32"/>
        </w:rPr>
        <w:t>项目的实施主体为</w:t>
      </w:r>
      <w:r>
        <w:rPr>
          <w:rFonts w:hint="eastAsia" w:ascii="仿宋_GB2312" w:hAnsi="仿宋_GB2312" w:cs="仿宋_GB2312"/>
          <w:color w:val="auto"/>
          <w:sz w:val="32"/>
          <w:szCs w:val="32"/>
          <w:highlight w:val="none"/>
          <w:lang w:val="en-US" w:eastAsia="zh-CN"/>
        </w:rPr>
        <w:t>塔城地区</w:t>
      </w:r>
      <w:r>
        <w:rPr>
          <w:rFonts w:hint="eastAsia"/>
          <w:color w:val="auto"/>
          <w:sz w:val="32"/>
          <w:szCs w:val="32"/>
          <w:lang w:val="en-US" w:eastAsia="zh-CN"/>
        </w:rPr>
        <w:t>沙湾市农业农村</w:t>
      </w:r>
      <w:r>
        <w:rPr>
          <w:rFonts w:hint="eastAsia" w:ascii="仿宋_GB2312" w:hAnsi="仿宋_GB2312" w:cs="仿宋_GB2312"/>
          <w:color w:val="auto"/>
          <w:sz w:val="32"/>
          <w:szCs w:val="32"/>
        </w:rPr>
        <w:t>局</w:t>
      </w:r>
      <w:r>
        <w:rPr>
          <w:rFonts w:hint="eastAsia"/>
          <w:color w:val="auto"/>
          <w:sz w:val="32"/>
          <w:szCs w:val="32"/>
        </w:rPr>
        <w:t>。</w:t>
      </w:r>
    </w:p>
    <w:p>
      <w:pPr>
        <w:bidi w:val="0"/>
        <w:rPr>
          <w:rFonts w:hint="eastAsia"/>
          <w:b/>
          <w:bCs/>
          <w:color w:val="auto"/>
          <w:sz w:val="32"/>
          <w:szCs w:val="32"/>
        </w:rPr>
      </w:pPr>
      <w:r>
        <w:rPr>
          <w:rFonts w:hint="eastAsia"/>
          <w:b/>
          <w:bCs/>
          <w:color w:val="auto"/>
          <w:sz w:val="32"/>
          <w:szCs w:val="32"/>
        </w:rPr>
        <w:t>4.资金投入和使用情况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rPr>
        <w:t>根据</w:t>
      </w:r>
      <w:r>
        <w:rPr>
          <w:rFonts w:hint="eastAsia" w:ascii="仿宋_GB2312" w:hAnsi="仿宋_GB2312" w:cs="仿宋_GB2312"/>
          <w:color w:val="auto"/>
          <w:sz w:val="32"/>
          <w:szCs w:val="32"/>
          <w:lang w:val="en-US" w:eastAsia="zh-CN"/>
        </w:rPr>
        <w:t>塔城地区</w:t>
      </w:r>
      <w:r>
        <w:rPr>
          <w:rFonts w:hint="eastAsia" w:ascii="仿宋_GB2312" w:hAnsi="仿宋_GB2312" w:cs="仿宋_GB2312"/>
          <w:color w:val="auto"/>
          <w:sz w:val="32"/>
          <w:szCs w:val="32"/>
          <w:lang w:val="en-US" w:eastAsia="zh-CN"/>
        </w:rPr>
        <w:t>财政局</w:t>
      </w:r>
      <w:r>
        <w:rPr>
          <w:rFonts w:hint="eastAsia" w:ascii="仿宋_GB2312" w:hAnsi="仿宋_GB2312" w:cs="仿宋_GB2312"/>
          <w:color w:val="auto"/>
          <w:sz w:val="32"/>
          <w:szCs w:val="32"/>
          <w:lang w:val="en-US" w:eastAsia="zh-CN"/>
        </w:rPr>
        <w:t>《关于下达2023年中央粮油生产保障资金预算的通知》（新财农〔2023〕18号）、（塔地财农〔2023〕10号）</w:t>
      </w:r>
      <w:r>
        <w:rPr>
          <w:rFonts w:hint="eastAsia" w:ascii="仿宋_GB2312" w:hAnsi="仿宋_GB2312" w:cs="仿宋_GB2312"/>
          <w:color w:val="auto"/>
          <w:sz w:val="32"/>
          <w:szCs w:val="32"/>
        </w:rPr>
        <w:t>文件，</w:t>
      </w:r>
      <w:r>
        <w:rPr>
          <w:rFonts w:hint="eastAsia" w:ascii="仿宋_GB2312" w:hAnsi="仿宋_GB2312" w:cs="仿宋_GB2312"/>
          <w:color w:val="auto"/>
          <w:sz w:val="32"/>
          <w:szCs w:val="32"/>
          <w:lang w:val="en-US"/>
        </w:rPr>
        <w:t>沙湾市2023年绿色高产高效行动促进棉花大面积单产提升</w:t>
      </w:r>
      <w:r>
        <w:rPr>
          <w:rFonts w:hint="eastAsia" w:ascii="仿宋_GB2312"/>
          <w:color w:val="auto"/>
          <w:sz w:val="32"/>
          <w:szCs w:val="32"/>
        </w:rPr>
        <w:t>项目</w:t>
      </w:r>
      <w:r>
        <w:rPr>
          <w:rFonts w:hint="eastAsia" w:ascii="仿宋_GB2312" w:hAnsi="仿宋_GB2312" w:cs="仿宋_GB2312"/>
          <w:color w:val="auto"/>
          <w:sz w:val="32"/>
          <w:szCs w:val="32"/>
        </w:rPr>
        <w:t>预算安排资金总额</w:t>
      </w:r>
      <w:r>
        <w:rPr>
          <w:rFonts w:hint="eastAsia" w:ascii="仿宋_GB2312"/>
          <w:color w:val="auto"/>
          <w:sz w:val="32"/>
          <w:szCs w:val="32"/>
          <w:lang w:val="en-US"/>
        </w:rPr>
        <w:t>400</w:t>
      </w:r>
      <w:r>
        <w:rPr>
          <w:rFonts w:hint="eastAsia" w:ascii="仿宋_GB2312" w:hAnsi="仿宋_GB2312" w:cs="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rPr>
        <w:t>400</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400</w:t>
      </w:r>
      <w:r>
        <w:rPr>
          <w:rFonts w:hint="eastAsia" w:ascii="仿宋_GB2312"/>
          <w:color w:val="auto"/>
          <w:sz w:val="32"/>
          <w:szCs w:val="32"/>
        </w:rPr>
        <w:t>万元，预算执行率</w:t>
      </w:r>
      <w:r>
        <w:rPr>
          <w:rFonts w:hint="eastAsia" w:ascii="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val="en-US" w:eastAsia="zh-CN"/>
        </w:rPr>
        <w:t>物化投入</w:t>
      </w:r>
      <w:r>
        <w:rPr>
          <w:rFonts w:hint="eastAsia" w:ascii="仿宋_GB2312"/>
          <w:color w:val="auto"/>
          <w:sz w:val="32"/>
          <w:szCs w:val="32"/>
        </w:rPr>
        <w:t>补助</w:t>
      </w:r>
      <w:r>
        <w:rPr>
          <w:rFonts w:hint="eastAsia" w:ascii="仿宋_GB2312"/>
          <w:color w:val="auto"/>
          <w:sz w:val="32"/>
          <w:szCs w:val="32"/>
        </w:rPr>
        <w:t>费用</w:t>
      </w:r>
      <w:r>
        <w:rPr>
          <w:rFonts w:hint="eastAsia" w:ascii="仿宋_GB2312"/>
          <w:color w:val="auto"/>
          <w:sz w:val="32"/>
          <w:szCs w:val="32"/>
          <w:lang w:val="en-US" w:eastAsia="zh-CN"/>
        </w:rPr>
        <w:t>252</w:t>
      </w:r>
      <w:r>
        <w:rPr>
          <w:rFonts w:hint="eastAsia" w:ascii="仿宋_GB2312"/>
          <w:color w:val="auto"/>
          <w:sz w:val="32"/>
          <w:szCs w:val="32"/>
        </w:rPr>
        <w:t>万元、</w:t>
      </w:r>
      <w:r>
        <w:rPr>
          <w:rFonts w:hint="eastAsia" w:ascii="仿宋_GB2312"/>
          <w:color w:val="auto"/>
          <w:sz w:val="32"/>
          <w:szCs w:val="32"/>
          <w:lang w:val="en-US"/>
        </w:rPr>
        <w:t>社会化</w:t>
      </w:r>
      <w:r>
        <w:rPr>
          <w:rFonts w:hint="eastAsia" w:ascii="仿宋_GB2312"/>
          <w:color w:val="auto"/>
          <w:sz w:val="32"/>
          <w:szCs w:val="32"/>
        </w:rPr>
        <w:t>服务补助</w:t>
      </w:r>
      <w:r>
        <w:rPr>
          <w:rFonts w:hint="eastAsia" w:ascii="仿宋_GB2312"/>
          <w:color w:val="auto"/>
          <w:sz w:val="32"/>
          <w:szCs w:val="32"/>
        </w:rPr>
        <w:t>费用</w:t>
      </w:r>
      <w:r>
        <w:rPr>
          <w:rFonts w:hint="eastAsia" w:ascii="仿宋_GB2312" w:hAnsi="仿宋_GB2312" w:cs="仿宋_GB2312"/>
          <w:color w:val="auto"/>
          <w:sz w:val="32"/>
          <w:szCs w:val="32"/>
          <w:lang w:val="en-US" w:eastAsia="zh-CN"/>
        </w:rPr>
        <w:t>133</w:t>
      </w:r>
      <w:r>
        <w:rPr>
          <w:rFonts w:hint="eastAsia" w:ascii="仿宋_GB2312"/>
          <w:color w:val="auto"/>
          <w:sz w:val="32"/>
          <w:szCs w:val="32"/>
        </w:rPr>
        <w:t>万元、</w:t>
      </w:r>
      <w:r>
        <w:rPr>
          <w:rFonts w:hint="eastAsia" w:ascii="仿宋_GB2312"/>
          <w:color w:val="auto"/>
          <w:sz w:val="32"/>
          <w:szCs w:val="32"/>
          <w:lang w:val="en-US"/>
        </w:rPr>
        <w:t>技术指导服务补助</w:t>
      </w:r>
      <w:r>
        <w:rPr>
          <w:rFonts w:hint="eastAsia" w:ascii="仿宋_GB2312"/>
          <w:color w:val="auto"/>
          <w:sz w:val="32"/>
          <w:szCs w:val="32"/>
        </w:rPr>
        <w:t>费用</w:t>
      </w:r>
      <w:r>
        <w:rPr>
          <w:rFonts w:hint="eastAsia" w:ascii="仿宋_GB2312" w:hAnsi="仿宋_GB2312" w:cs="仿宋_GB2312"/>
          <w:color w:val="auto"/>
          <w:sz w:val="32"/>
          <w:szCs w:val="32"/>
          <w:lang w:val="en-US" w:eastAsia="zh-CN"/>
        </w:rPr>
        <w:t>15</w:t>
      </w:r>
      <w:r>
        <w:rPr>
          <w:rFonts w:hint="eastAsia" w:ascii="仿宋_GB2312"/>
          <w:color w:val="auto"/>
          <w:sz w:val="32"/>
          <w:szCs w:val="32"/>
        </w:rPr>
        <w:t>万元。</w:t>
      </w:r>
    </w:p>
    <w:p>
      <w:pPr>
        <w:pStyle w:val="3"/>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spacing w:line="600" w:lineRule="exact"/>
        <w:ind w:firstLine="640"/>
        <w:rPr>
          <w:rFonts w:hint="eastAsia" w:eastAsia="仿宋_GB2312"/>
          <w:color w:val="auto"/>
          <w:lang w:val="en-US" w:eastAsia="zh-CN"/>
        </w:rPr>
      </w:pPr>
      <w:r>
        <w:rPr>
          <w:rFonts w:hint="eastAsia"/>
          <w:color w:val="auto"/>
          <w:sz w:val="32"/>
          <w:szCs w:val="32"/>
          <w:lang w:val="en-US" w:eastAsia="zh-CN"/>
        </w:rPr>
        <w:t>一是物化投入补</w:t>
      </w:r>
      <w:r>
        <w:rPr>
          <w:rFonts w:hint="eastAsia"/>
          <w:color w:val="auto"/>
          <w:sz w:val="32"/>
          <w:szCs w:val="32"/>
        </w:rPr>
        <w:t>助，对绿色高</w:t>
      </w:r>
      <w:r>
        <w:rPr>
          <w:rFonts w:hint="eastAsia"/>
          <w:color w:val="auto"/>
          <w:sz w:val="32"/>
          <w:szCs w:val="32"/>
          <w:lang w:val="en-US" w:eastAsia="zh-CN"/>
        </w:rPr>
        <w:t>产</w:t>
      </w:r>
      <w:r>
        <w:rPr>
          <w:rFonts w:hint="eastAsia"/>
          <w:color w:val="auto"/>
          <w:sz w:val="32"/>
          <w:szCs w:val="32"/>
        </w:rPr>
        <w:t>高效技术模式需要的肥料</w:t>
      </w:r>
      <w:r>
        <w:rPr>
          <w:rFonts w:hint="eastAsia"/>
          <w:color w:val="auto"/>
          <w:sz w:val="32"/>
          <w:szCs w:val="32"/>
          <w:lang w:eastAsia="zh-CN"/>
        </w:rPr>
        <w:t>、</w:t>
      </w:r>
      <w:r>
        <w:rPr>
          <w:rFonts w:hint="eastAsia"/>
          <w:color w:val="auto"/>
          <w:sz w:val="32"/>
          <w:szCs w:val="32"/>
          <w:lang w:val="en-US" w:eastAsia="zh-CN"/>
        </w:rPr>
        <w:t>农药</w:t>
      </w:r>
      <w:r>
        <w:rPr>
          <w:rFonts w:hint="eastAsia"/>
          <w:color w:val="auto"/>
          <w:sz w:val="32"/>
          <w:szCs w:val="32"/>
        </w:rPr>
        <w:t>等物化投入进行补助。二是社会化服务补助，对购买病虫</w:t>
      </w:r>
      <w:r>
        <w:rPr>
          <w:rFonts w:hint="eastAsia"/>
          <w:color w:val="auto"/>
          <w:sz w:val="32"/>
          <w:szCs w:val="32"/>
          <w:lang w:val="en-US" w:eastAsia="zh-CN"/>
        </w:rPr>
        <w:t>害</w:t>
      </w:r>
      <w:r>
        <w:rPr>
          <w:rFonts w:hint="eastAsia"/>
          <w:color w:val="auto"/>
          <w:sz w:val="32"/>
          <w:szCs w:val="32"/>
        </w:rPr>
        <w:t>绿色防控</w:t>
      </w:r>
      <w:r>
        <w:rPr>
          <w:rFonts w:hint="eastAsia"/>
          <w:color w:val="auto"/>
          <w:sz w:val="32"/>
          <w:szCs w:val="32"/>
          <w:lang w:val="en-US" w:eastAsia="zh-CN"/>
        </w:rPr>
        <w:t>设施</w:t>
      </w:r>
      <w:r>
        <w:rPr>
          <w:rFonts w:hint="eastAsia"/>
          <w:color w:val="auto"/>
          <w:sz w:val="32"/>
          <w:szCs w:val="32"/>
        </w:rPr>
        <w:t>、</w:t>
      </w:r>
      <w:r>
        <w:rPr>
          <w:rFonts w:hint="eastAsia"/>
          <w:color w:val="auto"/>
          <w:sz w:val="32"/>
          <w:szCs w:val="32"/>
          <w:lang w:val="en-US" w:eastAsia="zh-CN"/>
        </w:rPr>
        <w:t>设备、棉花试验示范田</w:t>
      </w:r>
      <w:r>
        <w:rPr>
          <w:rFonts w:hint="eastAsia"/>
          <w:color w:val="auto"/>
          <w:sz w:val="32"/>
          <w:szCs w:val="32"/>
        </w:rPr>
        <w:t>等社会化服务进行补助。三是技术指导服务补助，对农业、科研等部门开展技术推广服务给予适当补助</w:t>
      </w:r>
      <w:r>
        <w:rPr>
          <w:rFonts w:hint="eastAsia"/>
          <w:color w:val="auto"/>
          <w:sz w:val="32"/>
          <w:szCs w:val="32"/>
          <w:lang w:eastAsia="zh-CN"/>
        </w:rPr>
        <w:t>。</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color w:val="auto"/>
          <w:sz w:val="32"/>
          <w:szCs w:val="32"/>
        </w:rPr>
        <w:t>重点作物绿色高产高效创建县</w:t>
      </w:r>
      <w:r>
        <w:rPr>
          <w:rFonts w:hint="eastAsia"/>
          <w:color w:val="auto"/>
          <w:sz w:val="32"/>
          <w:szCs w:val="32"/>
        </w:rPr>
        <w:t>”指标，预期指标值为“</w:t>
      </w:r>
      <w:r>
        <w:rPr>
          <w:rFonts w:hint="eastAsia"/>
          <w:color w:val="auto"/>
          <w:sz w:val="32"/>
          <w:szCs w:val="32"/>
          <w:lang w:val="en-US" w:eastAsia="zh-CN"/>
        </w:rPr>
        <w:t>1</w:t>
      </w:r>
      <w:r>
        <w:rPr>
          <w:rFonts w:hint="eastAsia"/>
          <w:color w:val="auto"/>
          <w:sz w:val="32"/>
          <w:szCs w:val="32"/>
        </w:rPr>
        <w:t>个</w:t>
      </w:r>
      <w:r>
        <w:rPr>
          <w:rFonts w:hint="eastAsia"/>
          <w:color w:val="auto"/>
          <w:sz w:val="32"/>
          <w:szCs w:val="32"/>
        </w:rPr>
        <w:t>”</w:t>
      </w:r>
      <w:r>
        <w:rPr>
          <w:rFonts w:hint="eastAsia"/>
          <w:color w:val="auto"/>
          <w:sz w:val="32"/>
          <w:szCs w:val="32"/>
          <w:lang w:eastAsia="zh-CN"/>
        </w:rPr>
        <w:t>。</w:t>
      </w:r>
    </w:p>
    <w:p>
      <w:pPr>
        <w:spacing w:line="600" w:lineRule="exact"/>
        <w:ind w:firstLine="640"/>
        <w:rPr>
          <w:rFonts w:hint="eastAsia"/>
          <w:color w:val="auto"/>
          <w:sz w:val="32"/>
          <w:szCs w:val="32"/>
        </w:rPr>
      </w:pPr>
      <w:r>
        <w:rPr>
          <w:rFonts w:hint="eastAsia"/>
          <w:color w:val="auto"/>
          <w:sz w:val="32"/>
          <w:szCs w:val="32"/>
        </w:rPr>
        <w:t>②质量指标</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无此项指标</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无此项指标</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无此项指标</w:t>
      </w:r>
    </w:p>
    <w:p>
      <w:pPr>
        <w:spacing w:line="600" w:lineRule="exact"/>
        <w:ind w:firstLine="640"/>
        <w:rPr>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rPr>
        <w:t>重点作物绿色高产高效项目区节本增效水平</w:t>
      </w:r>
      <w:r>
        <w:rPr>
          <w:rFonts w:hint="eastAsia"/>
          <w:color w:val="auto"/>
          <w:sz w:val="32"/>
          <w:szCs w:val="32"/>
        </w:rPr>
        <w:t>”指标，预期指标值为“</w:t>
      </w:r>
      <w:r>
        <w:rPr>
          <w:rFonts w:hint="eastAsia" w:ascii="仿宋_GB2312"/>
          <w:color w:val="auto"/>
          <w:sz w:val="32"/>
          <w:szCs w:val="32"/>
        </w:rPr>
        <w:t>增加</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w:t>
      </w:r>
      <w:r>
        <w:rPr>
          <w:rFonts w:hint="eastAsia"/>
          <w:color w:val="auto"/>
          <w:sz w:val="32"/>
          <w:szCs w:val="32"/>
          <w:lang w:val="en-US" w:eastAsia="zh-CN"/>
        </w:rPr>
        <w:t>生态环境成本</w:t>
      </w:r>
      <w:r>
        <w:rPr>
          <w:rFonts w:hint="eastAsia"/>
          <w:color w:val="auto"/>
          <w:sz w:val="32"/>
          <w:szCs w:val="32"/>
        </w:rPr>
        <w:t>指标</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无此项指标</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rPr>
        <w:t>资金使用重大违规违纪问题</w:t>
      </w:r>
      <w:r>
        <w:rPr>
          <w:rFonts w:hint="eastAsia"/>
          <w:color w:val="auto"/>
          <w:sz w:val="32"/>
          <w:szCs w:val="32"/>
        </w:rPr>
        <w:t>”指标，预期指标值为“</w:t>
      </w:r>
      <w:r>
        <w:rPr>
          <w:rFonts w:hint="eastAsia" w:ascii="仿宋_GB2312"/>
          <w:color w:val="auto"/>
          <w:sz w:val="32"/>
          <w:szCs w:val="32"/>
          <w:lang w:val="en-US" w:eastAsia="zh-CN"/>
        </w:rPr>
        <w:t>无</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rPr>
        <w:t>集成推广绿色高质高效模式</w:t>
      </w:r>
      <w:r>
        <w:rPr>
          <w:rFonts w:hint="eastAsia"/>
          <w:color w:val="auto"/>
          <w:sz w:val="32"/>
          <w:szCs w:val="32"/>
        </w:rPr>
        <w:t>”指标，预期指标值为“</w:t>
      </w:r>
      <w:r>
        <w:rPr>
          <w:rFonts w:hint="eastAsia" w:ascii="仿宋_GB2312"/>
          <w:color w:val="auto"/>
          <w:sz w:val="32"/>
          <w:szCs w:val="32"/>
          <w:lang w:val="en-US"/>
        </w:rPr>
        <w:t>1</w:t>
      </w:r>
      <w:r>
        <w:rPr>
          <w:rFonts w:hint="eastAsia" w:ascii="仿宋_GB2312"/>
          <w:color w:val="auto"/>
          <w:sz w:val="32"/>
          <w:szCs w:val="32"/>
        </w:rPr>
        <w:t>套</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rPr>
        <w:t>重点作物绿色高产高效项目区病虫害危害损失率</w:t>
      </w:r>
      <w:r>
        <w:rPr>
          <w:rFonts w:hint="eastAsia"/>
          <w:color w:val="auto"/>
          <w:sz w:val="32"/>
          <w:szCs w:val="32"/>
        </w:rPr>
        <w:t>”指标，预期指标值为“</w:t>
      </w:r>
      <w:r>
        <w:rPr>
          <w:rFonts w:hint="eastAsia" w:ascii="仿宋_GB2312"/>
          <w:color w:val="auto"/>
          <w:sz w:val="32"/>
          <w:szCs w:val="32"/>
        </w:rPr>
        <w:t>≤5%</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服务对象满意度</w:t>
      </w:r>
      <w:r>
        <w:rPr>
          <w:rFonts w:hint="eastAsia"/>
          <w:color w:val="auto"/>
          <w:sz w:val="32"/>
          <w:szCs w:val="32"/>
        </w:rPr>
        <w:t>”指标，预期指标值为“</w:t>
      </w:r>
      <w:r>
        <w:rPr>
          <w:rFonts w:hint="eastAsia" w:ascii="仿宋_GB2312"/>
          <w:color w:val="auto"/>
          <w:sz w:val="32"/>
          <w:szCs w:val="32"/>
          <w:lang w:val="en-US" w:eastAsia="zh-CN"/>
        </w:rPr>
        <w:t>≥85%</w:t>
      </w:r>
      <w:r>
        <w:rPr>
          <w:rFonts w:hint="eastAsia"/>
          <w:color w:val="auto"/>
          <w:sz w:val="32"/>
          <w:szCs w:val="32"/>
        </w:rPr>
        <w:t>”；</w:t>
      </w:r>
    </w:p>
    <w:p>
      <w:pPr>
        <w:pStyle w:val="2"/>
        <w:spacing w:line="600" w:lineRule="exact"/>
        <w:ind w:firstLine="640"/>
        <w:rPr>
          <w:color w:val="auto"/>
          <w:szCs w:val="32"/>
        </w:rPr>
      </w:pPr>
      <w:r>
        <w:rPr>
          <w:rFonts w:hint="eastAsia"/>
          <w:color w:val="auto"/>
          <w:szCs w:val="32"/>
        </w:rPr>
        <w:t>二、绩效评价工作开展情况</w:t>
      </w:r>
    </w:p>
    <w:p>
      <w:pPr>
        <w:pStyle w:val="3"/>
        <w:numPr>
          <w:ilvl w:val="0"/>
          <w:numId w:val="4"/>
        </w:numPr>
        <w:spacing w:line="600" w:lineRule="exact"/>
        <w:ind w:firstLine="643"/>
        <w:rPr>
          <w:rFonts w:ascii="楷体_GB2312" w:eastAsia="楷体_GB2312"/>
          <w:color w:val="auto"/>
          <w:szCs w:val="32"/>
        </w:rPr>
      </w:pPr>
      <w:bookmarkStart w:id="1" w:name="_Toc22169_WPSOffice_Level2"/>
      <w:bookmarkStart w:id="2" w:name="_Toc22922"/>
      <w:bookmarkStart w:id="3" w:name="_Toc480473081"/>
      <w:bookmarkStart w:id="4" w:name="_Toc5258"/>
      <w:bookmarkStart w:id="5" w:name="_Toc12868"/>
      <w:bookmarkStart w:id="6" w:name="_Toc26632"/>
      <w:bookmarkStart w:id="7" w:name="_Toc5462343"/>
      <w:bookmarkStart w:id="8" w:name="_Toc21664"/>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以及自治区财政厅《自治区财政支出绩效评价管理暂行办法》（新财预〔2018〕189号）等文件规定，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hAnsi="仿宋_GB2312" w:cs="仿宋_GB2312"/>
          <w:color w:val="auto"/>
          <w:sz w:val="32"/>
          <w:szCs w:val="32"/>
          <w:lang w:val="en-US"/>
        </w:rPr>
        <w:t>沙湾市2023年绿色高产高效行动促进棉花大面积单产提升</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3"/>
        <w:numPr>
          <w:ilvl w:val="0"/>
          <w:numId w:val="4"/>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hAnsi="仿宋_GB2312" w:cs="仿宋_GB2312"/>
          <w:color w:val="auto"/>
          <w:sz w:val="32"/>
          <w:szCs w:val="32"/>
          <w:lang w:val="en-US"/>
        </w:rPr>
        <w:t>沙湾市2023年绿色高产高效行动促进棉花大面积单产提升</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428278230"/>
      <w:bookmarkStart w:id="10" w:name="_Toc1913"/>
      <w:bookmarkStart w:id="11" w:name="_Toc26131"/>
      <w:bookmarkStart w:id="12" w:name="_Toc419984722"/>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一级指标为：决策、过程、产出、成本、效益。</w:t>
      </w:r>
    </w:p>
    <w:p>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二级指标为：项目立项、绩效目标、资金投入、资金管理、组织实施、产出数量、产出质量、产出时效、经济成本、项目效益。</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color w:val="auto"/>
          <w:sz w:val="32"/>
          <w:szCs w:val="32"/>
        </w:rPr>
      </w:pPr>
      <w:r>
        <w:rPr>
          <w:rFonts w:hint="eastAsia"/>
          <w:b/>
          <w:bCs/>
          <w:color w:val="auto"/>
          <w:sz w:val="32"/>
          <w:szCs w:val="32"/>
        </w:rPr>
        <w:t>3.评价方法</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3"/>
        <w:spacing w:line="600" w:lineRule="exact"/>
        <w:ind w:left="420" w:firstLine="0" w:firstLineChars="0"/>
        <w:rPr>
          <w:color w:val="auto"/>
          <w:szCs w:val="32"/>
        </w:rPr>
      </w:pPr>
      <w:r>
        <w:rPr>
          <w:rFonts w:hint="eastAsia"/>
          <w:color w:val="auto"/>
          <w:szCs w:val="32"/>
        </w:rPr>
        <w:t>（三）绩效评价工作过程</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2"/>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农业农村局局长廖海龙</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农业技术推广中心主任王国志</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农业技术推广中心推广研究员高永健、种子站一级科员蔡虹</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2"/>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2"/>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2"/>
        <w:numPr>
          <w:ilvl w:val="0"/>
          <w:numId w:val="5"/>
        </w:numPr>
        <w:spacing w:line="600" w:lineRule="exact"/>
        <w:ind w:firstLine="640"/>
        <w:rPr>
          <w:color w:val="auto"/>
          <w:szCs w:val="32"/>
        </w:rPr>
      </w:pPr>
      <w:r>
        <w:rPr>
          <w:rFonts w:hint="eastAsia"/>
          <w:color w:val="auto"/>
          <w:szCs w:val="32"/>
        </w:rPr>
        <w:t>综合评价情况及评价结论</w:t>
      </w:r>
    </w:p>
    <w:p>
      <w:pPr>
        <w:pStyle w:val="24"/>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rPr>
          <w:rFonts w:ascii="仿宋_GB2312"/>
          <w:color w:val="auto"/>
          <w:sz w:val="32"/>
          <w:szCs w:val="32"/>
        </w:rPr>
      </w:pPr>
      <w:r>
        <w:rPr>
          <w:rFonts w:hint="eastAsia" w:ascii="仿宋_GB2312"/>
          <w:color w:val="auto"/>
          <w:sz w:val="32"/>
          <w:szCs w:val="32"/>
        </w:rPr>
        <w:t>通过</w:t>
      </w:r>
      <w:r>
        <w:rPr>
          <w:rFonts w:hint="eastAsia" w:ascii="仿宋_GB2312" w:hAnsi="仿宋_GB2312" w:cs="仿宋_GB2312"/>
          <w:color w:val="auto"/>
          <w:sz w:val="32"/>
          <w:szCs w:val="32"/>
          <w:lang w:val="en-US"/>
        </w:rPr>
        <w:t>沙湾市2023年绿色高产高效行动促进棉花大面积单产提升</w:t>
      </w:r>
      <w:r>
        <w:rPr>
          <w:rFonts w:hint="eastAsia" w:ascii="仿宋_GB2312"/>
          <w:color w:val="auto"/>
          <w:sz w:val="32"/>
          <w:szCs w:val="32"/>
        </w:rPr>
        <w:t>项目的实施，解决了</w:t>
      </w:r>
      <w:r>
        <w:rPr>
          <w:rFonts w:hint="eastAsia" w:ascii="仿宋_GB2312"/>
          <w:color w:val="auto"/>
          <w:sz w:val="32"/>
          <w:szCs w:val="32"/>
          <w:lang w:val="en-US" w:eastAsia="zh-CN"/>
        </w:rPr>
        <w:t>棉花标准化生产配套管理技术</w:t>
      </w:r>
      <w:r>
        <w:rPr>
          <w:rFonts w:hint="eastAsia" w:ascii="仿宋_GB2312"/>
          <w:color w:val="auto"/>
          <w:sz w:val="32"/>
          <w:szCs w:val="32"/>
        </w:rPr>
        <w:t>问题，</w:t>
      </w:r>
      <w:r>
        <w:rPr>
          <w:rFonts w:hint="eastAsia" w:ascii="仿宋_GB2312"/>
          <w:color w:val="auto"/>
          <w:sz w:val="32"/>
          <w:szCs w:val="32"/>
        </w:rPr>
        <w:t>实现了</w:t>
      </w:r>
      <w:r>
        <w:rPr>
          <w:rFonts w:hint="eastAsia" w:ascii="仿宋_GB2312"/>
          <w:color w:val="auto"/>
          <w:sz w:val="32"/>
          <w:szCs w:val="32"/>
          <w:lang w:val="en-US" w:eastAsia="zh-CN"/>
        </w:rPr>
        <w:t>技术集成，示范带动大面积均衡增产和</w:t>
      </w:r>
      <w:r>
        <w:rPr>
          <w:rFonts w:hint="eastAsia" w:ascii="仿宋_GB2312"/>
          <w:color w:val="auto"/>
          <w:sz w:val="32"/>
          <w:szCs w:val="32"/>
        </w:rPr>
        <w:t>效益</w:t>
      </w:r>
      <w:r>
        <w:rPr>
          <w:rFonts w:hint="eastAsia" w:ascii="仿宋_GB2312"/>
          <w:color w:val="auto"/>
          <w:sz w:val="32"/>
          <w:szCs w:val="32"/>
          <w:lang w:val="en-US" w:eastAsia="zh-CN"/>
        </w:rPr>
        <w:t>提升</w:t>
      </w:r>
      <w:r>
        <w:rPr>
          <w:rFonts w:hint="eastAsia" w:ascii="仿宋_GB2312"/>
          <w:color w:val="auto"/>
          <w:sz w:val="32"/>
          <w:szCs w:val="32"/>
        </w:rPr>
        <w:t>，</w:t>
      </w:r>
      <w:r>
        <w:rPr>
          <w:rFonts w:hint="eastAsia" w:ascii="仿宋_GB2312"/>
          <w:color w:val="auto"/>
          <w:sz w:val="32"/>
          <w:szCs w:val="32"/>
        </w:rPr>
        <w:t>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w:t>
      </w:r>
      <w:r>
        <w:rPr>
          <w:rFonts w:hint="eastAsia" w:ascii="仿宋_GB2312"/>
          <w:color w:val="auto"/>
          <w:sz w:val="32"/>
          <w:szCs w:val="32"/>
        </w:rPr>
        <w:t>项目预期绩效目标及各项具体指标均已全部达成。</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hAnsi="仿宋_GB2312" w:cs="仿宋_GB2312"/>
          <w:color w:val="auto"/>
          <w:sz w:val="32"/>
          <w:szCs w:val="32"/>
          <w:lang w:val="en-US"/>
        </w:rPr>
        <w:t>沙湾市2023年绿色高产高效行动促进棉花大面积单产提升</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98</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18</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w:t>
      </w:r>
      <w:r>
        <w:rPr>
          <w:rFonts w:hint="eastAsia" w:ascii="仿宋_GB2312" w:cs="仿宋_GB2312"/>
          <w:color w:val="auto"/>
          <w:sz w:val="32"/>
          <w:szCs w:val="32"/>
          <w:lang w:val="en-US" w:eastAsia="zh-CN"/>
        </w:rPr>
        <w:t>10</w:t>
      </w:r>
      <w:r>
        <w:rPr>
          <w:rFonts w:hint="eastAsia" w:ascii="仿宋_GB2312" w:cs="仿宋_GB2312"/>
          <w:color w:val="auto"/>
          <w:sz w:val="32"/>
          <w:szCs w:val="32"/>
          <w:lang w:val="en-US" w:eastAsia="zh-CN"/>
        </w:rPr>
        <w:t>分</w:t>
      </w:r>
      <w:r>
        <w:rPr>
          <w:rFonts w:hint="eastAsia" w:ascii="仿宋_GB2312" w:cs="仿宋_GB2312"/>
          <w:color w:val="auto"/>
          <w:sz w:val="32"/>
          <w:szCs w:val="32"/>
        </w:rPr>
        <w:t>。</w:t>
      </w:r>
    </w:p>
    <w:p>
      <w:pPr>
        <w:pStyle w:val="2"/>
        <w:spacing w:line="600" w:lineRule="exact"/>
        <w:ind w:firstLine="640"/>
        <w:rPr>
          <w:color w:val="auto"/>
          <w:szCs w:val="32"/>
        </w:rPr>
      </w:pPr>
      <w:r>
        <w:rPr>
          <w:rFonts w:hint="eastAsia"/>
          <w:color w:val="auto"/>
          <w:szCs w:val="32"/>
        </w:rPr>
        <w:t>四、绩效评价指标分析</w:t>
      </w:r>
    </w:p>
    <w:p>
      <w:pPr>
        <w:pStyle w:val="3"/>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rPr>
      </w:pPr>
      <w:r>
        <w:rPr>
          <w:rFonts w:hint="eastAsia" w:ascii="仿宋_GB2312" w:hAnsi="仿宋_GB2312" w:cs="仿宋_GB2312"/>
          <w:color w:val="auto"/>
          <w:sz w:val="32"/>
          <w:szCs w:val="32"/>
        </w:rPr>
        <w:t xml:space="preserve">项目决策类指标从项目立项、绩效目标和资金投入三个方面评价项目前期准备工作，权重分值为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分，本项目实际得分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pPr>
        <w:pStyle w:val="25"/>
        <w:spacing w:line="600" w:lineRule="exact"/>
        <w:ind w:firstLine="736"/>
        <w:rPr>
          <w:rFonts w:cs="仿宋_GB2312"/>
          <w:color w:val="auto"/>
        </w:rPr>
      </w:pPr>
      <w:r>
        <w:rPr>
          <w:rFonts w:hint="eastAsia" w:cs="仿宋_GB2312"/>
          <w:b/>
          <w:bCs/>
          <w:color w:val="auto"/>
        </w:rPr>
        <w:t>1.立项依据充分性：因</w:t>
      </w:r>
      <w:r>
        <w:rPr>
          <w:rFonts w:hint="eastAsia" w:cs="仿宋_GB2312"/>
          <w:color w:val="auto"/>
        </w:rPr>
        <w:t>本项目是由自治区农业农村厅、塔城地区农业农村局下达的项目，没有立项要求，得2.5分。</w:t>
      </w:r>
    </w:p>
    <w:p>
      <w:pPr>
        <w:pStyle w:val="25"/>
        <w:spacing w:line="600" w:lineRule="exact"/>
        <w:ind w:firstLine="736"/>
        <w:rPr>
          <w:rFonts w:cs="仿宋_GB2312"/>
          <w:color w:val="auto"/>
        </w:rPr>
      </w:pPr>
      <w:r>
        <w:rPr>
          <w:rFonts w:hint="eastAsia" w:cs="仿宋_GB2312"/>
          <w:b/>
          <w:bCs/>
          <w:color w:val="auto"/>
        </w:rPr>
        <w:t>2.立项程序规范性：因</w:t>
      </w:r>
      <w:r>
        <w:rPr>
          <w:rFonts w:hint="eastAsia" w:cs="仿宋_GB2312"/>
          <w:color w:val="auto"/>
        </w:rPr>
        <w:t>本项目是由自治区农业农村厅、塔城地区农业农村局下达的项目，没有立项要求，得2.5分。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：本项目制定了项目支出绩效目标，明确了项目总体思路及总目标、并对项目任务进行了详细分解，对目标进行了细化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本项目预算由上级部门安排，内容与项目内容匹配，项目投资额与工作任务相匹配，根据评分标准，该指标3分，得3分。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rPr>
        <w:t>本项目资金分配依据充分，资金分配额度合理，与项目地方实际相适应。根据评分标准，该指标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3"/>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 xml:space="preserve">权重分值为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分，本项目实际得分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2.预算执行率：本项目</w:t>
      </w:r>
      <w:r>
        <w:rPr>
          <w:rFonts w:hint="eastAsia" w:ascii="仿宋_GB2312" w:cs="仿宋_GB2312"/>
          <w:color w:val="auto"/>
          <w:sz w:val="32"/>
          <w:szCs w:val="32"/>
        </w:rPr>
        <w:t>预算编制较为详细，预算资金</w:t>
      </w:r>
      <w:r>
        <w:rPr>
          <w:rFonts w:hint="eastAsia" w:ascii="仿宋_GB2312" w:cs="仿宋_GB2312"/>
          <w:color w:val="auto"/>
          <w:sz w:val="32"/>
          <w:szCs w:val="32"/>
          <w:lang w:val="en-US" w:eastAsia="zh-CN"/>
        </w:rPr>
        <w:t>400</w:t>
      </w:r>
      <w:r>
        <w:rPr>
          <w:rFonts w:hint="eastAsia" w:ascii="仿宋_GB2312" w:cs="仿宋_GB2312"/>
          <w:color w:val="auto"/>
          <w:sz w:val="32"/>
          <w:szCs w:val="32"/>
        </w:rPr>
        <w:t>万元</w:t>
      </w:r>
      <w:r>
        <w:rPr>
          <w:rFonts w:ascii="仿宋_GB2312" w:cs="仿宋_GB2312"/>
          <w:color w:val="auto"/>
          <w:sz w:val="32"/>
          <w:szCs w:val="32"/>
        </w:rPr>
        <w:t>，</w:t>
      </w:r>
      <w:r>
        <w:rPr>
          <w:rFonts w:hint="eastAsia" w:ascii="仿宋_GB2312" w:cs="仿宋_GB2312"/>
          <w:color w:val="auto"/>
          <w:sz w:val="32"/>
          <w:szCs w:val="32"/>
        </w:rPr>
        <w:t>实际执行</w:t>
      </w:r>
      <w:r>
        <w:rPr>
          <w:rFonts w:hint="eastAsia" w:ascii="仿宋_GB2312" w:cs="仿宋_GB2312"/>
          <w:color w:val="auto"/>
          <w:sz w:val="32"/>
          <w:szCs w:val="32"/>
          <w:lang w:val="en-US" w:eastAsia="zh-CN"/>
        </w:rPr>
        <w:t>400</w:t>
      </w:r>
      <w:r>
        <w:rPr>
          <w:rFonts w:hint="eastAsia" w:ascii="仿宋_GB2312" w:cs="仿宋_GB2312"/>
          <w:color w:val="auto"/>
          <w:sz w:val="32"/>
          <w:szCs w:val="32"/>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rPr>
        <w:t>项目任务下达后</w:t>
      </w:r>
      <w:r>
        <w:rPr>
          <w:rFonts w:ascii="仿宋_GB2312" w:cs="仿宋_GB2312"/>
          <w:color w:val="auto"/>
          <w:sz w:val="32"/>
          <w:szCs w:val="32"/>
        </w:rPr>
        <w:t>，</w:t>
      </w:r>
      <w:r>
        <w:rPr>
          <w:rFonts w:hint="eastAsia" w:ascii="仿宋_GB2312" w:cs="仿宋_GB2312"/>
          <w:color w:val="auto"/>
          <w:sz w:val="32"/>
          <w:szCs w:val="32"/>
        </w:rPr>
        <w:t>我单位制定了</w:t>
      </w:r>
      <w:r>
        <w:rPr>
          <w:rFonts w:hint="eastAsia" w:ascii="仿宋_GB2312" w:cs="仿宋_GB2312"/>
          <w:color w:val="auto"/>
          <w:sz w:val="32"/>
          <w:szCs w:val="32"/>
          <w:lang w:val="en-US" w:eastAsia="zh-CN"/>
        </w:rPr>
        <w:t>资金使用</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rPr>
        <w:t>我单位制定了</w:t>
      </w:r>
      <w:r>
        <w:rPr>
          <w:rFonts w:hint="eastAsia" w:ascii="仿宋_GB2312" w:cs="仿宋_GB2312"/>
          <w:color w:val="auto"/>
          <w:sz w:val="32"/>
          <w:szCs w:val="32"/>
          <w:lang w:val="en-US" w:eastAsia="zh-CN"/>
        </w:rPr>
        <w:t>项目管理</w:t>
      </w:r>
      <w:r>
        <w:rPr>
          <w:rFonts w:hint="eastAsia" w:ascii="仿宋_GB2312" w:cs="仿宋_GB2312"/>
          <w:color w:val="auto"/>
          <w:sz w:val="32"/>
          <w:szCs w:val="32"/>
        </w:rPr>
        <w:t>等</w:t>
      </w:r>
      <w:r>
        <w:rPr>
          <w:rFonts w:ascii="仿宋_GB2312" w:cs="仿宋_GB2312"/>
          <w:color w:val="auto"/>
          <w:sz w:val="32"/>
          <w:szCs w:val="32"/>
        </w:rPr>
        <w:t>相关</w:t>
      </w:r>
      <w:r>
        <w:rPr>
          <w:rFonts w:hint="eastAsia" w:ascii="仿宋_GB2312" w:cs="仿宋_GB2312"/>
          <w:color w:val="auto"/>
          <w:sz w:val="32"/>
          <w:szCs w:val="32"/>
        </w:rPr>
        <w:t>项目</w:t>
      </w:r>
      <w:r>
        <w:rPr>
          <w:rFonts w:ascii="仿宋_GB2312" w:cs="仿宋_GB2312"/>
          <w:color w:val="auto"/>
          <w:sz w:val="32"/>
          <w:szCs w:val="32"/>
        </w:rPr>
        <w:t>管理办法，</w:t>
      </w:r>
      <w:r>
        <w:rPr>
          <w:rFonts w:hint="eastAsia" w:ascii="仿宋_GB2312" w:cs="仿宋_GB2312"/>
          <w:color w:val="auto"/>
          <w:sz w:val="32"/>
          <w:szCs w:val="32"/>
        </w:rPr>
        <w:t>同时对财政专项资金进行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3"/>
        <w:spacing w:line="600" w:lineRule="exact"/>
        <w:ind w:firstLine="643"/>
        <w:rPr>
          <w:rFonts w:hint="eastAsia" w:ascii="楷体_GB2312" w:eastAsia="楷体_GB2312"/>
          <w:color w:val="auto"/>
          <w:szCs w:val="32"/>
        </w:rPr>
      </w:pPr>
      <w:r>
        <w:rPr>
          <w:rFonts w:hint="eastAsia" w:ascii="楷体_GB2312" w:eastAsia="楷体_GB2312"/>
          <w:color w:val="auto"/>
          <w:szCs w:val="32"/>
        </w:rPr>
        <w:t>（三）项目产出情况</w:t>
      </w:r>
    </w:p>
    <w:p>
      <w:pPr>
        <w:overflowPunct w:val="0"/>
        <w:spacing w:line="600" w:lineRule="exact"/>
        <w:ind w:firstLine="640"/>
        <w:contextualSpacing/>
        <w:rPr>
          <w:rFonts w:ascii="仿宋_GB2312" w:hAnsi="仿宋_GB2312" w:cs="仿宋_GB2312"/>
          <w:color w:val="auto"/>
          <w:sz w:val="32"/>
          <w:szCs w:val="32"/>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2</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rPr>
        <w:t>本项目实际得分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highlight w:val="none"/>
          <w:lang w:val="en-US" w:eastAsia="zh-CN"/>
        </w:rPr>
        <w:t>如：</w:t>
      </w:r>
      <w:r>
        <w:rPr>
          <w:rFonts w:hint="eastAsia" w:ascii="仿宋_GB2312" w:hAnsi="仿宋_GB2312" w:cs="仿宋_GB2312"/>
          <w:color w:val="auto"/>
          <w:sz w:val="32"/>
          <w:szCs w:val="32"/>
          <w:highlight w:val="none"/>
        </w:rPr>
        <w:t>“</w:t>
      </w:r>
      <w:r>
        <w:rPr>
          <w:rFonts w:hint="eastAsia" w:ascii="仿宋_GB2312" w:cs="仿宋_GB2312"/>
          <w:color w:val="auto"/>
          <w:sz w:val="32"/>
          <w:szCs w:val="32"/>
          <w:highlight w:val="none"/>
          <w:lang w:val="en-US" w:eastAsia="zh-CN"/>
        </w:rPr>
        <w:t>重点作物绿色高产高效创建县数量（个）</w:t>
      </w:r>
      <w:r>
        <w:rPr>
          <w:rFonts w:hint="eastAsia" w:ascii="仿宋_GB2312" w:cs="仿宋_GB2312"/>
          <w:color w:val="auto"/>
          <w:sz w:val="32"/>
          <w:szCs w:val="32"/>
          <w:highlight w:val="none"/>
        </w:rPr>
        <w:t>”</w:t>
      </w:r>
      <w:r>
        <w:rPr>
          <w:rFonts w:hint="eastAsia" w:ascii="仿宋_GB2312" w:hAnsi="仿宋_GB2312" w:cs="仿宋_GB2312"/>
          <w:color w:val="auto"/>
          <w:sz w:val="32"/>
          <w:szCs w:val="32"/>
        </w:rPr>
        <w:t>指标，预期指标值为</w:t>
      </w:r>
      <w:r>
        <w:rPr>
          <w:rFonts w:hint="eastAsia" w:ascii="仿宋_GB2312" w:hAnsi="仿宋_GB2312" w:cs="仿宋_GB2312"/>
          <w:color w:val="auto"/>
          <w:sz w:val="32"/>
          <w:szCs w:val="32"/>
        </w:rPr>
        <w:t>“</w:t>
      </w:r>
      <w:r>
        <w:rPr>
          <w:rFonts w:hint="eastAsia" w:ascii="宋体" w:hAnsi="宋体" w:eastAsia="宋体" w:cs="仿宋_GB2312"/>
          <w:color w:val="auto"/>
          <w:sz w:val="32"/>
          <w:szCs w:val="32"/>
          <w:lang w:val="en-US" w:eastAsia="zh-CN"/>
        </w:rPr>
        <w:t>1</w:t>
      </w:r>
      <w:r>
        <w:rPr>
          <w:rFonts w:hint="eastAsia" w:ascii="仿宋_GB2312" w:hAnsi="仿宋_GB2312" w:cs="仿宋_GB2312"/>
          <w:color w:val="auto"/>
          <w:sz w:val="32"/>
          <w:szCs w:val="32"/>
        </w:rPr>
        <w:t>”，</w:t>
      </w:r>
      <w:r>
        <w:rPr>
          <w:rFonts w:hint="eastAsia" w:ascii="仿宋_GB2312" w:hAnsi="仿宋_GB2312" w:cs="仿宋_GB2312"/>
          <w:color w:val="auto"/>
          <w:sz w:val="32"/>
          <w:szCs w:val="32"/>
        </w:rPr>
        <w:t>根据</w:t>
      </w:r>
      <w:r>
        <w:rPr>
          <w:rFonts w:hint="eastAsia" w:ascii="仿宋_GB2312" w:hAnsi="仿宋_GB2312" w:cs="仿宋_GB2312"/>
          <w:color w:val="auto"/>
          <w:sz w:val="32"/>
          <w:szCs w:val="32"/>
          <w:lang w:val="en-US" w:eastAsia="zh-CN"/>
        </w:rPr>
        <w:t>我市实际</w:t>
      </w:r>
      <w:r>
        <w:rPr>
          <w:rFonts w:hint="eastAsia" w:ascii="仿宋_GB2312" w:hAnsi="仿宋_GB2312" w:cs="仿宋_GB2312"/>
          <w:color w:val="auto"/>
          <w:sz w:val="32"/>
          <w:szCs w:val="32"/>
        </w:rPr>
        <w:t>可知，实际完成</w:t>
      </w:r>
      <w:r>
        <w:rPr>
          <w:rFonts w:hint="eastAsia" w:ascii="仿宋_GB2312" w:cs="仿宋_GB2312"/>
          <w:color w:val="auto"/>
          <w:sz w:val="32"/>
          <w:szCs w:val="32"/>
          <w:highlight w:val="none"/>
          <w:lang w:val="en-US" w:eastAsia="zh-CN"/>
        </w:rPr>
        <w:t>重点作物绿色高产高效创建县数量1个</w:t>
      </w:r>
      <w:r>
        <w:rPr>
          <w:rFonts w:hint="eastAsia" w:ascii="仿宋_GB2312" w:hAnsi="仿宋_GB2312" w:cs="仿宋_GB2312"/>
          <w:color w:val="auto"/>
          <w:sz w:val="32"/>
          <w:szCs w:val="32"/>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rPr>
      </w:pPr>
      <w:r>
        <w:rPr>
          <w:rFonts w:hint="eastAsia" w:ascii="Times New Roman" w:hAnsi="Times New Roman" w:cs="Times New Roman"/>
          <w:color w:val="auto"/>
          <w:sz w:val="32"/>
          <w:szCs w:val="32"/>
        </w:rPr>
        <w:t>无此项指标</w:t>
      </w:r>
      <w:r>
        <w:rPr>
          <w:rFonts w:hint="eastAsia" w:cs="Times New Roman"/>
          <w:color w:val="auto"/>
          <w:sz w:val="32"/>
          <w:szCs w:val="32"/>
          <w:lang w:eastAsia="zh-CN"/>
        </w:rPr>
        <w:t>，</w:t>
      </w:r>
      <w:r>
        <w:rPr>
          <w:rFonts w:hint="eastAsia" w:ascii="仿宋_GB2312" w:hAnsi="仿宋_GB2312" w:cs="仿宋_GB2312"/>
          <w:color w:val="auto"/>
          <w:sz w:val="32"/>
          <w:szCs w:val="32"/>
        </w:rPr>
        <w:t>根据评分标准，该指标</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w:t>
      </w:r>
    </w:p>
    <w:p>
      <w:pPr>
        <w:pStyle w:val="5"/>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5"/>
        <w:spacing w:before="0" w:after="0" w:line="600" w:lineRule="exact"/>
        <w:ind w:firstLine="640"/>
        <w:jc w:val="both"/>
        <w:rPr>
          <w:rFonts w:hint="eastAsia" w:ascii="仿宋_GB2312" w:hAnsi="仿宋_GB2312" w:eastAsia="仿宋_GB2312" w:cs="仿宋_GB2312"/>
          <w:b w:val="0"/>
          <w:color w:val="auto"/>
          <w:kern w:val="2"/>
          <w:sz w:val="32"/>
          <w:szCs w:val="32"/>
          <w:lang w:val="en-US" w:bidi="ar-SA"/>
        </w:rPr>
      </w:pPr>
      <w:r>
        <w:rPr>
          <w:rFonts w:hint="eastAsia" w:ascii="仿宋_GB2312" w:hAnsi="仿宋_GB2312" w:eastAsia="仿宋_GB2312" w:cs="仿宋_GB2312"/>
          <w:b w:val="0"/>
          <w:color w:val="auto"/>
          <w:kern w:val="2"/>
          <w:sz w:val="32"/>
          <w:szCs w:val="32"/>
          <w:lang w:val="en-US" w:bidi="ar-SA"/>
        </w:rPr>
        <w:t>无此项指标</w:t>
      </w:r>
      <w:r>
        <w:rPr>
          <w:rFonts w:hint="eastAsia" w:ascii="仿宋_GB2312" w:hAnsi="仿宋_GB2312" w:eastAsia="仿宋_GB2312" w:cs="仿宋_GB2312"/>
          <w:b w:val="0"/>
          <w:color w:val="auto"/>
          <w:kern w:val="2"/>
          <w:sz w:val="32"/>
          <w:szCs w:val="32"/>
          <w:lang w:val="en-US" w:eastAsia="zh-CN" w:bidi="ar-SA"/>
        </w:rPr>
        <w:t>，</w:t>
      </w:r>
      <w:r>
        <w:rPr>
          <w:rFonts w:hint="eastAsia" w:ascii="仿宋_GB2312" w:hAnsi="仿宋_GB2312" w:eastAsia="仿宋_GB2312" w:cs="仿宋_GB2312"/>
          <w:b w:val="0"/>
          <w:color w:val="auto"/>
          <w:kern w:val="2"/>
          <w:sz w:val="32"/>
          <w:szCs w:val="32"/>
          <w:lang w:val="en-US" w:bidi="ar-SA"/>
        </w:rPr>
        <w:t>根据评分标准，该指标</w:t>
      </w:r>
      <w:r>
        <w:rPr>
          <w:rFonts w:hint="eastAsia" w:ascii="仿宋_GB2312" w:hAnsi="仿宋_GB2312" w:eastAsia="仿宋_GB2312" w:cs="仿宋_GB2312"/>
          <w:b w:val="0"/>
          <w:color w:val="auto"/>
          <w:kern w:val="2"/>
          <w:sz w:val="32"/>
          <w:szCs w:val="32"/>
          <w:lang w:val="en-US" w:eastAsia="zh-CN" w:bidi="ar-SA"/>
        </w:rPr>
        <w:t>10</w:t>
      </w:r>
      <w:r>
        <w:rPr>
          <w:rFonts w:hint="eastAsia" w:ascii="仿宋_GB2312" w:hAnsi="仿宋_GB2312" w:eastAsia="仿宋_GB2312" w:cs="仿宋_GB2312"/>
          <w:b w:val="0"/>
          <w:color w:val="auto"/>
          <w:kern w:val="2"/>
          <w:sz w:val="32"/>
          <w:szCs w:val="32"/>
          <w:lang w:val="en-US" w:bidi="ar-SA"/>
        </w:rPr>
        <w:t>分，得</w:t>
      </w:r>
      <w:r>
        <w:rPr>
          <w:rFonts w:hint="eastAsia" w:ascii="仿宋_GB2312" w:hAnsi="仿宋_GB2312" w:eastAsia="仿宋_GB2312" w:cs="仿宋_GB2312"/>
          <w:b w:val="0"/>
          <w:color w:val="auto"/>
          <w:kern w:val="2"/>
          <w:sz w:val="32"/>
          <w:szCs w:val="32"/>
          <w:lang w:val="en-US" w:eastAsia="zh-CN" w:bidi="ar-SA"/>
        </w:rPr>
        <w:t>10</w:t>
      </w:r>
      <w:r>
        <w:rPr>
          <w:rFonts w:hint="eastAsia" w:ascii="仿宋_GB2312" w:hAnsi="仿宋_GB2312" w:eastAsia="仿宋_GB2312" w:cs="仿宋_GB2312"/>
          <w:b w:val="0"/>
          <w:color w:val="auto"/>
          <w:kern w:val="2"/>
          <w:sz w:val="32"/>
          <w:szCs w:val="32"/>
          <w:lang w:val="en-US" w:bidi="ar-SA"/>
        </w:rPr>
        <w:t>分。</w:t>
      </w:r>
    </w:p>
    <w:p>
      <w:pPr>
        <w:pStyle w:val="5"/>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color w:val="auto"/>
        </w:rPr>
      </w:pPr>
      <w:r>
        <w:rPr>
          <w:rFonts w:hint="eastAsia" w:ascii="仿宋_GB2312" w:cs="仿宋_GB2312"/>
          <w:color w:val="auto"/>
          <w:sz w:val="32"/>
          <w:szCs w:val="32"/>
          <w:lang w:val="en-US" w:eastAsia="zh-CN"/>
        </w:rPr>
        <w:t>例如：“重点作物绿色高产高效项目区节本增效水平”</w:t>
      </w:r>
      <w:r>
        <w:rPr>
          <w:rFonts w:hint="eastAsia" w:ascii="仿宋_GB2312" w:hAnsi="仿宋_GB2312" w:cs="仿宋_GB2312"/>
          <w:color w:val="auto"/>
          <w:sz w:val="32"/>
          <w:szCs w:val="32"/>
        </w:rPr>
        <w:t>指标，预期指标值为</w:t>
      </w:r>
      <w:r>
        <w:rPr>
          <w:rFonts w:hint="eastAsia" w:ascii="仿宋_GB2312" w:cs="仿宋_GB2312"/>
          <w:color w:val="auto"/>
          <w:sz w:val="32"/>
          <w:szCs w:val="32"/>
        </w:rPr>
        <w:t>“</w:t>
      </w:r>
      <w:r>
        <w:rPr>
          <w:rFonts w:hint="eastAsia" w:ascii="宋体" w:hAnsi="宋体" w:eastAsia="宋体" w:cs="Arial"/>
          <w:color w:val="auto"/>
          <w:sz w:val="32"/>
          <w:szCs w:val="32"/>
          <w:lang w:val="en-US" w:eastAsia="zh-CN"/>
        </w:rPr>
        <w:t>增加</w:t>
      </w:r>
      <w:r>
        <w:rPr>
          <w:rFonts w:hint="eastAsia" w:ascii="仿宋_GB2312" w:cs="仿宋_GB2312"/>
          <w:color w:val="auto"/>
          <w:sz w:val="32"/>
          <w:szCs w:val="32"/>
        </w:rPr>
        <w:t>”，根据</w:t>
      </w:r>
      <w:r>
        <w:rPr>
          <w:rFonts w:hint="eastAsia" w:ascii="仿宋_GB2312" w:cs="仿宋_GB2312"/>
          <w:color w:val="auto"/>
          <w:sz w:val="32"/>
          <w:szCs w:val="32"/>
          <w:lang w:val="en-US" w:eastAsia="zh-CN"/>
        </w:rPr>
        <w:t>成本测算较上年成本减少</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pPr>
        <w:pStyle w:val="3"/>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经济效益、社会效益、生态效益3</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3</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rPr>
        <w:t>本项目实际得分</w:t>
      </w:r>
      <w:r>
        <w:rPr>
          <w:rFonts w:hint="eastAsia" w:ascii="仿宋_GB2312"/>
          <w:color w:val="auto"/>
          <w:sz w:val="32"/>
          <w:szCs w:val="32"/>
          <w:lang w:val="en-US" w:eastAsia="zh-CN"/>
        </w:rPr>
        <w:t>18</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90</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rFonts w:hint="eastAsia" w:ascii="仿宋_GB2312" w:hAnsi="仿宋_GB2312" w:cs="仿宋_GB2312"/>
          <w:color w:val="auto"/>
          <w:sz w:val="32"/>
          <w:szCs w:val="32"/>
        </w:rPr>
      </w:pPr>
      <w:r>
        <w:rPr>
          <w:rFonts w:hint="eastAsia" w:ascii="仿宋_GB2312" w:cs="仿宋_GB2312"/>
          <w:color w:val="auto"/>
          <w:sz w:val="32"/>
          <w:szCs w:val="32"/>
        </w:rPr>
        <w:t>“</w:t>
      </w:r>
      <w:r>
        <w:rPr>
          <w:rFonts w:hint="eastAsia" w:ascii="仿宋_GB2312" w:cs="仿宋_GB2312"/>
          <w:color w:val="auto"/>
          <w:sz w:val="32"/>
          <w:szCs w:val="32"/>
          <w:lang w:val="en-US" w:eastAsia="zh-CN"/>
        </w:rPr>
        <w:t>集成推广绿色高质高效模式（套）</w:t>
      </w:r>
      <w:r>
        <w:rPr>
          <w:rFonts w:hint="eastAsia" w:ascii="仿宋_GB2312" w:cs="仿宋_GB2312"/>
          <w:color w:val="auto"/>
          <w:sz w:val="32"/>
          <w:szCs w:val="32"/>
        </w:rPr>
        <w:t>”指标，预期指标值为“</w:t>
      </w:r>
      <w:r>
        <w:rPr>
          <w:rFonts w:hint="eastAsia" w:ascii="仿宋_GB2312" w:cs="仿宋_GB2312"/>
          <w:color w:val="auto"/>
          <w:sz w:val="32"/>
          <w:szCs w:val="32"/>
          <w:lang w:val="en-US" w:eastAsia="zh-CN"/>
        </w:rPr>
        <w:t>1</w:t>
      </w:r>
      <w:r>
        <w:rPr>
          <w:rFonts w:hint="eastAsia" w:ascii="仿宋_GB2312" w:cs="仿宋_GB2312"/>
          <w:color w:val="auto"/>
          <w:sz w:val="32"/>
          <w:szCs w:val="32"/>
        </w:rPr>
        <w:t>”，根据本单位</w:t>
      </w:r>
      <w:r>
        <w:rPr>
          <w:rFonts w:hint="eastAsia" w:ascii="仿宋_GB2312" w:cs="仿宋_GB2312"/>
          <w:color w:val="auto"/>
          <w:sz w:val="32"/>
          <w:szCs w:val="32"/>
          <w:lang w:val="en-US" w:eastAsia="zh-CN"/>
        </w:rPr>
        <w:t>制定的超宽膜棉花技术规程，</w:t>
      </w:r>
      <w:r>
        <w:rPr>
          <w:rFonts w:hint="eastAsia" w:ascii="仿宋_GB2312" w:cs="仿宋_GB2312"/>
          <w:color w:val="auto"/>
          <w:sz w:val="32"/>
          <w:szCs w:val="32"/>
        </w:rPr>
        <w:t>该指标</w:t>
      </w:r>
      <w:r>
        <w:rPr>
          <w:rFonts w:hint="eastAsia" w:ascii="仿宋_GB2312" w:cs="仿宋_GB2312"/>
          <w:color w:val="auto"/>
          <w:sz w:val="32"/>
          <w:szCs w:val="32"/>
          <w:lang w:val="en-US" w:eastAsia="zh-CN"/>
        </w:rPr>
        <w:t>6</w:t>
      </w:r>
      <w:r>
        <w:rPr>
          <w:rFonts w:hint="eastAsia" w:ascii="仿宋_GB2312" w:cs="仿宋_GB2312"/>
          <w:color w:val="auto"/>
          <w:sz w:val="32"/>
          <w:szCs w:val="32"/>
        </w:rPr>
        <w:t>分，得</w:t>
      </w:r>
      <w:r>
        <w:rPr>
          <w:rFonts w:hint="eastAsia" w:ascii="仿宋_GB2312" w:cs="仿宋_GB2312"/>
          <w:color w:val="auto"/>
          <w:sz w:val="32"/>
          <w:szCs w:val="32"/>
          <w:lang w:val="en-US" w:eastAsia="zh-CN"/>
        </w:rPr>
        <w:t>6</w:t>
      </w:r>
      <w:r>
        <w:rPr>
          <w:rFonts w:hint="eastAsia" w:ascii="仿宋_GB2312" w:cs="仿宋_GB2312"/>
          <w:color w:val="auto"/>
          <w:sz w:val="32"/>
          <w:szCs w:val="32"/>
        </w:rPr>
        <w:t>分。</w:t>
      </w:r>
    </w:p>
    <w:p>
      <w:pPr>
        <w:spacing w:line="600" w:lineRule="exact"/>
        <w:ind w:firstLine="640"/>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0"/>
        <w:rPr>
          <w:color w:val="auto"/>
        </w:rPr>
      </w:pP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资金使用重大违规违纪问题</w:t>
      </w:r>
      <w:r>
        <w:rPr>
          <w:rFonts w:hint="eastAsia" w:ascii="仿宋_GB2312" w:hAnsi="仿宋_GB2312" w:cs="仿宋_GB2312"/>
          <w:color w:val="auto"/>
          <w:sz w:val="32"/>
          <w:szCs w:val="32"/>
        </w:rPr>
        <w:t>”指标，预期指标值为“</w:t>
      </w:r>
      <w:r>
        <w:rPr>
          <w:rFonts w:hint="eastAsia" w:ascii="仿宋_GB2312" w:hAnsi="仿宋_GB2312" w:cs="仿宋_GB2312"/>
          <w:color w:val="auto"/>
          <w:sz w:val="32"/>
          <w:szCs w:val="32"/>
          <w:lang w:val="en-US" w:eastAsia="zh-CN"/>
        </w:rPr>
        <w:t>无</w:t>
      </w:r>
      <w:r>
        <w:rPr>
          <w:rFonts w:hint="eastAsia" w:ascii="仿宋_GB2312" w:hAnsi="仿宋_GB2312" w:cs="仿宋_GB2312"/>
          <w:color w:val="auto"/>
          <w:sz w:val="32"/>
          <w:szCs w:val="32"/>
        </w:rPr>
        <w:t>”，根据本单位年度考核情况，实际完成值为“</w:t>
      </w:r>
      <w:r>
        <w:rPr>
          <w:rFonts w:hint="eastAsia" w:ascii="仿宋_GB2312" w:hAnsi="仿宋_GB2312" w:cs="仿宋_GB2312"/>
          <w:color w:val="auto"/>
          <w:sz w:val="32"/>
          <w:szCs w:val="32"/>
          <w:lang w:val="en-US" w:eastAsia="zh-CN"/>
        </w:rPr>
        <w:t>无</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根据评分标准，该指标</w:t>
      </w:r>
      <w:r>
        <w:rPr>
          <w:rFonts w:hint="eastAsia" w:ascii="仿宋_GB2312" w:hAnsi="仿宋_GB2312" w:cs="仿宋_GB2312"/>
          <w:color w:val="auto"/>
          <w:sz w:val="32"/>
          <w:szCs w:val="32"/>
          <w:lang w:val="en-US" w:eastAsia="zh-CN"/>
        </w:rPr>
        <w:t>6</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6</w:t>
      </w:r>
      <w:r>
        <w:rPr>
          <w:rFonts w:hint="eastAsia" w:ascii="仿宋_GB2312" w:hAnsi="仿宋_GB2312" w:cs="仿宋_GB2312"/>
          <w:color w:val="auto"/>
          <w:sz w:val="32"/>
          <w:szCs w:val="32"/>
        </w:rPr>
        <w:t>分。</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color w:val="auto"/>
        </w:rPr>
      </w:pP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重点作物绿色高产高效项目区病虫害危害损失率（%）</w:t>
      </w:r>
      <w:r>
        <w:rPr>
          <w:rFonts w:hint="eastAsia" w:ascii="仿宋_GB2312" w:hAnsi="仿宋_GB2312" w:cs="仿宋_GB2312"/>
          <w:color w:val="auto"/>
          <w:sz w:val="32"/>
          <w:szCs w:val="32"/>
        </w:rPr>
        <w:t>”指标，预期指标值为“</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”，根据</w:t>
      </w:r>
      <w:r>
        <w:rPr>
          <w:rFonts w:hint="eastAsia" w:ascii="仿宋_GB2312" w:hAnsi="仿宋_GB2312" w:cs="仿宋_GB2312"/>
          <w:color w:val="auto"/>
          <w:sz w:val="32"/>
          <w:szCs w:val="32"/>
          <w:lang w:val="en-US" w:eastAsia="zh-CN"/>
        </w:rPr>
        <w:t>我市棉花平均单产及项目区测产结果</w:t>
      </w:r>
      <w:r>
        <w:rPr>
          <w:rFonts w:hint="eastAsia" w:ascii="仿宋_GB2312" w:hAnsi="仿宋_GB2312" w:cs="仿宋_GB2312"/>
          <w:color w:val="auto"/>
          <w:sz w:val="32"/>
          <w:szCs w:val="32"/>
        </w:rPr>
        <w:t>，实际完成值为“</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根据评分标准，该指标</w:t>
      </w:r>
      <w:r>
        <w:rPr>
          <w:rFonts w:hint="eastAsia" w:ascii="仿宋_GB2312" w:hAnsi="仿宋_GB2312" w:cs="仿宋_GB2312"/>
          <w:color w:val="auto"/>
          <w:sz w:val="32"/>
          <w:szCs w:val="32"/>
          <w:lang w:val="en-US" w:eastAsia="zh-CN"/>
        </w:rPr>
        <w:t>6</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6</w:t>
      </w:r>
      <w:r>
        <w:rPr>
          <w:rFonts w:hint="eastAsia" w:ascii="仿宋_GB2312" w:hAnsi="仿宋_GB2312" w:cs="仿宋_GB2312"/>
          <w:color w:val="auto"/>
          <w:sz w:val="32"/>
          <w:szCs w:val="32"/>
        </w:rPr>
        <w:t>分。</w:t>
      </w:r>
    </w:p>
    <w:p>
      <w:pPr>
        <w:pStyle w:val="3"/>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Style w:val="22"/>
        <w:spacing w:line="600" w:lineRule="exact"/>
        <w:ind w:firstLine="640"/>
        <w:rPr>
          <w:rFonts w:hint="eastAsia" w:ascii="仿宋_GB2312" w:hAnsi="Times New Roman" w:cs="Times New Roman"/>
          <w:color w:val="auto"/>
          <w:sz w:val="32"/>
          <w:szCs w:val="32"/>
        </w:rPr>
      </w:pPr>
      <w:bookmarkStart w:id="16" w:name="_Toc1921"/>
      <w:bookmarkStart w:id="17" w:name="_Toc28290"/>
      <w:r>
        <w:rPr>
          <w:rFonts w:hint="eastAsia" w:ascii="仿宋_GB2312" w:hAnsi="Times New Roman" w:cs="Times New Roman"/>
          <w:color w:val="auto"/>
          <w:sz w:val="32"/>
          <w:szCs w:val="32"/>
        </w:rPr>
        <w:t>“</w:t>
      </w:r>
      <w:r>
        <w:rPr>
          <w:rFonts w:hint="eastAsia" w:ascii="仿宋_GB2312" w:hAnsi="Times New Roman" w:cs="Times New Roman"/>
          <w:color w:val="auto"/>
          <w:sz w:val="32"/>
          <w:szCs w:val="32"/>
          <w:lang w:val="en-US" w:eastAsia="zh-CN"/>
        </w:rPr>
        <w:t>指导服务对象满意度（%）</w:t>
      </w:r>
      <w:r>
        <w:rPr>
          <w:rFonts w:hint="eastAsia" w:ascii="仿宋_GB2312" w:hAnsi="Times New Roman" w:cs="Times New Roman"/>
          <w:color w:val="auto"/>
          <w:sz w:val="32"/>
          <w:szCs w:val="32"/>
        </w:rPr>
        <w:t>”指标，预期指标值为“≥</w:t>
      </w:r>
      <w:r>
        <w:rPr>
          <w:rFonts w:hint="eastAsia" w:ascii="仿宋_GB2312" w:hAnsi="Times New Roman" w:cs="Times New Roman"/>
          <w:color w:val="auto"/>
          <w:sz w:val="32"/>
          <w:szCs w:val="32"/>
          <w:lang w:val="en-US" w:eastAsia="zh-CN"/>
        </w:rPr>
        <w:t>8</w:t>
      </w:r>
      <w:r>
        <w:rPr>
          <w:rFonts w:hint="eastAsia" w:ascii="仿宋_GB2312" w:hAnsi="Times New Roman" w:cs="Times New Roman"/>
          <w:color w:val="auto"/>
          <w:sz w:val="32"/>
          <w:szCs w:val="32"/>
        </w:rPr>
        <w:t>5%”，根据对</w:t>
      </w:r>
      <w:r>
        <w:rPr>
          <w:rFonts w:hint="eastAsia" w:ascii="仿宋_GB2312" w:hAnsi="Times New Roman" w:cs="Times New Roman"/>
          <w:color w:val="auto"/>
          <w:sz w:val="32"/>
          <w:szCs w:val="32"/>
          <w:lang w:val="en-US" w:eastAsia="zh-CN"/>
        </w:rPr>
        <w:t>合作社</w:t>
      </w:r>
      <w:r>
        <w:rPr>
          <w:rFonts w:hint="eastAsia" w:ascii="仿宋_GB2312" w:hAnsi="Times New Roman" w:cs="Times New Roman"/>
          <w:color w:val="auto"/>
          <w:sz w:val="32"/>
          <w:szCs w:val="32"/>
        </w:rPr>
        <w:t>进行满意度问卷调查的结果可知，</w:t>
      </w:r>
      <w:r>
        <w:rPr>
          <w:rFonts w:hint="eastAsia" w:ascii="仿宋_GB2312" w:hAnsi="Times New Roman" w:cs="Times New Roman"/>
          <w:color w:val="auto"/>
          <w:sz w:val="32"/>
          <w:szCs w:val="32"/>
          <w:lang w:val="en-US" w:eastAsia="zh-CN"/>
        </w:rPr>
        <w:t>合作社</w:t>
      </w:r>
      <w:r>
        <w:rPr>
          <w:rFonts w:hint="eastAsia" w:ascii="仿宋_GB2312" w:hAnsi="Times New Roman" w:cs="Times New Roman"/>
          <w:color w:val="auto"/>
          <w:sz w:val="32"/>
          <w:szCs w:val="32"/>
        </w:rPr>
        <w:t>满意度达</w:t>
      </w:r>
      <w:r>
        <w:rPr>
          <w:rFonts w:hint="eastAsia" w:ascii="仿宋_GB2312" w:hAnsi="Times New Roman" w:cs="Times New Roman"/>
          <w:color w:val="auto"/>
          <w:sz w:val="32"/>
          <w:szCs w:val="32"/>
          <w:lang w:val="en-US" w:eastAsia="zh-CN"/>
        </w:rPr>
        <w:t>100</w:t>
      </w:r>
      <w:r>
        <w:rPr>
          <w:rFonts w:hint="eastAsia" w:ascii="仿宋_GB2312" w:hAnsi="Times New Roman" w:cs="Times New Roman"/>
          <w:color w:val="auto"/>
          <w:sz w:val="32"/>
          <w:szCs w:val="32"/>
        </w:rPr>
        <w:t>%，根据评分标准，该指标</w:t>
      </w:r>
      <w:r>
        <w:rPr>
          <w:rFonts w:hint="eastAsia" w:ascii="仿宋_GB2312" w:hAnsi="Times New Roman" w:cs="Times New Roman"/>
          <w:color w:val="auto"/>
          <w:sz w:val="32"/>
          <w:szCs w:val="32"/>
          <w:lang w:val="en-US" w:eastAsia="zh-CN"/>
        </w:rPr>
        <w:t>10</w:t>
      </w:r>
      <w:r>
        <w:rPr>
          <w:rFonts w:hint="eastAsia" w:ascii="仿宋_GB2312" w:hAnsi="Times New Roman" w:cs="Times New Roman"/>
          <w:color w:val="auto"/>
          <w:sz w:val="32"/>
          <w:szCs w:val="32"/>
        </w:rPr>
        <w:t>分,得</w:t>
      </w:r>
      <w:r>
        <w:rPr>
          <w:rFonts w:hint="eastAsia" w:ascii="仿宋_GB2312" w:hAnsi="Times New Roman" w:cs="Times New Roman"/>
          <w:color w:val="auto"/>
          <w:sz w:val="32"/>
          <w:szCs w:val="32"/>
          <w:lang w:val="en-US" w:eastAsia="zh-CN"/>
        </w:rPr>
        <w:t>10</w:t>
      </w:r>
      <w:r>
        <w:rPr>
          <w:rFonts w:hint="eastAsia" w:ascii="仿宋_GB2312" w:hAnsi="Times New Roman" w:cs="Times New Roman"/>
          <w:color w:val="auto"/>
          <w:sz w:val="32"/>
          <w:szCs w:val="32"/>
        </w:rPr>
        <w:t>分。</w:t>
      </w:r>
    </w:p>
    <w:p>
      <w:pPr>
        <w:pStyle w:val="2"/>
        <w:spacing w:line="600" w:lineRule="exact"/>
        <w:ind w:firstLine="640"/>
        <w:rPr>
          <w:color w:val="auto"/>
          <w:szCs w:val="32"/>
        </w:rPr>
      </w:pPr>
      <w:r>
        <w:rPr>
          <w:rFonts w:hint="eastAsia"/>
          <w:color w:val="auto"/>
          <w:szCs w:val="32"/>
        </w:rPr>
        <w:t>五、预算执行进度与绩效指标偏差情况</w:t>
      </w:r>
    </w:p>
    <w:p>
      <w:pPr>
        <w:pStyle w:val="3"/>
        <w:numPr>
          <w:ilvl w:val="0"/>
          <w:numId w:val="6"/>
        </w:numPr>
        <w:spacing w:line="600" w:lineRule="exact"/>
        <w:ind w:firstLine="643"/>
        <w:rPr>
          <w:rFonts w:hint="eastAsia" w:ascii="楷体_GB2312" w:eastAsia="楷体_GB2312"/>
          <w:color w:val="auto"/>
          <w:szCs w:val="32"/>
        </w:rPr>
      </w:pPr>
      <w:r>
        <w:rPr>
          <w:rFonts w:hint="eastAsia" w:ascii="楷体_GB2312" w:eastAsia="楷体_GB2312"/>
          <w:color w:val="auto"/>
          <w:szCs w:val="32"/>
        </w:rPr>
        <w:t>预算执行进度</w:t>
      </w:r>
    </w:p>
    <w:p>
      <w:pPr>
        <w:pStyle w:val="22"/>
        <w:spacing w:line="600" w:lineRule="exact"/>
        <w:ind w:firstLine="640"/>
        <w:rPr>
          <w:rFonts w:ascii="仿宋_GB2312"/>
          <w:color w:val="auto"/>
          <w:sz w:val="32"/>
          <w:szCs w:val="32"/>
        </w:rPr>
      </w:pPr>
      <w:r>
        <w:rPr>
          <w:rFonts w:hint="eastAsia" w:ascii="仿宋_GB2312" w:hAnsi="仿宋_GB2312" w:cs="仿宋_GB2312"/>
          <w:color w:val="auto"/>
          <w:sz w:val="32"/>
          <w:szCs w:val="32"/>
          <w:lang w:val="en-US"/>
        </w:rPr>
        <w:t>沙湾市2023年绿色高产高效行动促进棉花大面积单产提升</w:t>
      </w:r>
      <w:r>
        <w:rPr>
          <w:rFonts w:hint="eastAsia" w:ascii="仿宋_GB2312"/>
          <w:color w:val="auto"/>
          <w:sz w:val="32"/>
          <w:szCs w:val="32"/>
        </w:rPr>
        <w:t>项目预算金额</w:t>
      </w:r>
      <w:r>
        <w:rPr>
          <w:rFonts w:hint="eastAsia" w:ascii="仿宋_GB2312"/>
          <w:color w:val="auto"/>
          <w:sz w:val="32"/>
          <w:szCs w:val="32"/>
          <w:lang w:val="en-US" w:eastAsia="zh-CN"/>
        </w:rPr>
        <w:t>400</w:t>
      </w:r>
      <w:r>
        <w:rPr>
          <w:rFonts w:hint="eastAsia" w:ascii="仿宋_GB2312"/>
          <w:color w:val="auto"/>
          <w:sz w:val="32"/>
          <w:szCs w:val="32"/>
        </w:rPr>
        <w:t>万元，实际到位</w:t>
      </w:r>
      <w:r>
        <w:rPr>
          <w:rFonts w:hint="eastAsia" w:ascii="仿宋_GB2312"/>
          <w:color w:val="auto"/>
          <w:sz w:val="32"/>
          <w:szCs w:val="32"/>
          <w:lang w:val="en-US" w:eastAsia="zh-CN"/>
        </w:rPr>
        <w:t>400</w:t>
      </w:r>
      <w:r>
        <w:rPr>
          <w:rFonts w:hint="eastAsia" w:ascii="仿宋_GB2312"/>
          <w:color w:val="auto"/>
          <w:sz w:val="32"/>
          <w:szCs w:val="32"/>
        </w:rPr>
        <w:t>万元，</w:t>
      </w:r>
      <w:r>
        <w:rPr>
          <w:rFonts w:hint="eastAsia" w:ascii="仿宋_GB2312"/>
          <w:color w:val="auto"/>
          <w:sz w:val="32"/>
          <w:szCs w:val="32"/>
          <w:lang w:val="en-US" w:eastAsia="zh-CN"/>
        </w:rPr>
        <w:t>全年项目</w:t>
      </w:r>
      <w:r>
        <w:rPr>
          <w:rFonts w:hint="eastAsia" w:ascii="仿宋_GB2312"/>
          <w:color w:val="auto"/>
          <w:sz w:val="32"/>
          <w:szCs w:val="32"/>
        </w:rPr>
        <w:t>实际支出</w:t>
      </w:r>
      <w:r>
        <w:rPr>
          <w:rFonts w:hint="eastAsia" w:ascii="仿宋_GB2312"/>
          <w:color w:val="auto"/>
          <w:sz w:val="32"/>
          <w:szCs w:val="32"/>
          <w:lang w:val="en-US" w:eastAsia="zh-CN"/>
        </w:rPr>
        <w:t>400</w:t>
      </w:r>
      <w:r>
        <w:rPr>
          <w:rFonts w:hint="eastAsia" w:ascii="仿宋_GB2312"/>
          <w:color w:val="auto"/>
          <w:sz w:val="32"/>
          <w:szCs w:val="32"/>
        </w:rPr>
        <w:t>万元，预算执行率为</w:t>
      </w:r>
      <w:r>
        <w:rPr>
          <w:rFonts w:hint="eastAsia" w:ascii="仿宋_GB2312"/>
          <w:color w:val="auto"/>
          <w:sz w:val="32"/>
          <w:szCs w:val="32"/>
          <w:lang w:val="en-US" w:eastAsia="zh-CN"/>
        </w:rPr>
        <w:t>100</w:t>
      </w:r>
      <w:r>
        <w:rPr>
          <w:rFonts w:hint="eastAsia" w:ascii="仿宋_GB2312"/>
          <w:color w:val="auto"/>
          <w:sz w:val="32"/>
          <w:szCs w:val="32"/>
        </w:rPr>
        <w:t>%。</w:t>
      </w:r>
    </w:p>
    <w:p>
      <w:pPr>
        <w:pStyle w:val="3"/>
        <w:numPr>
          <w:ilvl w:val="0"/>
          <w:numId w:val="6"/>
        </w:numPr>
        <w:spacing w:line="600" w:lineRule="exact"/>
        <w:ind w:firstLine="643"/>
        <w:rPr>
          <w:rFonts w:ascii="楷体_GB2312" w:eastAsia="楷体_GB2312"/>
          <w:color w:val="auto"/>
          <w:szCs w:val="32"/>
        </w:rPr>
      </w:pPr>
      <w:r>
        <w:rPr>
          <w:rFonts w:hint="eastAsia" w:ascii="楷体_GB2312" w:eastAsia="楷体_GB2312"/>
          <w:color w:val="auto"/>
          <w:szCs w:val="32"/>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hAnsi="仿宋_GB2312" w:cs="仿宋_GB2312"/>
          <w:color w:val="auto"/>
          <w:sz w:val="32"/>
          <w:szCs w:val="32"/>
          <w:lang w:val="en-US"/>
        </w:rPr>
        <w:t>沙湾市2023年绿色高产高效行动促进棉花大面积单产提升</w:t>
      </w:r>
      <w:r>
        <w:rPr>
          <w:rFonts w:hint="eastAsia" w:ascii="仿宋_GB2312"/>
          <w:color w:val="auto"/>
          <w:sz w:val="32"/>
          <w:szCs w:val="32"/>
        </w:rPr>
        <w:t>项目的绩效目标及指标已经全部达成，不存在偏差情况。</w:t>
      </w:r>
      <w:bookmarkEnd w:id="16"/>
      <w:bookmarkEnd w:id="17"/>
    </w:p>
    <w:p>
      <w:pPr>
        <w:pStyle w:val="2"/>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pPr>
        <w:spacing w:line="600" w:lineRule="exact"/>
        <w:ind w:firstLine="640"/>
        <w:rPr>
          <w:rFonts w:hint="eastAsia" w:ascii="仿宋_GB2312" w:hAnsi="Times New Roman" w:cs="Times New Roman"/>
          <w:b/>
          <w:bCs/>
          <w:color w:val="auto"/>
          <w:sz w:val="32"/>
          <w:szCs w:val="32"/>
          <w:lang w:val="en-US" w:eastAsia="zh-CN"/>
        </w:rPr>
      </w:pPr>
      <w:bookmarkStart w:id="18" w:name="_Toc68364674"/>
      <w:r>
        <w:rPr>
          <w:rFonts w:hint="eastAsia" w:ascii="仿宋_GB2312" w:hAnsi="Times New Roman" w:cs="Times New Roman"/>
          <w:b/>
          <w:bCs/>
          <w:color w:val="auto"/>
          <w:sz w:val="32"/>
          <w:szCs w:val="32"/>
          <w:lang w:val="en-US" w:eastAsia="zh-CN"/>
        </w:rPr>
        <w:t>1、组织领导</w:t>
      </w:r>
    </w:p>
    <w:p>
      <w:pPr>
        <w:spacing w:line="600" w:lineRule="exact"/>
        <w:ind w:firstLine="640"/>
        <w:rPr>
          <w:rFonts w:hint="default" w:ascii="仿宋_GB2312" w:hAnsi="Times New Roman" w:cs="Times New Roman"/>
          <w:color w:val="auto"/>
          <w:sz w:val="32"/>
          <w:szCs w:val="32"/>
          <w:lang w:val="en-US" w:eastAsia="zh-CN"/>
        </w:rPr>
      </w:pPr>
      <w:r>
        <w:rPr>
          <w:rFonts w:hint="eastAsia" w:ascii="仿宋_GB2312" w:hAnsi="Times New Roman" w:cs="Times New Roman"/>
          <w:color w:val="auto"/>
          <w:sz w:val="32"/>
          <w:szCs w:val="32"/>
        </w:rPr>
        <w:t>为了能够确保完成《</w:t>
      </w:r>
      <w:r>
        <w:rPr>
          <w:rFonts w:hint="eastAsia" w:ascii="仿宋_GB2312" w:hAnsi="Times New Roman" w:cs="Times New Roman"/>
          <w:color w:val="auto"/>
          <w:sz w:val="32"/>
          <w:szCs w:val="32"/>
          <w:lang w:val="en-US" w:eastAsia="zh-CN"/>
        </w:rPr>
        <w:t>2023年沙湾市绿色高产高效行动促进棉花大面积单产提升实施方案》</w:t>
      </w:r>
      <w:r>
        <w:rPr>
          <w:rFonts w:hint="eastAsia" w:ascii="仿宋_GB2312" w:hAnsi="Times New Roman" w:cs="Times New Roman"/>
          <w:color w:val="auto"/>
          <w:sz w:val="32"/>
          <w:szCs w:val="32"/>
        </w:rPr>
        <w:t>所制定的各项工作任务,分别成立以</w:t>
      </w:r>
      <w:r>
        <w:rPr>
          <w:rFonts w:hint="eastAsia" w:ascii="仿宋_GB2312" w:hAnsi="Times New Roman" w:cs="Times New Roman"/>
          <w:color w:val="auto"/>
          <w:sz w:val="32"/>
          <w:szCs w:val="32"/>
          <w:lang w:val="en-US" w:eastAsia="zh-CN"/>
        </w:rPr>
        <w:t>农业农村局书记、局长刘保平同志</w:t>
      </w:r>
      <w:r>
        <w:rPr>
          <w:rFonts w:hint="eastAsia" w:ascii="仿宋_GB2312" w:hAnsi="Times New Roman" w:cs="Times New Roman"/>
          <w:color w:val="auto"/>
          <w:sz w:val="32"/>
          <w:szCs w:val="32"/>
        </w:rPr>
        <w:t>为组长的项目实施</w:t>
      </w:r>
      <w:r>
        <w:rPr>
          <w:rFonts w:hint="eastAsia" w:ascii="仿宋_GB2312" w:hAnsi="Times New Roman" w:cs="Times New Roman"/>
          <w:color w:val="auto"/>
          <w:sz w:val="32"/>
          <w:szCs w:val="32"/>
          <w:lang w:val="en-US" w:eastAsia="zh-CN"/>
        </w:rPr>
        <w:t>工作</w:t>
      </w:r>
      <w:r>
        <w:rPr>
          <w:rFonts w:hint="eastAsia" w:ascii="仿宋_GB2312" w:hAnsi="Times New Roman" w:cs="Times New Roman"/>
          <w:color w:val="auto"/>
          <w:sz w:val="32"/>
          <w:szCs w:val="32"/>
        </w:rPr>
        <w:t>小组和以</w:t>
      </w:r>
      <w:r>
        <w:rPr>
          <w:rFonts w:hint="eastAsia" w:ascii="仿宋_GB2312" w:hAnsi="Times New Roman" w:cs="Times New Roman"/>
          <w:color w:val="auto"/>
          <w:sz w:val="32"/>
          <w:szCs w:val="32"/>
          <w:lang w:val="en-US" w:eastAsia="zh-CN"/>
        </w:rPr>
        <w:t>新疆农科院经作所研究员李雪源同志</w:t>
      </w:r>
      <w:r>
        <w:rPr>
          <w:rFonts w:hint="eastAsia" w:ascii="仿宋_GB2312" w:hAnsi="Times New Roman" w:cs="Times New Roman"/>
          <w:color w:val="auto"/>
          <w:sz w:val="32"/>
          <w:szCs w:val="32"/>
        </w:rPr>
        <w:t>为组长的技术指导</w:t>
      </w:r>
      <w:r>
        <w:rPr>
          <w:rFonts w:hint="eastAsia" w:ascii="仿宋_GB2312" w:hAnsi="Times New Roman" w:cs="Times New Roman"/>
          <w:color w:val="auto"/>
          <w:sz w:val="32"/>
          <w:szCs w:val="32"/>
          <w:lang w:val="en-US" w:eastAsia="zh-CN"/>
        </w:rPr>
        <w:t>服务</w:t>
      </w:r>
      <w:r>
        <w:rPr>
          <w:rFonts w:hint="eastAsia" w:ascii="仿宋_GB2312" w:hAnsi="Times New Roman" w:cs="Times New Roman"/>
          <w:color w:val="auto"/>
          <w:sz w:val="32"/>
          <w:szCs w:val="32"/>
        </w:rPr>
        <w:t>组,负责</w:t>
      </w:r>
      <w:r>
        <w:rPr>
          <w:rFonts w:hint="eastAsia" w:ascii="仿宋_GB2312" w:hAnsi="Times New Roman" w:cs="Times New Roman"/>
          <w:color w:val="auto"/>
          <w:sz w:val="32"/>
          <w:szCs w:val="32"/>
          <w:lang w:val="en-US" w:eastAsia="zh-CN"/>
        </w:rPr>
        <w:t>沙湾市绿色高产高效行动促进棉花大面积单产提升项目</w:t>
      </w:r>
      <w:r>
        <w:rPr>
          <w:rFonts w:hint="eastAsia" w:ascii="仿宋_GB2312" w:hAnsi="Times New Roman" w:cs="Times New Roman"/>
          <w:color w:val="auto"/>
          <w:sz w:val="32"/>
          <w:szCs w:val="32"/>
        </w:rPr>
        <w:t>各项工作,以确保项目各项工作能够得以顺利实施和落实</w:t>
      </w:r>
      <w:r>
        <w:rPr>
          <w:rFonts w:hint="eastAsia" w:ascii="仿宋_GB2312" w:hAnsi="Times New Roman" w:cs="Times New Roman"/>
          <w:color w:val="auto"/>
          <w:sz w:val="32"/>
          <w:szCs w:val="32"/>
          <w:lang w:eastAsia="zh-CN"/>
        </w:rPr>
        <w:t>。</w:t>
      </w:r>
    </w:p>
    <w:p>
      <w:pPr>
        <w:spacing w:line="600" w:lineRule="exact"/>
        <w:rPr>
          <w:rFonts w:hint="default" w:ascii="仿宋_GB2312" w:hAnsi="Times New Roman" w:cs="Times New Roman"/>
          <w:b/>
          <w:bCs/>
          <w:color w:val="auto"/>
          <w:sz w:val="32"/>
          <w:szCs w:val="32"/>
          <w:lang w:val="en-US" w:eastAsia="zh-CN"/>
        </w:rPr>
      </w:pPr>
      <w:r>
        <w:rPr>
          <w:rFonts w:hint="eastAsia" w:ascii="仿宋_GB2312" w:hAnsi="Times New Roman" w:cs="Times New Roman"/>
          <w:b/>
          <w:bCs/>
          <w:color w:val="auto"/>
          <w:sz w:val="32"/>
          <w:szCs w:val="32"/>
          <w:lang w:val="en-US" w:eastAsia="zh-CN"/>
        </w:rPr>
        <w:t>2、</w:t>
      </w:r>
      <w:r>
        <w:rPr>
          <w:rFonts w:hint="default" w:ascii="仿宋_GB2312" w:hAnsi="Times New Roman" w:cs="Times New Roman"/>
          <w:b/>
          <w:bCs/>
          <w:color w:val="auto"/>
          <w:sz w:val="32"/>
          <w:szCs w:val="32"/>
          <w:lang w:val="en-US" w:eastAsia="zh-CN"/>
        </w:rPr>
        <w:t>技术服务</w:t>
      </w:r>
    </w:p>
    <w:p>
      <w:pPr>
        <w:spacing w:line="600" w:lineRule="exact"/>
        <w:ind w:firstLine="640"/>
        <w:rPr>
          <w:rFonts w:hint="default" w:ascii="仿宋_GB2312" w:hAnsi="Times New Roman" w:cs="Times New Roman"/>
          <w:color w:val="auto"/>
          <w:sz w:val="32"/>
          <w:szCs w:val="32"/>
          <w:lang w:val="en-US" w:eastAsia="zh-CN"/>
        </w:rPr>
      </w:pPr>
      <w:r>
        <w:rPr>
          <w:rFonts w:hint="eastAsia" w:ascii="仿宋_GB2312" w:hAnsi="Times New Roman" w:cs="Times New Roman"/>
          <w:color w:val="auto"/>
          <w:sz w:val="32"/>
          <w:szCs w:val="32"/>
          <w:lang w:val="en-US" w:eastAsia="zh-CN"/>
        </w:rPr>
        <w:t>成立了技术服务专家团队，并制定棉花超宽膜种植技术规程，推广落实超宽膜棉花种植8万亩以上，积极动员大泉乡双泉农民专业合作社、金沟河镇文平合作社、沙湾市仟朵农业专业合作社联合社等农民专业合作社参与棉花绿色高产高效行动。</w:t>
      </w:r>
    </w:p>
    <w:p>
      <w:pPr>
        <w:spacing w:line="600" w:lineRule="exact"/>
        <w:ind w:firstLine="640"/>
        <w:rPr>
          <w:rFonts w:hint="default" w:ascii="仿宋_GB2312" w:hAnsi="Times New Roman" w:cs="Times New Roman"/>
          <w:b/>
          <w:bCs/>
          <w:color w:val="auto"/>
          <w:sz w:val="32"/>
          <w:szCs w:val="32"/>
          <w:lang w:val="en-US" w:eastAsia="zh-CN"/>
        </w:rPr>
      </w:pPr>
      <w:r>
        <w:rPr>
          <w:rFonts w:hint="eastAsia" w:ascii="仿宋_GB2312" w:hAnsi="Times New Roman" w:cs="Times New Roman"/>
          <w:b/>
          <w:bCs/>
          <w:color w:val="auto"/>
          <w:sz w:val="32"/>
          <w:szCs w:val="32"/>
          <w:lang w:val="en-US" w:eastAsia="zh-CN"/>
        </w:rPr>
        <w:t>3、</w:t>
      </w:r>
      <w:r>
        <w:rPr>
          <w:rFonts w:hint="default" w:ascii="仿宋_GB2312" w:hAnsi="Times New Roman" w:cs="Times New Roman"/>
          <w:b/>
          <w:bCs/>
          <w:color w:val="auto"/>
          <w:sz w:val="32"/>
          <w:szCs w:val="32"/>
          <w:lang w:val="en-US" w:eastAsia="zh-CN"/>
        </w:rPr>
        <w:t>资金监管</w:t>
      </w:r>
    </w:p>
    <w:p>
      <w:pPr>
        <w:spacing w:line="600" w:lineRule="exact"/>
        <w:ind w:firstLine="640"/>
        <w:rPr>
          <w:rFonts w:hint="default" w:ascii="仿宋_GB2312" w:hAnsi="Times New Roman" w:cs="Times New Roman"/>
          <w:color w:val="auto"/>
          <w:sz w:val="32"/>
          <w:szCs w:val="32"/>
          <w:lang w:val="en-US" w:eastAsia="zh-CN"/>
        </w:rPr>
      </w:pPr>
      <w:r>
        <w:rPr>
          <w:rFonts w:hint="default" w:ascii="仿宋_GB2312" w:hAnsi="Times New Roman" w:cs="Times New Roman"/>
          <w:color w:val="auto"/>
          <w:sz w:val="32"/>
          <w:szCs w:val="32"/>
          <w:lang w:val="en-US" w:eastAsia="zh-CN"/>
        </w:rPr>
        <w:t>2023年沙湾市绿色高产高效行动促进棉花大面积单产提升项目中项目资金的使用严格按照项目实施方案的要求由项目工作领导小组统一负责，各项投入品采购严格按照财政局物品采购招投标管理办法实施，每项资金使用、支出都要上沙湾市农业农村局党委财经领导小组会议审批后方可实施和支出。</w:t>
      </w:r>
    </w:p>
    <w:p>
      <w:pPr>
        <w:spacing w:line="600" w:lineRule="exact"/>
        <w:rPr>
          <w:rFonts w:hint="default" w:ascii="仿宋_GB2312" w:hAnsi="Times New Roman" w:cs="Times New Roman"/>
          <w:b/>
          <w:bCs/>
          <w:color w:val="auto"/>
          <w:sz w:val="32"/>
          <w:szCs w:val="32"/>
          <w:lang w:val="en-US" w:eastAsia="zh-CN"/>
        </w:rPr>
      </w:pPr>
      <w:r>
        <w:rPr>
          <w:rFonts w:hint="eastAsia" w:ascii="仿宋_GB2312" w:hAnsi="Times New Roman" w:cs="Times New Roman"/>
          <w:b/>
          <w:bCs/>
          <w:color w:val="auto"/>
          <w:sz w:val="32"/>
          <w:szCs w:val="32"/>
          <w:lang w:val="en-US" w:eastAsia="zh-CN"/>
        </w:rPr>
        <w:t>4、</w:t>
      </w:r>
      <w:r>
        <w:rPr>
          <w:rFonts w:hint="default" w:ascii="仿宋_GB2312" w:hAnsi="Times New Roman" w:cs="Times New Roman"/>
          <w:b/>
          <w:bCs/>
          <w:color w:val="auto"/>
          <w:sz w:val="32"/>
          <w:szCs w:val="32"/>
          <w:lang w:val="en-US" w:eastAsia="zh-CN"/>
        </w:rPr>
        <w:t>样板打造</w:t>
      </w:r>
    </w:p>
    <w:p>
      <w:pPr>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Times New Roman" w:cs="Times New Roman"/>
          <w:color w:val="auto"/>
          <w:sz w:val="32"/>
          <w:szCs w:val="32"/>
          <w:lang w:val="en-US" w:eastAsia="zh-CN"/>
        </w:rPr>
        <w:t>围绕集成推广超宽膜机采棉种植新模式，打造“百亩田”、“千亩方”、“万亩片”。</w:t>
      </w:r>
      <w:r>
        <w:rPr>
          <w:rFonts w:hint="eastAsia" w:ascii="仿宋_GB2312" w:hAnsi="Times New Roman" w:cs="Times New Roman"/>
          <w:color w:val="auto"/>
          <w:sz w:val="32"/>
          <w:szCs w:val="32"/>
        </w:rPr>
        <w:t>以棉花物联网技术应用为重点，推行统一种植品种、统一肥水管理、统一病虫防控、统一技术指导、统一机械作业，探索应用“互联网＋”现代农业技术</w:t>
      </w:r>
      <w:r>
        <w:rPr>
          <w:rFonts w:hint="eastAsia" w:ascii="仿宋_GB2312" w:hAnsi="Times New Roman" w:cs="Times New Roman"/>
          <w:color w:val="auto"/>
          <w:sz w:val="32"/>
          <w:szCs w:val="32"/>
          <w:lang w:eastAsia="zh-CN"/>
        </w:rPr>
        <w:t>，</w:t>
      </w:r>
      <w:r>
        <w:rPr>
          <w:rFonts w:hint="eastAsia" w:ascii="仿宋_GB2312" w:hAnsi="Times New Roman" w:cs="Times New Roman"/>
          <w:color w:val="auto"/>
          <w:sz w:val="32"/>
          <w:szCs w:val="32"/>
          <w:lang w:val="en-US" w:eastAsia="zh-CN"/>
        </w:rPr>
        <w:t>开展小面积高产攻关和大面积示范推广，建立百亩田5个，籽棉单产达510千克以上，亩产皮棉210千克以上；建立千亩方6个，在金沟河镇</w:t>
      </w:r>
      <w:r>
        <w:rPr>
          <w:rFonts w:hint="eastAsia" w:ascii="仿宋_GB2312" w:hAnsi="Times New Roman" w:cs="Times New Roman"/>
          <w:color w:val="auto"/>
          <w:sz w:val="32"/>
          <w:szCs w:val="32"/>
        </w:rPr>
        <w:t>良种场</w:t>
      </w:r>
      <w:r>
        <w:rPr>
          <w:rFonts w:hint="eastAsia" w:ascii="仿宋_GB2312" w:hAnsi="Times New Roman" w:cs="Times New Roman"/>
          <w:color w:val="auto"/>
          <w:sz w:val="32"/>
          <w:szCs w:val="32"/>
          <w:lang w:eastAsia="zh-CN"/>
        </w:rPr>
        <w:t>文平农业专业合作社、</w:t>
      </w:r>
      <w:r>
        <w:rPr>
          <w:rFonts w:hint="eastAsia" w:ascii="仿宋_GB2312" w:hAnsi="Times New Roman" w:cs="Times New Roman"/>
          <w:color w:val="auto"/>
          <w:sz w:val="32"/>
          <w:szCs w:val="32"/>
          <w:lang w:val="en-US" w:eastAsia="zh-CN"/>
        </w:rPr>
        <w:t>大泉乡双泉农民专业合作社、小拐农业开发区天忠农业专业合作社、沙湾市宏基农机服务专业合作社、四道河子镇春旺农民种植专业合作社、老沙湾镇鑫融达农民专业合作社，籽棉单产达485千克以上，亩产皮棉200千克以上；建立2个万亩片，在小拐农业开发区天忠农业专业合作社、四道河子镇众兴合力种植农民专业合作社，籽棉单产达450千克以上，亩产皮棉180千克以上。</w:t>
      </w:r>
    </w:p>
    <w:p>
      <w:pPr>
        <w:spacing w:line="600" w:lineRule="exact"/>
        <w:ind w:firstLine="640"/>
        <w:rPr>
          <w:rFonts w:hint="default" w:ascii="仿宋_GB2312" w:hAnsi="Times New Roman" w:cs="Times New Roman"/>
          <w:b/>
          <w:bCs/>
          <w:color w:val="auto"/>
          <w:sz w:val="32"/>
          <w:szCs w:val="32"/>
          <w:lang w:val="en-US" w:eastAsia="zh-CN"/>
        </w:rPr>
      </w:pPr>
      <w:r>
        <w:rPr>
          <w:rFonts w:hint="eastAsia" w:ascii="仿宋_GB2312" w:hAnsi="Times New Roman" w:cs="Times New Roman"/>
          <w:b/>
          <w:bCs/>
          <w:color w:val="auto"/>
          <w:sz w:val="32"/>
          <w:szCs w:val="32"/>
          <w:lang w:val="en-US" w:eastAsia="zh-CN"/>
        </w:rPr>
        <w:t>5、</w:t>
      </w:r>
      <w:r>
        <w:rPr>
          <w:rFonts w:hint="default" w:ascii="仿宋_GB2312" w:hAnsi="Times New Roman" w:cs="Times New Roman"/>
          <w:b/>
          <w:bCs/>
          <w:color w:val="auto"/>
          <w:sz w:val="32"/>
          <w:szCs w:val="32"/>
          <w:lang w:val="en-US" w:eastAsia="zh-CN"/>
        </w:rPr>
        <w:t>宣传发动</w:t>
      </w:r>
    </w:p>
    <w:p>
      <w:pPr>
        <w:spacing w:line="600" w:lineRule="exact"/>
        <w:ind w:firstLine="640"/>
        <w:rPr>
          <w:rFonts w:hint="eastAsia" w:ascii="仿宋_GB2312" w:hAnsi="仿宋_GB2312" w:eastAsia="仿宋_GB2312" w:cs="仿宋_GB2312"/>
          <w:color w:val="auto"/>
          <w:kern w:val="2"/>
          <w:sz w:val="32"/>
          <w:szCs w:val="32"/>
          <w:lang w:val="en-US" w:eastAsia="zh-CN" w:bidi="ar-SA"/>
        </w:rPr>
      </w:pPr>
      <w:r>
        <w:rPr>
          <w:rFonts w:hint="default" w:ascii="仿宋_GB2312" w:hAnsi="Times New Roman" w:cs="Times New Roman"/>
          <w:color w:val="auto"/>
          <w:sz w:val="32"/>
          <w:szCs w:val="32"/>
          <w:lang w:val="en-US" w:eastAsia="zh-CN"/>
        </w:rPr>
        <w:t>依托自治区现代农业产业技术体系</w:t>
      </w:r>
      <w:r>
        <w:rPr>
          <w:rFonts w:hint="eastAsia" w:ascii="仿宋_GB2312" w:hAnsi="Times New Roman" w:cs="Times New Roman"/>
          <w:color w:val="auto"/>
          <w:sz w:val="32"/>
          <w:szCs w:val="32"/>
          <w:lang w:val="en-US" w:eastAsia="zh-CN"/>
        </w:rPr>
        <w:t>，自治区、地区</w:t>
      </w:r>
      <w:r>
        <w:rPr>
          <w:rFonts w:hint="default" w:ascii="仿宋_GB2312" w:hAnsi="Times New Roman" w:cs="Times New Roman"/>
          <w:color w:val="auto"/>
          <w:sz w:val="32"/>
          <w:szCs w:val="32"/>
          <w:lang w:val="en-US" w:eastAsia="zh-CN"/>
        </w:rPr>
        <w:t>棉花高质量发展包联技术服务指导组专家</w:t>
      </w:r>
      <w:r>
        <w:rPr>
          <w:rFonts w:hint="eastAsia" w:ascii="仿宋_GB2312" w:hAnsi="Times New Roman" w:cs="Times New Roman"/>
          <w:color w:val="auto"/>
          <w:sz w:val="32"/>
          <w:szCs w:val="32"/>
          <w:lang w:val="en-US" w:eastAsia="zh-CN"/>
        </w:rPr>
        <w:t>团队和沙湾市农业技术推广中心相关技术人员组成沙湾市绿色高产高效行动项目技术指导服务组，负责沙湾市棉花绿色高产高效行动项目技术方案的制定和各项技术的落实，全程参与绿色高质高效行动，督促抓好项目监督和技术落实。同时，聘请自治区、高校专家开展技术培训，组织种植户实地观摩交流，大力宣传超宽膜机采棉种植新模式，适时对绿色防控示范基地棉花进行测产验收，筛选品种，总结经验做法，制作宣传专题片，为绿色高质高效行动有效实施提供坚实保障。</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pPr>
        <w:pStyle w:val="22"/>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绩效预算认识不够充分，绩效理念有待进一步强化</w:t>
      </w:r>
      <w:r>
        <w:rPr>
          <w:rFonts w:hint="eastAsia" w:ascii="仿宋_GB2312" w:hAnsi="仿宋_GB2312" w:cs="仿宋_GB2312"/>
          <w:b/>
          <w:bCs/>
          <w:color w:val="auto"/>
          <w:sz w:val="32"/>
          <w:szCs w:val="32"/>
          <w:lang w:eastAsia="zh-CN"/>
        </w:rPr>
        <w:t>。</w:t>
      </w: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
        <w:spacing w:line="600" w:lineRule="exact"/>
        <w:ind w:firstLine="640"/>
        <w:rPr>
          <w:color w:val="auto"/>
          <w:szCs w:val="32"/>
        </w:rPr>
      </w:pPr>
      <w:r>
        <w:rPr>
          <w:rFonts w:hint="eastAsia"/>
          <w:color w:val="auto"/>
          <w:szCs w:val="32"/>
        </w:rPr>
        <w:t>七、有关建议</w:t>
      </w:r>
    </w:p>
    <w:p>
      <w:pPr>
        <w:pStyle w:val="22"/>
        <w:spacing w:line="600" w:lineRule="exact"/>
        <w:ind w:firstLine="643"/>
        <w:rPr>
          <w:rFonts w:ascii="仿宋_GB2312"/>
          <w:b/>
          <w:bCs/>
          <w:color w:val="auto"/>
          <w:sz w:val="32"/>
          <w:szCs w:val="32"/>
        </w:rPr>
      </w:pPr>
      <w:r>
        <w:rPr>
          <w:rFonts w:hint="eastAsia" w:ascii="仿宋_GB2312"/>
          <w:b/>
          <w:bCs/>
          <w:color w:val="auto"/>
          <w:sz w:val="32"/>
          <w:szCs w:val="32"/>
        </w:rPr>
        <w:t>1.加强培训，提高相关人员工作水平</w:t>
      </w:r>
    </w:p>
    <w:p>
      <w:pPr>
        <w:pStyle w:val="22"/>
        <w:spacing w:line="600" w:lineRule="exact"/>
        <w:ind w:firstLine="640"/>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
        <w:spacing w:line="600" w:lineRule="exact"/>
        <w:ind w:firstLine="640"/>
        <w:rPr>
          <w:color w:val="auto"/>
          <w:szCs w:val="32"/>
        </w:rPr>
      </w:pPr>
      <w:r>
        <w:rPr>
          <w:rFonts w:hint="eastAsia"/>
          <w:color w:val="auto"/>
          <w:szCs w:val="32"/>
        </w:rPr>
        <w:t>八、其他需要说明的问题</w:t>
      </w:r>
    </w:p>
    <w:p>
      <w:pPr>
        <w:pStyle w:val="22"/>
        <w:spacing w:line="600" w:lineRule="exact"/>
        <w:ind w:firstLine="624"/>
        <w:rPr>
          <w:rFonts w:hint="eastAsia" w:ascii="仿宋_GB2312" w:eastAsia="仿宋_GB2312"/>
          <w:color w:val="auto"/>
          <w:sz w:val="32"/>
          <w:szCs w:val="32"/>
          <w:lang w:eastAsia="zh-CN"/>
        </w:rPr>
      </w:pPr>
      <w:r>
        <w:rPr>
          <w:rFonts w:hint="eastAsia"/>
          <w:color w:val="auto"/>
          <w:spacing w:val="-4"/>
          <w:sz w:val="32"/>
          <w:szCs w:val="32"/>
        </w:rPr>
        <w:t>无其他说明内容</w:t>
      </w:r>
      <w:r>
        <w:rPr>
          <w:rFonts w:hint="eastAsia"/>
          <w:color w:val="auto"/>
          <w:spacing w:val="-4"/>
          <w:sz w:val="32"/>
          <w:szCs w:val="32"/>
          <w:lang w:eastAsia="zh-CN"/>
        </w:rPr>
        <w:t>。</w:t>
      </w:r>
    </w:p>
    <w:bookmarkEnd w:id="19"/>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240" name="文本框 2"/>
              <wp:cNvGraphicFramePr/>
              <a:graphic xmlns:a="http://schemas.openxmlformats.org/drawingml/2006/main">
                <a:graphicData uri="http://schemas.microsoft.com/office/word/2010/wordprocessingShape">
                  <wps:wsp>
                    <wps:cNvSpPr/>
                    <wps:spPr>
                      <a:xfrm>
                        <a:off x="0" y="0"/>
                        <a:ext cx="553085" cy="355600"/>
                      </a:xfrm>
                      <a:prstGeom prst="rect">
                        <a:avLst/>
                      </a:prstGeom>
                      <a:noFill/>
                      <a:ln>
                        <a:noFill/>
                      </a:ln>
                    </wps:spPr>
                    <wps:txbx>
                      <w:txbxContent>
                        <w:p>
                          <w:pPr>
                            <w:pStyle w:val="7"/>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rot="0" spcFirstLastPara="0" vertOverflow="overflow" horzOverflow="overflow" vert="horz" wrap="square" lIns="0" tIns="0" rIns="0" bIns="0" numCol="1" anchor="t" upright="1">
                      <a:spAutoFit/>
                    </wps:bodyPr>
                  </wps:wsp>
                </a:graphicData>
              </a:graphic>
            </wp:anchor>
          </w:drawing>
        </mc:Choice>
        <mc:Fallback>
          <w:pict>
            <v:rect id="文本框 2" o:spid="_x0000_s1026" o:spt="1"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5m/CdQAAAADAQAADwAAAAAAAAABACAAAAAiAAAAZHJzL2Rv&#10;d25yZXYueG1sUEsBAhQAFAAAAAgAh07iQNFxUpYFAgAAAAQAAA4AAAAAAAAAAQAgAAAAIwEAAGRy&#10;cy9lMm9Eb2MueG1sUEsFBgAAAAAGAAYAWQEAAJoFAAAAAA==&#10;">
              <v:fill on="f" focussize="0,0"/>
              <v:stroke on="f"/>
              <v:imagedata o:title=""/>
              <o:lock v:ext="edit" aspectratio="f"/>
              <v:textbox inset="0mm,0mm,0mm,0mm" style="mso-fit-shape-to-text:t;">
                <w:txbxContent>
                  <w:p>
                    <w:pPr>
                      <w:pStyle w:val="7"/>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rect>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3"/>
      <w:numFmt w:val="chineseCounting"/>
      <w:suff w:val="nothing"/>
      <w:lvlText w:val="%1、"/>
      <w:lvlJc w:val="left"/>
      <w:rPr>
        <w:rFonts w:hint="eastAsia"/>
      </w:rPr>
    </w:lvl>
  </w:abstractNum>
  <w:abstractNum w:abstractNumId="1">
    <w:nsid w:val="BF205925"/>
    <w:multiLevelType w:val="singleLevel"/>
    <w:tmpl w:val="BF205925"/>
    <w:lvl w:ilvl="0" w:tentative="0">
      <w:start w:val="1"/>
      <w:numFmt w:val="chineseCounting"/>
      <w:suff w:val="nothing"/>
      <w:lvlText w:val="（%1）"/>
      <w:lvlJc w:val="left"/>
      <w:pPr>
        <w:ind w:left="0" w:firstLine="420"/>
      </w:pPr>
      <w:rPr>
        <w:rFonts w:hint="eastAsia"/>
      </w:rPr>
    </w:lvl>
  </w:abstractNum>
  <w:abstractNum w:abstractNumId="2">
    <w:nsid w:val="CF092B84"/>
    <w:multiLevelType w:val="singleLevel"/>
    <w:tmpl w:val="CF092B84"/>
    <w:lvl w:ilvl="0" w:tentative="0">
      <w:start w:val="2"/>
      <w:numFmt w:val="chineseCounting"/>
      <w:suff w:val="nothing"/>
      <w:lvlText w:val="（%1）"/>
      <w:lvlJc w:val="left"/>
      <w:rPr>
        <w:rFonts w:hint="eastAsia"/>
      </w:rPr>
    </w:lvl>
  </w:abstractNum>
  <w:abstractNum w:abstractNumId="3">
    <w:nsid w:val="0053208E"/>
    <w:multiLevelType w:val="multilevel"/>
    <w:tmpl w:val="0053208E"/>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D62ECE"/>
    <w:multiLevelType w:val="singleLevel"/>
    <w:tmpl w:val="03D62ECE"/>
    <w:lvl w:ilvl="0" w:tentative="0">
      <w:start w:val="1"/>
      <w:numFmt w:val="chineseCounting"/>
      <w:suff w:val="nothing"/>
      <w:lvlText w:val="（%1）"/>
      <w:lvlJc w:val="left"/>
      <w:rPr>
        <w:rFonts w:hint="eastAsia"/>
      </w:rPr>
    </w:lvl>
  </w:abstractNum>
  <w:abstractNum w:abstractNumId="5">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rawingGridHorizontalSpacing w:val="140"/>
  <w:drawingGridVerticalSpacing w:val="204"/>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2YjlkMGNhNjIwZGY5NGIzYzQ4ZmZlOTE0YWZlYTAifQ=="/>
  </w:docVars>
  <w:rsids>
    <w:rsidRoot w:val="00000000"/>
    <w:rsid w:val="765B2A14"/>
  </w:rsids>
  <m:mathPr>
    <m:mathFont m:val="Cambria Math"/>
    <m:brkBin m:val="before"/>
    <m:brkBinSub m:val="--"/>
    <m:smallFrac m:val="1"/>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unhideWhenUsed/>
    <w:qFormat/>
    <w:uiPriority w:val="0"/>
    <w:pPr>
      <w:spacing w:before="240" w:after="240" w:line="360" w:lineRule="auto"/>
      <w:jc w:val="center"/>
    </w:pPr>
    <w:rPr>
      <w:b/>
      <w:sz w:val="44"/>
    </w:rPr>
  </w:style>
  <w:style w:type="paragraph" w:styleId="6">
    <w:name w:val="Balloon Text"/>
    <w:basedOn w:val="1"/>
    <w:link w:val="18"/>
    <w:qFormat/>
    <w:uiPriority w:val="0"/>
    <w:pPr>
      <w:spacing w:line="240" w:lineRule="auto"/>
    </w:pPr>
    <w:rPr>
      <w:sz w:val="18"/>
      <w:szCs w:val="18"/>
    </w:rPr>
  </w:style>
  <w:style w:type="paragraph" w:styleId="7">
    <w:name w:val="footer"/>
    <w:basedOn w:val="1"/>
    <w:link w:val="21"/>
    <w:qFormat/>
    <w:uiPriority w:val="99"/>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Normal (Web)"/>
    <w:basedOn w:val="1"/>
    <w:semiHidden/>
    <w:unhideWhenUsed/>
    <w:qFormat/>
    <w:uiPriority w:val="0"/>
    <w:pPr>
      <w:spacing w:before="0" w:beforeAutospacing="1" w:after="0" w:afterAutospacing="1"/>
      <w:ind w:left="0" w:right="0"/>
      <w:jc w:val="left"/>
    </w:pPr>
    <w:rPr>
      <w:kern w:val="0"/>
      <w:sz w:val="24"/>
      <w:lang w:val="en-US" w:eastAsia="zh-CN"/>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paragraph" w:customStyle="1" w:styleId="14">
    <w:name w:val="Comment Text"/>
    <w:basedOn w:val="1"/>
    <w:qFormat/>
    <w:uiPriority w:val="0"/>
    <w:pPr>
      <w:jc w:val="left"/>
    </w:pPr>
  </w:style>
  <w:style w:type="character" w:customStyle="1" w:styleId="15">
    <w:name w:val="Comment Reference"/>
    <w:basedOn w:val="12"/>
    <w:qFormat/>
    <w:uiPriority w:val="0"/>
    <w:rPr>
      <w:sz w:val="21"/>
      <w:szCs w:val="21"/>
    </w:rPr>
  </w:style>
  <w:style w:type="paragraph" w:customStyle="1" w:styleId="16">
    <w:name w:val="BodyText"/>
    <w:basedOn w:val="1"/>
    <w:qFormat/>
    <w:uiPriority w:val="0"/>
    <w:pPr>
      <w:spacing w:after="120"/>
      <w:jc w:val="both"/>
      <w:textAlignment w:val="baseline"/>
    </w:pPr>
    <w:rPr>
      <w:rFonts w:ascii="Calibri" w:hAnsi="Calibri" w:eastAsia="宋体"/>
      <w:kern w:val="0"/>
      <w:sz w:val="20"/>
      <w:szCs w:val="24"/>
      <w:lang w:val="en-US" w:eastAsia="zh-CN" w:bidi="ar-SA"/>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2"/>
    <w:link w:val="6"/>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3"/>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2"/>
    <w:link w:val="7"/>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3"/>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4"/>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 w:type="character" w:customStyle="1" w:styleId="28">
    <w:name w:val="font71"/>
    <w:basedOn w:val="12"/>
    <w:qFormat/>
    <w:uiPriority w:val="0"/>
    <w:rPr>
      <w:rFonts w:hint="eastAsia" w:ascii="仿宋_GB2312" w:eastAsia="仿宋_GB2312" w:cs="仿宋_GB2312"/>
      <w:color w:val="000000"/>
      <w:sz w:val="18"/>
      <w:szCs w:val="18"/>
      <w:u w:val="none"/>
    </w:rPr>
  </w:style>
  <w:style w:type="character" w:customStyle="1" w:styleId="29">
    <w:name w:val="font122"/>
    <w:basedOn w:val="12"/>
    <w:qFormat/>
    <w:uiPriority w:val="0"/>
    <w:rPr>
      <w:rFonts w:hint="default" w:ascii="Times New Roman" w:hAnsi="Times New Roman" w:cs="Times New Roman"/>
      <w:color w:val="000000"/>
      <w:sz w:val="18"/>
      <w:szCs w:val="18"/>
      <w:u w:val="none"/>
    </w:rPr>
  </w:style>
  <w:style w:type="paragraph" w:customStyle="1" w:styleId="30">
    <w:name w:val="正文文字 1"/>
    <w:basedOn w:val="1"/>
    <w:next w:val="1"/>
    <w:qFormat/>
    <w:uiPriority w:val="0"/>
    <w:pPr>
      <w:spacing w:before="100" w:beforeAutospacing="1" w:after="100" w:afterAutospacing="1"/>
      <w:ind w:left="240"/>
    </w:pPr>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A5B8FD2BDF1342258953E3DFE8E53C95_13</vt:lpwstr>
  </property>
</Properties>
</file>

<file path=customXml/item3.xml><?xml version="1.0" encoding="utf-8"?>
<Properties xmlns="http://schemas.openxmlformats.org/officeDocument/2006/extended-properties" xmlns:vt="http://schemas.openxmlformats.org/officeDocument/2006/docPropsVTypes">
  <Template>Normal.dotm</Template>
  <Pages>18</Pages>
  <Words>10351</Words>
  <Characters>11245</Characters>
  <Lines>62</Lines>
  <Paragraphs>17</Paragraphs>
  <TotalTime>3</TotalTime>
  <ScaleCrop>false</ScaleCrop>
  <LinksUpToDate>false</LinksUpToDate>
  <CharactersWithSpaces>11260</CharactersWithSpaces>
  <Application>WPS Office_12.1.0.16729_F1E327BC-269C-435d-A152-05C5408002CA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彩虹</cp:lastModifiedBy>
  <cp:lastPrinted>2021-03-04T11:49:00Z</cp:lastPrinted>
  <dcterms:modified xsi:type="dcterms:W3CDTF">2024-04-24T05:32:41Z</dcterms:modified>
  <cp:revision>30</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803ba5-4d74-4346-9763-9ecf462786b1}">
  <ds:schemaRefs/>
</ds:datastoreItem>
</file>

<file path=customXml/itemProps3.xml><?xml version="1.0" encoding="utf-8"?>
<ds:datastoreItem xmlns:ds="http://schemas.openxmlformats.org/officeDocument/2006/customXml" ds:itemID="{a259af3a-676d-47d4-9542-7eea6491f109}">
  <ds:schemaRefs/>
</ds:datastoreItem>
</file>

<file path=customXml/itemProps4.xml><?xml version="1.0" encoding="utf-8"?>
<ds:datastoreItem xmlns:ds="http://schemas.openxmlformats.org/officeDocument/2006/customXml" ds:itemID="{441a39db-281e-4561-8b45-8f4815922931}">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10351</Words>
  <Characters>11245</Characters>
  <Lines>62</Lines>
  <Paragraphs>17</Paragraphs>
  <TotalTime>3</TotalTime>
  <ScaleCrop>false</ScaleCrop>
  <LinksUpToDate>false</LinksUpToDate>
  <CharactersWithSpaces>11260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农经局</cp:lastModifiedBy>
  <cp:lastPrinted>2021-03-04T11:49:00Z</cp:lastPrinted>
  <dcterms:modified xsi:type="dcterms:W3CDTF">2024-11-09T04:49:52Z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A5B8FD2BDF1342258953E3DFE8E53C95_13</vt:lpwstr>
  </property>
</Properties>
</file>