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沙湾市农业农村局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w:instrText>
      </w:r>
      <w:r>
        <w:rPr>
          <w:rFonts w:hint="eastAsia" w:ascii="仿宋_GB2312" w:hAnsi="仿宋_GB2312" w:eastAsia="仿宋_GB2312" w:cs="仿宋_GB2312"/>
          <w:color w:val="auto"/>
          <w:sz w:val="32"/>
          <w:szCs w:val="32"/>
          <w:highlight w:val="none"/>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"_Toc30567" </w:instrText>
      </w:r>
      <w: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"_Toc2151" </w:instrText>
      </w:r>
      <w: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fldChar w:fldCharType="begin"/>
      </w:r>
      <w:r>
        <w:instrText xml:space="preserve"> HYPERLINK \l "_Toc29374" </w:instrText>
      </w:r>
      <w: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"_Toc25314" </w:instrText>
      </w:r>
      <w: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"_Toc12142" </w:instrText>
      </w:r>
      <w: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"_Toc13201" </w:instrText>
      </w:r>
      <w: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bCs/>
          <w:color w:val="auto"/>
          <w:kern w:val="0"/>
          <w:sz w:val="32"/>
          <w:szCs w:val="32"/>
          <w:highlight w:val="none"/>
          <w:lang w:eastAsia="zh-CN"/>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"_Toc26564" </w:instrText>
      </w:r>
      <w: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bCs/>
          <w:color w:val="auto"/>
          <w:kern w:val="0"/>
          <w:sz w:val="32"/>
          <w:szCs w:val="32"/>
          <w:highlight w:val="none"/>
          <w:lang w:eastAsia="zh-CN"/>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"_Toc20360" </w:instrText>
      </w:r>
      <w: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bCs/>
          <w:color w:val="auto"/>
          <w:kern w:val="0"/>
          <w:sz w:val="32"/>
          <w:szCs w:val="32"/>
          <w:highlight w:val="none"/>
          <w:lang w:eastAsia="zh-CN"/>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"_Toc30870" </w:instrText>
      </w:r>
      <w: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bCs/>
          <w:color w:val="auto"/>
          <w:kern w:val="0"/>
          <w:sz w:val="32"/>
          <w:szCs w:val="32"/>
          <w:highlight w:val="none"/>
          <w:lang w:eastAsia="zh-CN"/>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"_Toc21518" </w:instrText>
      </w:r>
      <w: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bCs/>
          <w:color w:val="auto"/>
          <w:kern w:val="0"/>
          <w:sz w:val="32"/>
          <w:szCs w:val="32"/>
          <w:highlight w:val="none"/>
          <w:lang w:eastAsia="zh-CN"/>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"_Toc5810" </w:instrText>
      </w:r>
      <w: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bCs/>
          <w:color w:val="auto"/>
          <w:kern w:val="0"/>
          <w:sz w:val="32"/>
          <w:szCs w:val="32"/>
          <w:highlight w:val="none"/>
          <w:lang w:eastAsia="zh-CN"/>
        </w:rPr>
        <w:fldChar w:fldCharType="end"/>
      </w:r>
    </w:p>
    <w:p>
      <w:pPr>
        <w:rPr>
          <w:rFonts w:hint="eastAsia"/>
          <w:color w:val="auto"/>
          <w:highlight w:val="none"/>
        </w:rPr>
      </w:pPr>
      <w:r>
        <w:fldChar w:fldCharType="begin"/>
      </w:r>
      <w:r>
        <w:instrText xml:space="preserve"> HYPERLINK \l "_Toc5810" </w:instrText>
      </w:r>
      <w: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bCs/>
          <w:color w:val="auto"/>
          <w:kern w:val="0"/>
          <w:sz w:val="32"/>
          <w:szCs w:val="32"/>
          <w:highlight w:val="none"/>
          <w:lang w:eastAsia="zh-CN"/>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"_Toc1235" </w:instrText>
      </w:r>
      <w: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bCs/>
          <w:color w:val="auto"/>
          <w:kern w:val="0"/>
          <w:sz w:val="32"/>
          <w:szCs w:val="32"/>
          <w:highlight w:val="none"/>
          <w:lang w:eastAsia="zh-CN"/>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"_Toc14519" </w:instrText>
      </w:r>
      <w: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"_Toc227" </w:instrText>
      </w:r>
      <w: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lang w:eastAsia="zh-CN"/>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"_Toc8391" </w:instrText>
      </w:r>
      <w: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lang w:eastAsia="zh-CN"/>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"_Toc11283" </w:instrText>
      </w:r>
      <w: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bCs/>
          <w:color w:val="auto"/>
          <w:kern w:val="0"/>
          <w:sz w:val="32"/>
          <w:szCs w:val="32"/>
          <w:highlight w:val="none"/>
          <w:lang w:eastAsia="zh-CN"/>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fldChar w:fldCharType="begin"/>
      </w:r>
      <w:r>
        <w:instrText xml:space="preserve"> HYPERLINK \l "_Toc3250" </w:instrText>
      </w:r>
      <w: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12"/>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fldChar w:fldCharType="begin"/>
      </w:r>
      <w:r>
        <w:instrText xml:space="preserve"> HYPERLINK \l "_Toc22784" </w:instrText>
      </w:r>
      <w: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"_Toc2183" </w:instrText>
      </w:r>
      <w: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"_Toc24532" </w:instrText>
      </w:r>
      <w: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"_Toc32434" </w:instrText>
      </w:r>
      <w: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"_Toc28786" </w:instrText>
      </w:r>
      <w: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"_Toc14869" </w:instrText>
      </w:r>
      <w: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"_Toc8884" </w:instrText>
      </w:r>
      <w: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fldChar w:fldCharType="begin"/>
      </w:r>
      <w:r>
        <w:instrText xml:space="preserve"> HYPERLINK \l "_Toc29106" </w:instrText>
      </w:r>
      <w: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fldChar w:fldCharType="begin"/>
      </w:r>
      <w:r>
        <w:instrText xml:space="preserve"> HYPERLINK \l "_Toc7643" </w:instrText>
      </w:r>
      <w: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一）组织实施本县“三农”工作的发展计划、中长期规划。起草农业农村有关地方性规定（规范性文件）。推进农业畜牧业、农牧机械依法行政和综合执法工作。参与涉农财税、价格、收储、金融、保险等问题调查研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（二）统筹推动发展农村社会事业、农村公共服务、农村文化、农村基础设施和乡村治理。牵头组织改善农村人居环境。指导农村精神文明和优秀农耕文化建设。指导农业行业安全生产工作。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（三）贯彻深化农村经济体制改革和巩固</w:t>
      </w:r>
      <w:r>
        <w:rPr>
          <w:rFonts w:hint="eastAsia" w:ascii="仿宋_GB2312" w:eastAsia="仿宋_GB2312"/>
          <w:color w:val="auto"/>
          <w:sz w:val="32"/>
          <w:szCs w:val="32"/>
          <w:highlight w:val="none"/>
          <w:lang w:eastAsia="zh-CN"/>
        </w:rPr>
        <w:t>和</w:t>
      </w:r>
      <w:r>
        <w:rPr>
          <w:rFonts w:hint="eastAsia" w:ascii="仿宋_GB2312" w:eastAsia="仿宋_GB2312"/>
          <w:color w:val="auto"/>
          <w:sz w:val="32"/>
          <w:szCs w:val="32"/>
          <w:highlight w:val="none"/>
        </w:rPr>
        <w:t>完善农村基本经营制度的政策。负责农村承包地、农村宅基地改革和管理有关工作。负责农村集体产权制度改革实施，指导农村集体经济组织发展和集体资产管理工作。指导农民合作经济组织、农业社会化服务体系、新型农业经营主体建设与发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四）指导乡村特色产业、农产品加工业、休闲农业和乡镇企业发展工作。提出促进大宗农产品流通的建议，培育、保护农业品牌。发布农业农村经济信息，监测分析农业农村经济运行。承担农业统计和农业农村信息化有关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（五）负责种植业、畜牧业、农业机械化、渔业等农业各产业的监督管理。指导农业产业化发展。指导粮食等农产品生产。组织构建现代农业产业体系、生产体系、经营体系，指导农业标准化生产。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（六）负责农牧机械新技术推广，推进农牧业机械化建设。负责农牧机械和大型工程机械设备的监督管理、农机市场管理工作，确保农机行业安全生产。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（七）负责农产品质量安全监督管理。组织开展农产品质量安全监测、追溯、风险评估。配合制定农产品质量安全地方标准并会同有关部门组织实施。指导农产品检验检测体系建设。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八）组织农业资源区划工作。指导农用地、渔业水域以及农业生物物种资源的保护与管理。负责水生野生动植物保护、耕地及永久基本农田质量保护工作。指导农产品产地环境管理和农业清洁生产。指导设施农业、生态循环农业、节水农业发展以及农村可再生能源综合开发利用、农业生物质产业发展。承担外来物种相关管理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（九）负责本县有关农业生产资料和农业投入品的监督管理。组织农业生产资料市场体系建设，参与有关农业生产资料地方标准拟订并监督实施。负责执业兽医和畜禽屠宰行业管理。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（十）负责农业防灾减灾、农作物、畜禽重大病虫害防治工作。指导动植物防疫检疫体系建设，组织、监督辖区内动植物防疫检疫工作，发布疫情并组织扑灭。</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一）负责农业投资管理。提出农业投融资体制机制改革建议。落实中央、自治区安排的农业投资项目建设规划，提出农业投资规模和方向，扶持农业农村发展财政项目的建设，按规定权限审批农业投资项目，负责农业投资项目资金安排和监督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二）承担农业科技体制改革和农业科技创新体系建设任务。指导农业产业技术体系和农技推广体系建设，组织开展农业领域的新技术和应用技术研究、科技成果转化和技术推广。负责农业转基因生物安全监督管理和农业植物新品种保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（十三）指导农业农村人才工作。拟订农业农村人才队伍建设规划并组织实施。指导农业教育和农业职业技能开发。指导新型职业农民培育、农业科技人才培养和农村实用人才培训工作。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（十四）牵头开展农业对外合作工作。承办农业涉外事务，参与自治区农业贸易促进和有关国际交流合作，参与本县农业对外援助政策和规划制定，组织实施上级有关农业援外项目。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五）加强种畜禽的管理。负责研究制定牲畜品种改良计划，指导协调全县畜禽育种、改良，管理种畜种禽（蛋）引进工作；组织实施畜禽品种及畜产品的质量标准。结合本县畜牧业生产的实际需要，广泛推广优良畜种。组织实施全县畜禽遗传资源、饲料资源普查、保护和开发利用工作。依法开展种畜禽遗传资源、牧草种子、兽药、饲料和饲料添加剂的许可及监督管理工作，负责权限内兽药经营（不含生物制品）许可、饲料经营许可。指导全县畜牧业生产、抗灾保畜、防灾基地建设、对口扶贫开发、牧民定居建设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（十六）完成县委、县人民政府和县委农村工作领导小组交办的其他任务。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（十七）职能转变。</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（1）、统筹实施乡村振兴战略，深化农业供给侧结构性改革，提升农业发展质量，扎实推进美丽乡村建设，推动农业全面升级，农村全面进步，农民全面发展，加快实现农业农村现代化。</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2）、加快农产品、畜产品质量安全和相关农业生产资料、农业、畜牧业投入品的监督管理，坚持最严谨的标准，最严格的监管，最严厉的处罚，最严肃的问责，严防、严管、严控质量安全风险，让人民群众吃得放心、安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3）、深入推进简政放权，加强对行业内交叉重复以及性质相同、用途相近的农业投资项目的统筹整合，最大限度缩小项目审批范围，加强事中事后监管，切实提升国家、自治区、地区支农政策效果和资金使用效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沙湾市农业农村局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179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100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79</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黑体" w:eastAsia="仿宋_GB2312" w:cs="宋体"/>
          <w:bCs/>
          <w:color w:val="auto"/>
          <w:kern w:val="0"/>
          <w:sz w:val="32"/>
          <w:szCs w:val="32"/>
          <w:highlight w:val="none"/>
        </w:rPr>
      </w:pPr>
      <w:bookmarkStart w:id="6" w:name="_Toc3092"/>
      <w:bookmarkStart w:id="7" w:name="_Toc29374"/>
      <w:r>
        <w:rPr>
          <w:rFonts w:hint="eastAsia" w:ascii="仿宋_GB2312" w:hAnsi="黑体" w:eastAsia="仿宋_GB2312" w:cs="宋体"/>
          <w:bCs/>
          <w:color w:val="auto"/>
          <w:kern w:val="0"/>
          <w:sz w:val="32"/>
          <w:szCs w:val="32"/>
          <w:highlight w:val="none"/>
          <w:lang w:val="en-US" w:eastAsia="zh-CN"/>
        </w:rPr>
        <w:t xml:space="preserve">   </w:t>
      </w:r>
      <w:r>
        <w:rPr>
          <w:rFonts w:hint="eastAsia" w:ascii="仿宋_GB2312" w:hAnsi="黑体" w:eastAsia="仿宋_GB2312" w:cs="宋体"/>
          <w:bCs/>
          <w:color w:val="auto"/>
          <w:kern w:val="0"/>
          <w:sz w:val="32"/>
          <w:szCs w:val="32"/>
          <w:highlight w:val="none"/>
        </w:rPr>
        <w:t>单位无下属预算单位，下设5个处室，分别是：综合办公室、党建办公室、项目办、财务室、农业综合执法科。</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27,369.06万元，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27,369.06万元，使用非财政拨款结余0.00万元，年初结转和结余0.00万元。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27,369.06万元，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27,369.06万元，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eastAsia="zh-CN"/>
        </w:rPr>
      </w:pPr>
      <w:r>
        <w:rPr>
          <w:rFonts w:hint="eastAsia" w:ascii="仿宋_GB2312" w:hAnsi="Times New Roman" w:eastAsia="仿宋_GB2312" w:cs="Times New Roman"/>
          <w:color w:val="auto"/>
          <w:spacing w:val="0"/>
          <w:sz w:val="32"/>
          <w:szCs w:val="32"/>
          <w:highlight w:val="none"/>
          <w:lang w:val="en-US" w:eastAsia="zh-CN"/>
        </w:rPr>
        <w:t>收入支出总体与上年相比</w:t>
      </w:r>
      <w:r>
        <w:rPr>
          <w:rFonts w:hint="eastAsia" w:ascii="仿宋_GB2312" w:hAnsi="Times New Roman" w:eastAsia="仿宋_GB2312" w:cs="Times New Roman"/>
          <w:color w:val="auto"/>
          <w:spacing w:val="0"/>
          <w:sz w:val="32"/>
          <w:szCs w:val="32"/>
          <w:highlight w:val="none"/>
          <w:lang w:eastAsia="zh-CN"/>
        </w:rPr>
        <w:t>，</w:t>
      </w:r>
      <w:r>
        <w:rPr>
          <w:rFonts w:hint="eastAsia" w:ascii="仿宋_GB2312" w:hAnsi="Times New Roman" w:eastAsia="仿宋_GB2312" w:cs="Times New Roman"/>
          <w:color w:val="auto"/>
          <w:spacing w:val="0"/>
          <w:sz w:val="32"/>
          <w:szCs w:val="32"/>
          <w:highlight w:val="none"/>
          <w:lang w:val="zh-CN" w:eastAsia="zh-CN"/>
        </w:rPr>
        <w:t>减少8,764.38万元</w:t>
      </w:r>
      <w:r>
        <w:rPr>
          <w:rFonts w:hint="eastAsia" w:ascii="仿宋_GB2312" w:hAnsi="Times New Roman" w:eastAsia="仿宋_GB2312" w:cs="Times New Roman"/>
          <w:color w:val="auto"/>
          <w:spacing w:val="0"/>
          <w:sz w:val="32"/>
          <w:szCs w:val="32"/>
          <w:highlight w:val="none"/>
          <w:lang w:eastAsia="zh-CN"/>
        </w:rPr>
        <w:t>，下降24.26%，主要原因是：减少了县级动物防疫补助项目</w:t>
      </w:r>
      <w:r>
        <w:rPr>
          <w:rFonts w:hint="eastAsia" w:ascii="仿宋_GB2312" w:hAnsi="Times New Roman" w:eastAsia="仿宋_GB2312" w:cs="Times New Roman"/>
          <w:color w:val="auto"/>
          <w:spacing w:val="0"/>
          <w:sz w:val="32"/>
          <w:szCs w:val="32"/>
          <w:highlight w:val="none"/>
          <w:lang w:val="en-US" w:eastAsia="zh-CN"/>
        </w:rPr>
        <w:t>214.9万元，防灾减灾项目314.65万元，草原奖补资金2939.14万元</w:t>
      </w:r>
      <w:r>
        <w:rPr>
          <w:rFonts w:hint="eastAsia" w:ascii="仿宋_GB2312" w:hAnsi="Times New Roman" w:eastAsia="仿宋_GB2312" w:cs="Times New Roman"/>
          <w:color w:val="auto"/>
          <w:spacing w:val="0"/>
          <w:sz w:val="32"/>
          <w:szCs w:val="32"/>
          <w:highlight w:val="none"/>
          <w:lang w:eastAsia="zh-CN"/>
        </w:rPr>
        <w:t>，高标准农田建设资金</w:t>
      </w:r>
      <w:r>
        <w:rPr>
          <w:rFonts w:hint="eastAsia" w:ascii="仿宋_GB2312" w:hAnsi="Times New Roman" w:eastAsia="仿宋_GB2312" w:cs="Times New Roman"/>
          <w:color w:val="auto"/>
          <w:spacing w:val="0"/>
          <w:sz w:val="32"/>
          <w:szCs w:val="32"/>
          <w:highlight w:val="none"/>
          <w:lang w:val="en-US" w:eastAsia="zh-CN"/>
        </w:rPr>
        <w:t>5223.29万元等项目支出</w:t>
      </w:r>
      <w:r>
        <w:rPr>
          <w:rFonts w:hint="eastAsia" w:ascii="仿宋_GB2312"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27,369.06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27,291.73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99.72%</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77.33</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0.28%</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本年支出27,369.06万元，其中：基本支出1,928.61万元，占7.05%；项目支出25,440.45万元，占92.95%；上缴上级支出0.00万元，占0.00%；经营支出0.00万元，占0.00%；对附属单位补助支出0.00万元，占0.00%。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27,291.73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27,291.73</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27,291.73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27,291.73</w:t>
      </w:r>
      <w:r>
        <w:rPr>
          <w:rFonts w:hint="eastAsia" w:ascii="仿宋_GB2312" w:eastAsia="仿宋_GB2312"/>
          <w:color w:val="auto"/>
          <w:spacing w:val="0"/>
          <w:sz w:val="32"/>
          <w:szCs w:val="32"/>
          <w:highlight w:val="none"/>
          <w:lang w:eastAsia="zh-CN"/>
        </w:rPr>
        <w:t>万元。</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财政拨款收入支出总体与上年相比,</w:t>
      </w:r>
      <w:r>
        <w:rPr>
          <w:rFonts w:hint="eastAsia" w:ascii="仿宋_GB2312" w:hAnsi="Times New Roman" w:eastAsia="仿宋_GB2312" w:cs="Times New Roman"/>
          <w:color w:val="auto"/>
          <w:spacing w:val="0"/>
          <w:kern w:val="2"/>
          <w:sz w:val="32"/>
          <w:szCs w:val="32"/>
          <w:highlight w:val="none"/>
          <w:lang w:val="zh-CN" w:eastAsia="zh-CN" w:bidi="ar-SA"/>
        </w:rPr>
        <w:t>减少8,602.51万元</w:t>
      </w:r>
      <w:r>
        <w:rPr>
          <w:rFonts w:hint="eastAsia" w:ascii="仿宋_GB2312" w:hAnsi="Times New Roman" w:eastAsia="仿宋_GB2312" w:cs="Times New Roman"/>
          <w:color w:val="auto"/>
          <w:spacing w:val="0"/>
          <w:kern w:val="2"/>
          <w:sz w:val="32"/>
          <w:szCs w:val="32"/>
          <w:highlight w:val="none"/>
          <w:lang w:val="en-US" w:eastAsia="zh-CN" w:bidi="ar-SA"/>
        </w:rPr>
        <w:t>，下降23.97%,主要原因是：</w:t>
      </w:r>
      <w:r>
        <w:rPr>
          <w:rFonts w:hint="eastAsia" w:ascii="仿宋_GB2312" w:hAnsi="Times New Roman" w:eastAsia="仿宋_GB2312" w:cs="Times New Roman"/>
          <w:color w:val="auto"/>
          <w:spacing w:val="0"/>
          <w:kern w:val="2"/>
          <w:sz w:val="32"/>
          <w:szCs w:val="32"/>
          <w:highlight w:val="none"/>
          <w:lang w:val="zh-CN" w:eastAsia="zh-CN" w:bidi="ar-SA"/>
        </w:rPr>
        <w:t>减少了</w:t>
      </w:r>
      <w:r>
        <w:rPr>
          <w:rFonts w:hint="eastAsia" w:ascii="仿宋_GB2312" w:hAnsi="Times New Roman" w:eastAsia="仿宋_GB2312" w:cs="Times New Roman"/>
          <w:color w:val="auto"/>
          <w:spacing w:val="0"/>
          <w:kern w:val="2"/>
          <w:sz w:val="32"/>
          <w:szCs w:val="32"/>
          <w:highlight w:val="none"/>
          <w:lang w:val="en-US" w:eastAsia="zh-CN" w:bidi="ar-SA"/>
        </w:rPr>
        <w:t>防灾减灾项目314.65万元，草原奖补资金2939.14万元</w:t>
      </w:r>
      <w:r>
        <w:rPr>
          <w:rFonts w:hint="eastAsia" w:ascii="仿宋_GB2312" w:hAnsi="Times New Roman" w:eastAsia="仿宋_GB2312" w:cs="Times New Roman"/>
          <w:color w:val="auto"/>
          <w:spacing w:val="0"/>
          <w:kern w:val="2"/>
          <w:sz w:val="32"/>
          <w:szCs w:val="32"/>
          <w:highlight w:val="none"/>
          <w:lang w:val="zh-CN" w:eastAsia="zh-CN" w:bidi="ar-SA"/>
        </w:rPr>
        <w:t>，高标准农田建设资金</w:t>
      </w:r>
      <w:r>
        <w:rPr>
          <w:rFonts w:hint="eastAsia" w:ascii="仿宋_GB2312" w:hAnsi="Times New Roman" w:eastAsia="仿宋_GB2312" w:cs="Times New Roman"/>
          <w:color w:val="auto"/>
          <w:spacing w:val="0"/>
          <w:kern w:val="2"/>
          <w:sz w:val="32"/>
          <w:szCs w:val="32"/>
          <w:highlight w:val="none"/>
          <w:lang w:val="en-US" w:eastAsia="zh-CN" w:bidi="ar-SA"/>
        </w:rPr>
        <w:t>5223.29万元等项目支出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16"/>
        <w:spacing w:line="360" w:lineRule="auto"/>
        <w:ind w:firstLine="960" w:firstLineChars="300"/>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en-US" w:eastAsia="zh-CN" w:bidi="ar-SA"/>
        </w:rPr>
        <w:t>与年初预算相比，年初预算数</w:t>
      </w:r>
      <w:r>
        <w:rPr>
          <w:rFonts w:hint="eastAsia" w:ascii="仿宋_GB2312" w:hAnsi="Times New Roman" w:eastAsia="仿宋_GB2312" w:cs="Times New Roman"/>
          <w:color w:val="auto"/>
          <w:spacing w:val="0"/>
          <w:kern w:val="2"/>
          <w:sz w:val="32"/>
          <w:szCs w:val="32"/>
          <w:highlight w:val="none"/>
          <w:lang w:val="zh-CN" w:eastAsia="zh-CN" w:bidi="ar-SA"/>
        </w:rPr>
        <w:t>15,886.38</w:t>
      </w:r>
      <w:r>
        <w:rPr>
          <w:rFonts w:hint="eastAsia" w:ascii="仿宋_GB2312" w:hAnsi="Times New Roman" w:eastAsia="仿宋_GB2312" w:cs="Times New Roman"/>
          <w:color w:val="auto"/>
          <w:spacing w:val="0"/>
          <w:kern w:val="2"/>
          <w:sz w:val="32"/>
          <w:szCs w:val="32"/>
          <w:highlight w:val="none"/>
          <w:lang w:val="en-US" w:eastAsia="zh-CN" w:bidi="ar-SA"/>
        </w:rPr>
        <w:t>万元，决算数</w:t>
      </w:r>
      <w:r>
        <w:rPr>
          <w:rFonts w:hint="eastAsia" w:ascii="仿宋_GB2312" w:hAnsi="Times New Roman" w:eastAsia="仿宋_GB2312" w:cs="Times New Roman"/>
          <w:color w:val="auto"/>
          <w:spacing w:val="0"/>
          <w:kern w:val="2"/>
          <w:sz w:val="32"/>
          <w:szCs w:val="32"/>
          <w:highlight w:val="none"/>
          <w:lang w:val="zh-CN" w:eastAsia="zh-CN" w:bidi="ar-SA"/>
        </w:rPr>
        <w:t>27,291.73</w:t>
      </w:r>
      <w:r>
        <w:rPr>
          <w:rFonts w:hint="eastAsia" w:ascii="仿宋_GB2312" w:hAnsi="Times New Roman" w:eastAsia="仿宋_GB2312" w:cs="Times New Roman"/>
          <w:color w:val="auto"/>
          <w:spacing w:val="0"/>
          <w:kern w:val="2"/>
          <w:sz w:val="32"/>
          <w:szCs w:val="32"/>
          <w:highlight w:val="none"/>
          <w:lang w:val="en-US" w:eastAsia="zh-CN" w:bidi="ar-SA"/>
        </w:rPr>
        <w:t>万元，预决算差异率71.79%，主要原因是：</w:t>
      </w:r>
      <w:r>
        <w:rPr>
          <w:rFonts w:hint="eastAsia" w:hAnsi="Times New Roman" w:cs="Times New Roman"/>
          <w:color w:val="auto"/>
          <w:spacing w:val="0"/>
          <w:kern w:val="2"/>
          <w:sz w:val="32"/>
          <w:szCs w:val="32"/>
          <w:highlight w:val="none"/>
          <w:lang w:val="zh-CN" w:eastAsia="zh-CN" w:bidi="ar-SA"/>
        </w:rPr>
        <w:t>一是</w:t>
      </w:r>
      <w:r>
        <w:rPr>
          <w:rFonts w:hint="eastAsia" w:ascii="仿宋_GB2312" w:hAnsi="Times New Roman" w:eastAsia="仿宋_GB2312" w:cs="Times New Roman"/>
          <w:color w:val="auto"/>
          <w:spacing w:val="0"/>
          <w:kern w:val="2"/>
          <w:sz w:val="32"/>
          <w:szCs w:val="32"/>
          <w:highlight w:val="none"/>
          <w:lang w:val="zh-CN" w:eastAsia="zh-CN" w:bidi="ar-SA"/>
        </w:rPr>
        <w:t>提高了基础性绩效工资标准，补发了202</w:t>
      </w:r>
      <w:r>
        <w:rPr>
          <w:rFonts w:hint="eastAsia" w:ascii="仿宋_GB2312" w:hAnsi="Times New Roman" w:eastAsia="仿宋_GB2312" w:cs="Times New Roman"/>
          <w:color w:val="auto"/>
          <w:spacing w:val="0"/>
          <w:kern w:val="2"/>
          <w:sz w:val="32"/>
          <w:szCs w:val="32"/>
          <w:highlight w:val="none"/>
          <w:lang w:val="en-US" w:eastAsia="zh-CN" w:bidi="ar-SA"/>
        </w:rPr>
        <w:t>2</w:t>
      </w:r>
      <w:r>
        <w:rPr>
          <w:rFonts w:hint="eastAsia" w:ascii="仿宋_GB2312" w:hAnsi="Times New Roman" w:eastAsia="仿宋_GB2312" w:cs="Times New Roman"/>
          <w:color w:val="auto"/>
          <w:spacing w:val="0"/>
          <w:kern w:val="2"/>
          <w:sz w:val="32"/>
          <w:szCs w:val="32"/>
          <w:highlight w:val="none"/>
          <w:lang w:val="zh-CN" w:eastAsia="zh-CN" w:bidi="ar-SA"/>
        </w:rPr>
        <w:t>年基础性绩效</w:t>
      </w:r>
      <w:r>
        <w:rPr>
          <w:rFonts w:hint="eastAsia" w:hAnsi="Times New Roman" w:cs="Times New Roman"/>
          <w:color w:val="auto"/>
          <w:spacing w:val="0"/>
          <w:kern w:val="2"/>
          <w:sz w:val="32"/>
          <w:szCs w:val="32"/>
          <w:highlight w:val="none"/>
          <w:lang w:val="zh-CN" w:eastAsia="zh-CN" w:bidi="ar-SA"/>
        </w:rPr>
        <w:t>工资的增加</w:t>
      </w:r>
      <w:r>
        <w:rPr>
          <w:rFonts w:hint="eastAsia" w:ascii="仿宋_GB2312" w:hAnsi="Times New Roman" w:eastAsia="仿宋_GB2312" w:cs="Times New Roman"/>
          <w:color w:val="auto"/>
          <w:spacing w:val="0"/>
          <w:kern w:val="2"/>
          <w:sz w:val="32"/>
          <w:szCs w:val="32"/>
          <w:highlight w:val="none"/>
          <w:lang w:val="zh-CN" w:eastAsia="zh-CN" w:bidi="ar-SA"/>
        </w:rPr>
        <w:t>。这部分支出未纳入年初预算</w:t>
      </w:r>
      <w:r>
        <w:rPr>
          <w:rFonts w:hint="eastAsia" w:hAnsi="Times New Roman" w:cs="Times New Roman"/>
          <w:color w:val="auto"/>
          <w:spacing w:val="0"/>
          <w:kern w:val="2"/>
          <w:sz w:val="32"/>
          <w:szCs w:val="32"/>
          <w:highlight w:val="none"/>
          <w:lang w:val="zh-CN" w:eastAsia="zh-CN" w:bidi="ar-SA"/>
        </w:rPr>
        <w:t>；二是</w:t>
      </w:r>
      <w:r>
        <w:rPr>
          <w:rFonts w:hint="eastAsia" w:ascii="仿宋_GB2312" w:hAnsi="Times New Roman" w:eastAsia="仿宋_GB2312" w:cs="Times New Roman"/>
          <w:color w:val="auto"/>
          <w:spacing w:val="0"/>
          <w:kern w:val="2"/>
          <w:sz w:val="32"/>
          <w:szCs w:val="32"/>
          <w:highlight w:val="none"/>
          <w:lang w:val="zh-CN" w:eastAsia="zh-CN" w:bidi="ar-SA"/>
        </w:rPr>
        <w:t>预算的工会经费、老干活动经费等公用经费，没有完成支付；</w:t>
      </w:r>
      <w:r>
        <w:rPr>
          <w:rFonts w:hint="eastAsia" w:hAnsi="Times New Roman" w:cs="Times New Roman"/>
          <w:color w:val="auto"/>
          <w:spacing w:val="0"/>
          <w:kern w:val="2"/>
          <w:sz w:val="32"/>
          <w:szCs w:val="32"/>
          <w:highlight w:val="none"/>
          <w:lang w:val="en-US" w:eastAsia="zh-CN" w:bidi="ar-SA"/>
        </w:rPr>
        <w:t>三是</w:t>
      </w:r>
      <w:r>
        <w:rPr>
          <w:rFonts w:hint="eastAsia" w:ascii="仿宋_GB2312" w:hAnsi="Times New Roman" w:eastAsia="仿宋_GB2312" w:cs="Times New Roman"/>
          <w:color w:val="auto"/>
          <w:spacing w:val="0"/>
          <w:kern w:val="2"/>
          <w:sz w:val="32"/>
          <w:szCs w:val="32"/>
          <w:highlight w:val="none"/>
          <w:lang w:val="en-US" w:eastAsia="zh-CN" w:bidi="ar-SA"/>
        </w:rPr>
        <w:t>追加支付了前年度</w:t>
      </w:r>
      <w:r>
        <w:rPr>
          <w:rFonts w:hint="eastAsia" w:hAnsi="Times New Roman" w:cs="Times New Roman"/>
          <w:color w:val="auto"/>
          <w:spacing w:val="0"/>
          <w:kern w:val="2"/>
          <w:sz w:val="32"/>
          <w:szCs w:val="32"/>
          <w:highlight w:val="none"/>
          <w:lang w:val="en-US" w:eastAsia="zh-CN" w:bidi="ar-SA"/>
        </w:rPr>
        <w:t>拖</w:t>
      </w:r>
      <w:r>
        <w:rPr>
          <w:rFonts w:hint="eastAsia" w:ascii="仿宋_GB2312" w:hAnsi="Times New Roman" w:eastAsia="仿宋_GB2312" w:cs="Times New Roman"/>
          <w:color w:val="auto"/>
          <w:spacing w:val="0"/>
          <w:kern w:val="2"/>
          <w:sz w:val="32"/>
          <w:szCs w:val="32"/>
          <w:highlight w:val="none"/>
          <w:lang w:val="en-US" w:eastAsia="zh-CN" w:bidi="ar-SA"/>
        </w:rPr>
        <w:t>欠的项目款1261.58万元，以及追加当年上级资金项目支出</w:t>
      </w:r>
      <w:r>
        <w:rPr>
          <w:rFonts w:hint="eastAsia" w:hAnsi="Times New Roman"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高出年初预</w:t>
      </w:r>
      <w:r>
        <w:rPr>
          <w:rFonts w:hint="eastAsia" w:hAnsi="Times New Roman" w:cs="Times New Roman"/>
          <w:color w:val="auto"/>
          <w:spacing w:val="0"/>
          <w:kern w:val="2"/>
          <w:sz w:val="32"/>
          <w:szCs w:val="32"/>
          <w:highlight w:val="none"/>
          <w:lang w:val="en-US" w:eastAsia="zh-CN" w:bidi="ar-SA"/>
        </w:rPr>
        <w:t>算</w:t>
      </w:r>
      <w:r>
        <w:rPr>
          <w:rFonts w:hint="eastAsia" w:ascii="仿宋_GB2312" w:hAnsi="Times New Roman" w:eastAsia="仿宋_GB2312" w:cs="Times New Roman"/>
          <w:color w:val="auto"/>
          <w:spacing w:val="0"/>
          <w:kern w:val="2"/>
          <w:sz w:val="32"/>
          <w:szCs w:val="32"/>
          <w:highlight w:val="none"/>
          <w:lang w:val="en-US" w:eastAsia="zh-CN" w:bidi="ar-SA"/>
        </w:rPr>
        <w:t>8809.77万元。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Times New Roman" w:eastAsia="仿宋_GB2312" w:cs="Times New Roman"/>
          <w:color w:val="auto"/>
          <w:spacing w:val="0"/>
          <w:kern w:val="2"/>
          <w:sz w:val="32"/>
          <w:szCs w:val="32"/>
          <w:highlight w:val="none"/>
          <w:lang w:val="zh-CN" w:eastAsia="zh-CN" w:bidi="ar-SA"/>
        </w:rPr>
      </w:pPr>
      <w:r>
        <w:rPr>
          <w:rFonts w:hint="eastAsia" w:ascii="仿宋_GB2312" w:hAnsi="Times New Roman" w:eastAsia="仿宋_GB2312" w:cs="Times New Roman"/>
          <w:color w:val="auto"/>
          <w:spacing w:val="0"/>
          <w:kern w:val="2"/>
          <w:sz w:val="32"/>
          <w:szCs w:val="32"/>
          <w:highlight w:val="none"/>
          <w:lang w:val="zh-CN" w:eastAsia="zh-CN" w:bidi="ar-SA"/>
        </w:rPr>
        <w:t>2023年度一般公共预算财政拨款支出27,291.73万元，占本年支出合计的99.72%。与上年相比，减少8,602.51万元，</w:t>
      </w:r>
      <w:r>
        <w:rPr>
          <w:rFonts w:hint="eastAsia" w:ascii="仿宋_GB2312" w:hAnsi="Times New Roman" w:eastAsia="仿宋_GB2312" w:cs="Times New Roman"/>
          <w:color w:val="auto"/>
          <w:spacing w:val="0"/>
          <w:kern w:val="2"/>
          <w:sz w:val="32"/>
          <w:szCs w:val="32"/>
          <w:highlight w:val="none"/>
          <w:lang w:val="en-US" w:eastAsia="zh-CN" w:bidi="ar-SA"/>
        </w:rPr>
        <w:t>下降23.97%,</w:t>
      </w:r>
      <w:r>
        <w:rPr>
          <w:rFonts w:hint="eastAsia" w:ascii="仿宋_GB2312" w:hAnsi="Times New Roman" w:eastAsia="仿宋_GB2312" w:cs="Times New Roman"/>
          <w:color w:val="auto"/>
          <w:spacing w:val="0"/>
          <w:kern w:val="2"/>
          <w:sz w:val="32"/>
          <w:szCs w:val="32"/>
          <w:highlight w:val="none"/>
          <w:lang w:val="zh-CN" w:eastAsia="zh-CN" w:bidi="ar-SA"/>
        </w:rPr>
        <w:t>主要原因是：是减少了</w:t>
      </w:r>
      <w:r>
        <w:rPr>
          <w:rFonts w:hint="eastAsia" w:ascii="仿宋_GB2312" w:hAnsi="Times New Roman" w:eastAsia="仿宋_GB2312" w:cs="Times New Roman"/>
          <w:color w:val="auto"/>
          <w:spacing w:val="0"/>
          <w:kern w:val="2"/>
          <w:sz w:val="32"/>
          <w:szCs w:val="32"/>
          <w:highlight w:val="none"/>
          <w:lang w:val="en-US" w:eastAsia="zh-CN" w:bidi="ar-SA"/>
        </w:rPr>
        <w:t>防灾减灾项目314.65万元，草原奖补资金2939.14万元</w:t>
      </w:r>
      <w:r>
        <w:rPr>
          <w:rFonts w:hint="eastAsia" w:ascii="仿宋_GB2312" w:hAnsi="Times New Roman" w:eastAsia="仿宋_GB2312" w:cs="Times New Roman"/>
          <w:color w:val="auto"/>
          <w:spacing w:val="0"/>
          <w:kern w:val="2"/>
          <w:sz w:val="32"/>
          <w:szCs w:val="32"/>
          <w:highlight w:val="none"/>
          <w:lang w:val="zh-CN" w:eastAsia="zh-CN" w:bidi="ar-SA"/>
        </w:rPr>
        <w:t>，高标准农田建设资金</w:t>
      </w:r>
      <w:r>
        <w:rPr>
          <w:rFonts w:hint="eastAsia" w:ascii="仿宋_GB2312" w:hAnsi="Times New Roman" w:eastAsia="仿宋_GB2312" w:cs="Times New Roman"/>
          <w:color w:val="auto"/>
          <w:spacing w:val="0"/>
          <w:kern w:val="2"/>
          <w:sz w:val="32"/>
          <w:szCs w:val="32"/>
          <w:highlight w:val="none"/>
          <w:lang w:val="en-US" w:eastAsia="zh-CN" w:bidi="ar-SA"/>
        </w:rPr>
        <w:t>5223.29万元等项目支出</w:t>
      </w:r>
      <w:r>
        <w:rPr>
          <w:rFonts w:hint="eastAsia" w:ascii="仿宋_GB2312" w:hAnsi="Times New Roman" w:eastAsia="仿宋_GB2312" w:cs="Times New Roman"/>
          <w:color w:val="auto"/>
          <w:spacing w:val="0"/>
          <w:kern w:val="2"/>
          <w:sz w:val="32"/>
          <w:szCs w:val="32"/>
          <w:highlight w:val="none"/>
          <w:lang w:val="zh-CN" w:eastAsia="zh-CN" w:bidi="ar-SA"/>
        </w:rPr>
        <w:t>。</w:t>
      </w:r>
    </w:p>
    <w:p>
      <w:pPr>
        <w:pStyle w:val="16"/>
        <w:spacing w:line="360" w:lineRule="auto"/>
        <w:ind w:firstLine="960" w:firstLineChars="300"/>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color w:val="auto"/>
          <w:spacing w:val="0"/>
          <w:kern w:val="2"/>
          <w:sz w:val="32"/>
          <w:szCs w:val="32"/>
          <w:highlight w:val="none"/>
          <w:lang w:val="zh-CN" w:eastAsia="zh-CN" w:bidi="ar-SA"/>
        </w:rPr>
        <w:t>与年初预算相比，年初预算数15,886.38万元，决算数27,291.73万元，预决算差异率71.79%，主要原因是：</w:t>
      </w:r>
      <w:r>
        <w:rPr>
          <w:rFonts w:hint="eastAsia" w:hAnsi="Times New Roman" w:cs="Times New Roman"/>
          <w:color w:val="auto"/>
          <w:spacing w:val="0"/>
          <w:kern w:val="2"/>
          <w:sz w:val="32"/>
          <w:szCs w:val="32"/>
          <w:highlight w:val="none"/>
          <w:lang w:val="zh-CN" w:eastAsia="zh-CN" w:bidi="ar-SA"/>
        </w:rPr>
        <w:t>一是</w:t>
      </w:r>
      <w:r>
        <w:rPr>
          <w:rFonts w:hint="eastAsia" w:ascii="仿宋_GB2312" w:hAnsi="Times New Roman" w:eastAsia="仿宋_GB2312" w:cs="Times New Roman"/>
          <w:color w:val="auto"/>
          <w:spacing w:val="0"/>
          <w:kern w:val="2"/>
          <w:sz w:val="32"/>
          <w:szCs w:val="32"/>
          <w:highlight w:val="none"/>
          <w:lang w:val="zh-CN" w:eastAsia="zh-CN" w:bidi="ar-SA"/>
        </w:rPr>
        <w:t>提高了基础性绩效工资标准，补发了202</w:t>
      </w:r>
      <w:r>
        <w:rPr>
          <w:rFonts w:hint="eastAsia" w:ascii="仿宋_GB2312" w:hAnsi="Times New Roman" w:eastAsia="仿宋_GB2312" w:cs="Times New Roman"/>
          <w:color w:val="auto"/>
          <w:spacing w:val="0"/>
          <w:kern w:val="2"/>
          <w:sz w:val="32"/>
          <w:szCs w:val="32"/>
          <w:highlight w:val="none"/>
          <w:lang w:val="en-US" w:eastAsia="zh-CN" w:bidi="ar-SA"/>
        </w:rPr>
        <w:t>2</w:t>
      </w:r>
      <w:r>
        <w:rPr>
          <w:rFonts w:hint="eastAsia" w:ascii="仿宋_GB2312" w:hAnsi="Times New Roman" w:eastAsia="仿宋_GB2312" w:cs="Times New Roman"/>
          <w:color w:val="auto"/>
          <w:spacing w:val="0"/>
          <w:kern w:val="2"/>
          <w:sz w:val="32"/>
          <w:szCs w:val="32"/>
          <w:highlight w:val="none"/>
          <w:lang w:val="zh-CN" w:eastAsia="zh-CN" w:bidi="ar-SA"/>
        </w:rPr>
        <w:t>年基础性绩效</w:t>
      </w:r>
      <w:r>
        <w:rPr>
          <w:rFonts w:hint="eastAsia" w:hAnsi="Times New Roman" w:cs="Times New Roman"/>
          <w:color w:val="auto"/>
          <w:spacing w:val="0"/>
          <w:kern w:val="2"/>
          <w:sz w:val="32"/>
          <w:szCs w:val="32"/>
          <w:highlight w:val="none"/>
          <w:lang w:val="zh-CN" w:eastAsia="zh-CN" w:bidi="ar-SA"/>
        </w:rPr>
        <w:t>工资的</w:t>
      </w:r>
      <w:r>
        <w:rPr>
          <w:rFonts w:hint="eastAsia" w:ascii="仿宋_GB2312" w:hAnsi="Times New Roman" w:eastAsia="仿宋_GB2312" w:cs="Times New Roman"/>
          <w:color w:val="auto"/>
          <w:spacing w:val="0"/>
          <w:kern w:val="2"/>
          <w:sz w:val="32"/>
          <w:szCs w:val="32"/>
          <w:highlight w:val="none"/>
          <w:lang w:val="zh-CN" w:eastAsia="zh-CN" w:bidi="ar-SA"/>
        </w:rPr>
        <w:t>增</w:t>
      </w:r>
      <w:r>
        <w:rPr>
          <w:rFonts w:hint="eastAsia" w:hAnsi="Times New Roman" w:cs="Times New Roman"/>
          <w:color w:val="auto"/>
          <w:spacing w:val="0"/>
          <w:kern w:val="2"/>
          <w:sz w:val="32"/>
          <w:szCs w:val="32"/>
          <w:highlight w:val="none"/>
          <w:lang w:val="zh-CN" w:eastAsia="zh-CN" w:bidi="ar-SA"/>
        </w:rPr>
        <w:t>加</w:t>
      </w:r>
      <w:r>
        <w:rPr>
          <w:rFonts w:hint="eastAsia" w:ascii="仿宋_GB2312" w:hAnsi="Times New Roman" w:eastAsia="仿宋_GB2312" w:cs="Times New Roman"/>
          <w:color w:val="auto"/>
          <w:spacing w:val="0"/>
          <w:kern w:val="2"/>
          <w:sz w:val="32"/>
          <w:szCs w:val="32"/>
          <w:highlight w:val="none"/>
          <w:lang w:val="zh-CN" w:eastAsia="zh-CN" w:bidi="ar-SA"/>
        </w:rPr>
        <w:t>。这部分支出未纳入年初预算。</w:t>
      </w:r>
      <w:r>
        <w:rPr>
          <w:rFonts w:hint="eastAsia" w:hAnsi="Times New Roman" w:cs="Times New Roman"/>
          <w:color w:val="auto"/>
          <w:spacing w:val="0"/>
          <w:kern w:val="2"/>
          <w:sz w:val="32"/>
          <w:szCs w:val="32"/>
          <w:highlight w:val="none"/>
          <w:lang w:val="zh-CN" w:eastAsia="zh-CN" w:bidi="ar-SA"/>
        </w:rPr>
        <w:t>二是</w:t>
      </w:r>
      <w:r>
        <w:rPr>
          <w:rFonts w:hint="eastAsia" w:ascii="仿宋_GB2312" w:hAnsi="Times New Roman" w:eastAsia="仿宋_GB2312" w:cs="Times New Roman"/>
          <w:color w:val="auto"/>
          <w:spacing w:val="0"/>
          <w:kern w:val="2"/>
          <w:sz w:val="32"/>
          <w:szCs w:val="32"/>
          <w:highlight w:val="none"/>
          <w:lang w:val="zh-CN" w:eastAsia="zh-CN" w:bidi="ar-SA"/>
        </w:rPr>
        <w:t>预算的工会经费、老干活动经费等公用经费，没有完成支付；</w:t>
      </w:r>
      <w:r>
        <w:rPr>
          <w:rFonts w:hint="eastAsia" w:hAnsi="Times New Roman" w:cs="Times New Roman"/>
          <w:color w:val="auto"/>
          <w:spacing w:val="0"/>
          <w:kern w:val="2"/>
          <w:sz w:val="32"/>
          <w:szCs w:val="32"/>
          <w:highlight w:val="none"/>
          <w:lang w:val="en-US" w:eastAsia="zh-CN" w:bidi="ar-SA"/>
        </w:rPr>
        <w:t>三是</w:t>
      </w:r>
      <w:r>
        <w:rPr>
          <w:rFonts w:hint="eastAsia" w:ascii="仿宋_GB2312" w:hAnsi="Times New Roman" w:eastAsia="仿宋_GB2312" w:cs="Times New Roman"/>
          <w:color w:val="auto"/>
          <w:spacing w:val="0"/>
          <w:kern w:val="2"/>
          <w:sz w:val="32"/>
          <w:szCs w:val="32"/>
          <w:highlight w:val="none"/>
          <w:lang w:val="en-US" w:eastAsia="zh-CN" w:bidi="ar-SA"/>
        </w:rPr>
        <w:t>追加支付了前年度</w:t>
      </w:r>
      <w:r>
        <w:rPr>
          <w:rFonts w:hint="eastAsia" w:hAnsi="Times New Roman" w:cs="Times New Roman"/>
          <w:color w:val="auto"/>
          <w:spacing w:val="0"/>
          <w:kern w:val="2"/>
          <w:sz w:val="32"/>
          <w:szCs w:val="32"/>
          <w:highlight w:val="none"/>
          <w:lang w:val="en-US" w:eastAsia="zh-CN" w:bidi="ar-SA"/>
        </w:rPr>
        <w:t>拖</w:t>
      </w:r>
      <w:r>
        <w:rPr>
          <w:rFonts w:hint="eastAsia" w:ascii="仿宋_GB2312" w:hAnsi="Times New Roman" w:eastAsia="仿宋_GB2312" w:cs="Times New Roman"/>
          <w:color w:val="auto"/>
          <w:spacing w:val="0"/>
          <w:kern w:val="2"/>
          <w:sz w:val="32"/>
          <w:szCs w:val="32"/>
          <w:highlight w:val="none"/>
          <w:lang w:val="en-US" w:eastAsia="zh-CN" w:bidi="ar-SA"/>
        </w:rPr>
        <w:t>欠的项目款1261.58万元，以及追加当年上级资金项目支出</w:t>
      </w:r>
      <w:r>
        <w:rPr>
          <w:rFonts w:hint="eastAsia" w:hAnsi="Times New Roman"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en-US" w:eastAsia="zh-CN" w:bidi="ar-SA"/>
        </w:rPr>
        <w:t>高出年初预</w:t>
      </w:r>
      <w:r>
        <w:rPr>
          <w:rFonts w:hint="eastAsia" w:hAnsi="Times New Roman" w:cs="Times New Roman"/>
          <w:color w:val="auto"/>
          <w:spacing w:val="0"/>
          <w:kern w:val="2"/>
          <w:sz w:val="32"/>
          <w:szCs w:val="32"/>
          <w:highlight w:val="none"/>
          <w:lang w:val="en-US" w:eastAsia="zh-CN" w:bidi="ar-SA"/>
        </w:rPr>
        <w:t>算</w:t>
      </w:r>
      <w:r>
        <w:rPr>
          <w:rFonts w:hint="eastAsia" w:ascii="仿宋_GB2312" w:hAnsi="Times New Roman" w:eastAsia="仿宋_GB2312" w:cs="Times New Roman"/>
          <w:color w:val="auto"/>
          <w:spacing w:val="0"/>
          <w:kern w:val="2"/>
          <w:sz w:val="32"/>
          <w:szCs w:val="32"/>
          <w:highlight w:val="none"/>
          <w:lang w:val="en-US" w:eastAsia="zh-CN" w:bidi="ar-SA"/>
        </w:rPr>
        <w:t>8809.77万元。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249.41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0.91%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94.62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0.35%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.农林水支出（类）26,566.4</w:t>
      </w:r>
      <w:r>
        <w:rPr>
          <w:rFonts w:hint="eastAsia" w:ascii="仿宋_GB2312" w:hAnsi="仿宋_GB2312" w:eastAsia="仿宋_GB2312" w:cs="仿宋_GB2312"/>
          <w:color w:val="auto"/>
          <w:spacing w:val="0"/>
          <w:kern w:val="2"/>
          <w:sz w:val="32"/>
          <w:szCs w:val="32"/>
          <w:highlight w:val="none"/>
          <w:lang w:val="en-US" w:eastAsia="zh-CN" w:bidi="ar-SA"/>
        </w:rPr>
        <w:t>1</w:t>
      </w:r>
      <w:r>
        <w:rPr>
          <w:rFonts w:hint="eastAsia" w:ascii="仿宋_GB2312" w:hAnsi="仿宋_GB2312" w:eastAsia="仿宋_GB2312" w:cs="仿宋_GB2312"/>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97.34%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5</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3.00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0.01%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6</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130.26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0.48%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7</w:t>
      </w:r>
      <w:r>
        <w:rPr>
          <w:rFonts w:hint="default" w:ascii="仿宋_GB2312" w:hAnsi="Times New Roman" w:eastAsia="仿宋_GB2312" w:cs="Times New Roman"/>
          <w:color w:val="auto"/>
          <w:spacing w:val="0"/>
          <w:kern w:val="2"/>
          <w:sz w:val="32"/>
          <w:szCs w:val="32"/>
          <w:highlight w:val="none"/>
          <w:lang w:val="zh-CN" w:eastAsia="zh-CN" w:bidi="ar-SA"/>
        </w:rPr>
        <w:t>.粮油物资储备支出（类）</w:t>
      </w:r>
      <w:r>
        <w:rPr>
          <w:rFonts w:hint="eastAsia" w:ascii="仿宋_GB2312" w:hAnsi="Times New Roman" w:eastAsia="仿宋_GB2312" w:cs="Times New Roman"/>
          <w:color w:val="auto"/>
          <w:spacing w:val="0"/>
          <w:kern w:val="2"/>
          <w:sz w:val="32"/>
          <w:szCs w:val="32"/>
          <w:highlight w:val="none"/>
          <w:lang w:val="zh-CN" w:eastAsia="zh-CN" w:bidi="ar-SA"/>
        </w:rPr>
        <w:t>156.71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0.57%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8</w:t>
      </w:r>
      <w:r>
        <w:rPr>
          <w:rFonts w:hint="default" w:ascii="仿宋_GB2312" w:hAnsi="Times New Roman" w:eastAsia="仿宋_GB2312" w:cs="Times New Roman"/>
          <w:color w:val="auto"/>
          <w:spacing w:val="0"/>
          <w:kern w:val="2"/>
          <w:sz w:val="32"/>
          <w:szCs w:val="32"/>
          <w:highlight w:val="none"/>
          <w:lang w:val="zh-CN" w:eastAsia="zh-CN" w:bidi="ar-SA"/>
        </w:rPr>
        <w:t>.其他支出（类）</w:t>
      </w:r>
      <w:r>
        <w:rPr>
          <w:rFonts w:hint="eastAsia" w:ascii="仿宋_GB2312" w:hAnsi="Times New Roman" w:eastAsia="仿宋_GB2312" w:cs="Times New Roman"/>
          <w:color w:val="auto"/>
          <w:spacing w:val="0"/>
          <w:kern w:val="2"/>
          <w:sz w:val="32"/>
          <w:szCs w:val="32"/>
          <w:highlight w:val="none"/>
          <w:lang w:val="zh-CN" w:eastAsia="zh-CN" w:bidi="ar-SA"/>
        </w:rPr>
        <w:t>91.32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zh-CN" w:eastAsia="zh-CN" w:bidi="ar-SA"/>
        </w:rPr>
        <w:t>0.33%</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1.农林水支出（类）农业农村（款）科技转化与推广服务（项）:支出决算数为27.00万元，比上年决算增加6.89万元，增长34.26%，主要原因是：</w:t>
      </w:r>
      <w:r>
        <w:rPr>
          <w:rFonts w:hint="eastAsia" w:ascii="仿宋_GB2312" w:hAnsi="仿宋_GB2312" w:eastAsia="仿宋_GB2312" w:cs="仿宋_GB2312"/>
          <w:color w:val="auto"/>
          <w:kern w:val="2"/>
          <w:sz w:val="32"/>
          <w:szCs w:val="32"/>
          <w:highlight w:val="none"/>
          <w:lang w:val="zh-CN" w:eastAsia="zh-CN" w:bidi="ar-SA"/>
        </w:rPr>
        <w:t>支付了</w:t>
      </w:r>
      <w:r>
        <w:rPr>
          <w:rFonts w:hint="eastAsia" w:ascii="仿宋_GB2312" w:hAnsi="仿宋_GB2312" w:eastAsia="仿宋_GB2312" w:cs="仿宋_GB2312"/>
          <w:color w:val="auto"/>
          <w:kern w:val="2"/>
          <w:sz w:val="32"/>
          <w:szCs w:val="32"/>
          <w:highlight w:val="none"/>
          <w:lang w:val="en-US" w:eastAsia="zh-CN" w:bidi="ar-SA"/>
        </w:rPr>
        <w:t>2019</w:t>
      </w:r>
      <w:r>
        <w:rPr>
          <w:rFonts w:hint="eastAsia" w:ascii="仿宋_GB2312" w:hAnsi="仿宋_GB2312" w:eastAsia="仿宋_GB2312" w:cs="仿宋_GB2312"/>
          <w:color w:val="auto"/>
          <w:kern w:val="2"/>
          <w:sz w:val="32"/>
          <w:szCs w:val="32"/>
          <w:highlight w:val="none"/>
          <w:lang w:val="zh-CN" w:eastAsia="zh-CN" w:bidi="ar-SA"/>
        </w:rPr>
        <w:t>年度废旧地膜回收项目资金</w:t>
      </w:r>
      <w:r>
        <w:rPr>
          <w:rFonts w:hint="eastAsia" w:ascii="仿宋_GB2312" w:hAnsi="仿宋_GB2312" w:eastAsia="仿宋_GB2312" w:cs="仿宋_GB2312"/>
          <w:color w:val="auto"/>
          <w:kern w:val="2"/>
          <w:sz w:val="32"/>
          <w:szCs w:val="32"/>
          <w:highlight w:val="none"/>
          <w:lang w:val="en-US" w:eastAsia="zh-CN" w:bidi="ar-SA"/>
        </w:rPr>
        <w:t>20万元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2.卫生健康支出（类）行政事业单位医疗（款）行政单位医疗（项）:支出决算数为56.46万元，比上年决算减少27.63万元，下降32.86%，主要原因是：</w:t>
      </w:r>
      <w:r>
        <w:rPr>
          <w:rFonts w:hint="eastAsia" w:ascii="仿宋_GB2312" w:hAnsi="仿宋" w:eastAsia="仿宋_GB2312" w:cs="Times New Roman"/>
          <w:bCs w:val="0"/>
          <w:sz w:val="32"/>
          <w:szCs w:val="32"/>
          <w:lang w:eastAsia="zh-CN"/>
        </w:rPr>
        <w:t>退休人员</w:t>
      </w:r>
      <w:r>
        <w:rPr>
          <w:rFonts w:hint="eastAsia" w:ascii="仿宋_GB2312" w:hAnsi="仿宋" w:eastAsia="仿宋_GB2312" w:cs="Times New Roman"/>
          <w:bCs w:val="0"/>
          <w:color w:val="000000"/>
          <w:sz w:val="32"/>
          <w:szCs w:val="32"/>
          <w:lang w:val="en-US" w:eastAsia="zh-CN"/>
        </w:rPr>
        <w:t>基本医保缴</w:t>
      </w:r>
      <w:r>
        <w:rPr>
          <w:rFonts w:hint="eastAsia" w:ascii="仿宋_GB2312" w:hAnsi="仿宋" w:eastAsia="仿宋_GB2312" w:cs="Times New Roman"/>
          <w:bCs w:val="0"/>
          <w:sz w:val="32"/>
          <w:szCs w:val="32"/>
          <w:lang w:val="en-US" w:eastAsia="zh-CN"/>
        </w:rPr>
        <w:t>费年限做调整，退缴多缴纳基本医保</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3.卫生健康支出（类）行政事业单位医疗（款）事业单位医疗（项）:支出决算数为11.01万元，比上年决算减少2.64万元，下降19.34%，主要原因是：</w:t>
      </w:r>
      <w:r>
        <w:rPr>
          <w:rFonts w:hint="eastAsia" w:ascii="仿宋_GB2312" w:hAnsi="仿宋" w:eastAsia="仿宋_GB2312" w:cs="Times New Roman"/>
          <w:bCs w:val="0"/>
          <w:sz w:val="32"/>
          <w:szCs w:val="32"/>
          <w:lang w:eastAsia="zh-CN"/>
        </w:rPr>
        <w:t>退休人员</w:t>
      </w:r>
      <w:r>
        <w:rPr>
          <w:rFonts w:hint="eastAsia" w:ascii="仿宋_GB2312" w:hAnsi="仿宋" w:eastAsia="仿宋_GB2312" w:cs="Times New Roman"/>
          <w:bCs w:val="0"/>
          <w:color w:val="000000"/>
          <w:sz w:val="32"/>
          <w:szCs w:val="32"/>
          <w:lang w:val="en-US" w:eastAsia="zh-CN"/>
        </w:rPr>
        <w:t>基本医保缴</w:t>
      </w:r>
      <w:r>
        <w:rPr>
          <w:rFonts w:hint="eastAsia" w:ascii="仿宋_GB2312" w:hAnsi="仿宋" w:eastAsia="仿宋_GB2312" w:cs="Times New Roman"/>
          <w:bCs w:val="0"/>
          <w:sz w:val="32"/>
          <w:szCs w:val="32"/>
          <w:lang w:val="en-US" w:eastAsia="zh-CN"/>
        </w:rPr>
        <w:t>费年限做调整，退缴多缴纳基本医保</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4.农林水支出（类）农业农村（款）事业运行（项）:支出决算数为209.66万元，比上年决算增加209.66万元，增长100%，主要原因是：</w:t>
      </w:r>
      <w:r>
        <w:rPr>
          <w:rFonts w:hint="eastAsia" w:ascii="仿宋_GB2312" w:hAnsi="Times New Roman" w:eastAsia="仿宋_GB2312" w:cs="Times New Roman"/>
          <w:color w:val="auto"/>
          <w:spacing w:val="0"/>
          <w:kern w:val="2"/>
          <w:sz w:val="32"/>
          <w:szCs w:val="32"/>
          <w:highlight w:val="none"/>
          <w:lang w:val="zh-CN" w:eastAsia="zh-CN" w:bidi="ar-SA"/>
        </w:rPr>
        <w:t>以前年度事业运行与行政运行一起核算，</w:t>
      </w:r>
      <w:r>
        <w:rPr>
          <w:rFonts w:hint="eastAsia" w:ascii="仿宋_GB2312" w:hAnsi="仿宋_GB2312" w:eastAsia="仿宋_GB2312" w:cs="仿宋_GB2312"/>
          <w:color w:val="auto"/>
          <w:kern w:val="2"/>
          <w:sz w:val="32"/>
          <w:szCs w:val="32"/>
          <w:highlight w:val="none"/>
          <w:lang w:val="en-US" w:eastAsia="zh-CN" w:bidi="ar-SA"/>
        </w:rPr>
        <w:t>事业运行（项）无数字，</w:t>
      </w:r>
      <w:r>
        <w:rPr>
          <w:rFonts w:hint="eastAsia" w:ascii="仿宋_GB2312" w:hAnsi="Times New Roman" w:eastAsia="仿宋_GB2312" w:cs="Times New Roman"/>
          <w:color w:val="auto"/>
          <w:spacing w:val="0"/>
          <w:kern w:val="2"/>
          <w:sz w:val="32"/>
          <w:szCs w:val="32"/>
          <w:highlight w:val="none"/>
          <w:lang w:val="zh-CN" w:eastAsia="zh-CN" w:bidi="ar-SA"/>
        </w:rPr>
        <w:t>本年度分开核算</w:t>
      </w:r>
      <w:r>
        <w:rPr>
          <w:rFonts w:hint="eastAsia" w:ascii="仿宋_GB2312" w:hAnsi="仿宋_GB2312" w:eastAsia="仿宋_GB2312" w:cs="仿宋_GB2312"/>
          <w:color w:val="auto"/>
          <w:kern w:val="2"/>
          <w:sz w:val="32"/>
          <w:szCs w:val="32"/>
          <w:highlight w:val="none"/>
          <w:lang w:val="zh-CN" w:eastAsia="zh-CN" w:bidi="ar-SA"/>
        </w:rPr>
        <w:t>。将应该列入</w:t>
      </w:r>
      <w:r>
        <w:rPr>
          <w:rFonts w:hint="eastAsia" w:ascii="仿宋_GB2312" w:hAnsi="仿宋_GB2312" w:eastAsia="仿宋_GB2312" w:cs="仿宋_GB2312"/>
          <w:color w:val="auto"/>
          <w:kern w:val="2"/>
          <w:sz w:val="32"/>
          <w:szCs w:val="32"/>
          <w:highlight w:val="none"/>
          <w:lang w:val="en-US" w:eastAsia="zh-CN" w:bidi="ar-SA"/>
        </w:rPr>
        <w:t>事业运行（项）支出数209.66万元，从行政运行（项）中分开核算，导致增加了事业运行（项）。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5.卫生健康支出（类）行政事业单位医疗（款）公务员医疗补助（项）:支出决算数为27.15万元，比上年决算减少13.59万元，下降33.36%，主要原因是：</w:t>
      </w:r>
      <w:r>
        <w:rPr>
          <w:rFonts w:hint="eastAsia" w:ascii="仿宋_GB2312" w:hAnsi="仿宋" w:eastAsia="仿宋_GB2312" w:cs="Times New Roman"/>
          <w:bCs w:val="0"/>
          <w:sz w:val="32"/>
          <w:szCs w:val="32"/>
          <w:lang w:eastAsia="zh-CN"/>
        </w:rPr>
        <w:t>退休人员</w:t>
      </w:r>
      <w:r>
        <w:rPr>
          <w:rFonts w:hint="eastAsia" w:ascii="仿宋_GB2312" w:hAnsi="仿宋" w:eastAsia="仿宋_GB2312" w:cs="Times New Roman"/>
          <w:bCs w:val="0"/>
          <w:color w:val="000000"/>
          <w:sz w:val="32"/>
          <w:szCs w:val="32"/>
          <w:lang w:val="en-US" w:eastAsia="zh-CN"/>
        </w:rPr>
        <w:t>基本医保缴</w:t>
      </w:r>
      <w:r>
        <w:rPr>
          <w:rFonts w:hint="eastAsia" w:ascii="仿宋_GB2312" w:hAnsi="仿宋" w:eastAsia="仿宋_GB2312" w:cs="Times New Roman"/>
          <w:bCs w:val="0"/>
          <w:sz w:val="32"/>
          <w:szCs w:val="32"/>
          <w:lang w:val="en-US" w:eastAsia="zh-CN"/>
        </w:rPr>
        <w:t>费年限做调整，退回多缴纳基本医保</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6.住房保障支出（类）保障性安居工程支出（款）少数民族地区游牧民定居工程（项）:支出决算数为10.00万元，比上年决算增加10.00万元，增长100%，主要原因是：本年度</w:t>
      </w:r>
      <w:r>
        <w:rPr>
          <w:rFonts w:hint="eastAsia" w:ascii="仿宋_GB2312" w:hAnsi="仿宋_GB2312" w:eastAsia="仿宋_GB2312" w:cs="仿宋_GB2312"/>
          <w:color w:val="auto"/>
          <w:kern w:val="2"/>
          <w:sz w:val="32"/>
          <w:szCs w:val="32"/>
          <w:highlight w:val="none"/>
          <w:lang w:val="zh-CN" w:eastAsia="zh-CN" w:bidi="ar-SA"/>
        </w:rPr>
        <w:t>支付了</w:t>
      </w:r>
      <w:r>
        <w:rPr>
          <w:rFonts w:hint="eastAsia" w:ascii="仿宋_GB2312" w:hAnsi="仿宋_GB2312" w:eastAsia="仿宋_GB2312" w:cs="仿宋_GB2312"/>
          <w:color w:val="auto"/>
          <w:kern w:val="2"/>
          <w:sz w:val="32"/>
          <w:szCs w:val="32"/>
          <w:highlight w:val="none"/>
          <w:lang w:val="en-US" w:eastAsia="zh-CN" w:bidi="ar-SA"/>
        </w:rPr>
        <w:t>少数民族地区游牧民定居工程项目资金10万元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7.农林水支出（类）普惠金融发展支出（款）农业保险保费补贴（项）:支出决算数为6,749.49万元，比上年决算减少4,774.02万元，下降41.43%，主要原因是：</w:t>
      </w:r>
      <w:r>
        <w:rPr>
          <w:rFonts w:hint="eastAsia" w:ascii="仿宋_GB2312" w:eastAsia="仿宋_GB2312"/>
          <w:sz w:val="32"/>
          <w:szCs w:val="32"/>
          <w:highlight w:val="none"/>
          <w:lang w:val="en-US" w:eastAsia="zh-CN"/>
        </w:rPr>
        <w:t>上年度支付了2020年部分农业保险支出5099万元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8.住房保障支出（类）住房改革支出（款）住房公积金（项）:支出决算数为120.26万元，比上年决算增加10.88万元，增长9.95%，主要原因是：</w:t>
      </w:r>
      <w:r>
        <w:rPr>
          <w:rFonts w:hint="eastAsia" w:ascii="仿宋_GB2312" w:hAnsi="仿宋" w:eastAsia="仿宋_GB2312" w:cs="Times New Roman"/>
          <w:bCs w:val="0"/>
          <w:color w:val="000000"/>
          <w:sz w:val="32"/>
          <w:szCs w:val="32"/>
          <w:lang w:eastAsia="zh-CN"/>
        </w:rPr>
        <w:t>新调入人员</w:t>
      </w:r>
      <w:r>
        <w:rPr>
          <w:rFonts w:hint="eastAsia" w:ascii="仿宋_GB2312" w:hAnsi="仿宋" w:eastAsia="仿宋_GB2312" w:cs="Times New Roman"/>
          <w:bCs w:val="0"/>
          <w:sz w:val="32"/>
          <w:szCs w:val="32"/>
          <w:lang w:val="en-US" w:eastAsia="zh-CN"/>
        </w:rPr>
        <w:t>5</w:t>
      </w:r>
      <w:r>
        <w:rPr>
          <w:rFonts w:hint="eastAsia" w:ascii="仿宋_GB2312" w:hAnsi="仿宋" w:eastAsia="仿宋_GB2312" w:cs="Times New Roman"/>
          <w:bCs w:val="0"/>
          <w:color w:val="000000"/>
          <w:sz w:val="32"/>
          <w:szCs w:val="32"/>
          <w:lang w:val="en-US" w:eastAsia="zh-CN"/>
        </w:rPr>
        <w:t>人的</w:t>
      </w:r>
      <w:r>
        <w:rPr>
          <w:rFonts w:hint="eastAsia" w:ascii="仿宋_GB2312" w:hAnsi="仿宋" w:eastAsia="仿宋_GB2312" w:cs="Times New Roman"/>
          <w:bCs w:val="0"/>
          <w:sz w:val="32"/>
          <w:szCs w:val="32"/>
          <w:lang w:eastAsia="zh-CN"/>
        </w:rPr>
        <w:t>住房公积金</w:t>
      </w:r>
      <w:r>
        <w:rPr>
          <w:rFonts w:hint="eastAsia" w:ascii="仿宋_GB2312" w:hAnsi="仿宋" w:eastAsia="仿宋_GB2312" w:cs="Times New Roman"/>
          <w:bCs w:val="0"/>
          <w:color w:val="000000"/>
          <w:sz w:val="32"/>
          <w:szCs w:val="32"/>
          <w:lang w:eastAsia="zh-CN"/>
        </w:rPr>
        <w:t>支出，同时公积金基数调整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9.农林水支出（类）农业农村（款）病虫害控制（项）:支出决算数为309.86万元，比上年决算减少33.39万元，下降9.73%，主要原因是：</w:t>
      </w:r>
      <w:r>
        <w:rPr>
          <w:rFonts w:hint="eastAsia" w:ascii="仿宋_GB2312" w:eastAsia="仿宋_GB2312"/>
          <w:sz w:val="32"/>
          <w:szCs w:val="32"/>
          <w:highlight w:val="none"/>
          <w:lang w:val="en-US" w:eastAsia="zh-CN"/>
        </w:rPr>
        <w:t>上年度支付了2021年动物防疫补助经费项目支出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10.农林水支出（类）农业农村（款）防灾救灾（项）:支出决算数为30.00万元，比上年决算减少314.65万元，下降91.30%，主要原因是：</w:t>
      </w:r>
      <w:r>
        <w:rPr>
          <w:rFonts w:hint="eastAsia" w:ascii="仿宋_GB2312" w:eastAsia="仿宋_GB2312"/>
          <w:color w:val="auto"/>
          <w:sz w:val="32"/>
          <w:szCs w:val="32"/>
          <w:highlight w:val="none"/>
          <w:lang w:val="en-US" w:eastAsia="zh-CN"/>
        </w:rPr>
        <w:t>上年度支付了2021年、2022年农业生产和水利救灾资金344.65万元，本年度只支付了本年度的30万元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11.农林水支出（类）农业农村（款）农田建设（项）:支出决算数为4,883.78万元，比上年决算减少3,410.59万元，下降41.12%，主要原因是：</w:t>
      </w:r>
      <w:r>
        <w:rPr>
          <w:rFonts w:hint="eastAsia" w:ascii="仿宋_GB2312" w:eastAsia="仿宋_GB2312"/>
          <w:color w:val="auto"/>
          <w:sz w:val="32"/>
          <w:szCs w:val="32"/>
          <w:highlight w:val="none"/>
          <w:lang w:val="en-US" w:eastAsia="zh-CN"/>
        </w:rPr>
        <w:t>上年度支付了2020年高标准农田建设项目资金1715.6万元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default" w:ascii="仿宋_GB2312" w:eastAsia="仿宋_GB2312"/>
          <w:sz w:val="32"/>
          <w:szCs w:val="32"/>
          <w:highlight w:val="yellow"/>
          <w:lang w:val="en-US" w:eastAsia="zh-CN"/>
        </w:rPr>
      </w:pPr>
      <w:r>
        <w:rPr>
          <w:rFonts w:hint="eastAsia" w:ascii="仿宋_GB2312" w:hAnsi="仿宋_GB2312" w:eastAsia="仿宋_GB2312" w:cs="仿宋_GB2312"/>
          <w:color w:val="auto"/>
          <w:kern w:val="2"/>
          <w:sz w:val="32"/>
          <w:szCs w:val="32"/>
          <w:highlight w:val="none"/>
          <w:lang w:val="en-US" w:eastAsia="zh-CN" w:bidi="ar-SA"/>
        </w:rPr>
        <w:t>12.社会保障和就业支出（类）行政事业单位养老支出（款）事业单位离退休（项）:支出决算数为0.98万元，比上年决算减少11.93万元，下降92.41%，主要原因是：</w:t>
      </w:r>
      <w:r>
        <w:rPr>
          <w:rFonts w:hint="eastAsia" w:ascii="仿宋_GB2312" w:eastAsia="仿宋_GB2312"/>
          <w:color w:val="auto"/>
          <w:sz w:val="32"/>
          <w:szCs w:val="32"/>
          <w:highlight w:val="none"/>
          <w:lang w:val="en-US" w:eastAsia="zh-CN"/>
        </w:rPr>
        <w:t>上年度行政退休工人费用在事业单位离退休（项）单独核算，本年度将行政退休工人费用在行政单位离退休（项）核算。</w:t>
      </w:r>
      <w:r>
        <w:rPr>
          <w:rFonts w:hint="eastAsia" w:ascii="仿宋_GB2312" w:hAnsi="仿宋_GB2312" w:eastAsia="仿宋_GB2312" w:cs="仿宋_GB2312"/>
          <w:color w:val="auto"/>
          <w:kern w:val="2"/>
          <w:sz w:val="32"/>
          <w:szCs w:val="32"/>
          <w:highlight w:val="none"/>
          <w:lang w:val="en-US" w:eastAsia="zh-CN" w:bidi="ar-SA"/>
        </w:rPr>
        <w:t>本年度只有1名事业退休人员，年度退休费用为0.98万元。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yellow"/>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社会保障和就业支出（类）行政事业单位养老支出（款）行政单位离退休（项）:支出决算数为46.71万元，比上年决算增加32.13万元，增长220.37%，主要原因是：本年度增加了8名退休人员，增加了退休费用，同时本年度79名退休人员退休生活补贴标准提高，增加了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14.农林水支出（类）农业农村（款）行政运行（项）:支出决算数为1,230.74万元，比上年决算减少110.77万元，下降8.26%，主要原因是：</w:t>
      </w:r>
      <w:r>
        <w:rPr>
          <w:rFonts w:hint="eastAsia" w:ascii="仿宋_GB2312" w:hAnsi="Times New Roman" w:eastAsia="仿宋_GB2312" w:cs="Times New Roman"/>
          <w:color w:val="auto"/>
          <w:spacing w:val="0"/>
          <w:kern w:val="2"/>
          <w:sz w:val="32"/>
          <w:szCs w:val="32"/>
          <w:highlight w:val="none"/>
          <w:lang w:val="zh-CN" w:eastAsia="zh-CN" w:bidi="ar-SA"/>
        </w:rPr>
        <w:t>以前年度事业运行与行政运行一起核算，本年度分开核算</w:t>
      </w:r>
      <w:r>
        <w:rPr>
          <w:rFonts w:hint="eastAsia" w:ascii="仿宋_GB2312" w:hAnsi="仿宋_GB2312" w:eastAsia="仿宋_GB2312" w:cs="仿宋_GB2312"/>
          <w:color w:val="auto"/>
          <w:kern w:val="2"/>
          <w:sz w:val="32"/>
          <w:szCs w:val="32"/>
          <w:highlight w:val="none"/>
          <w:lang w:val="zh-CN" w:eastAsia="zh-CN" w:bidi="ar-SA"/>
        </w:rPr>
        <w:t>。减少金额</w:t>
      </w:r>
      <w:r>
        <w:rPr>
          <w:rFonts w:hint="eastAsia" w:ascii="仿宋_GB2312" w:hAnsi="仿宋_GB2312" w:eastAsia="仿宋_GB2312" w:cs="仿宋_GB2312"/>
          <w:color w:val="auto"/>
          <w:kern w:val="2"/>
          <w:sz w:val="32"/>
          <w:szCs w:val="32"/>
          <w:highlight w:val="none"/>
          <w:lang w:val="en-US" w:eastAsia="zh-CN" w:bidi="ar-SA"/>
        </w:rPr>
        <w:t>110.77万元主要为事业单位人员支出费用，列入了事业运行。</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15.农林水支出（类）农业农村（款）农业资源保护修复与利用（项）:支出决算数为3,922.54万元，比上年决算减少2,702.14万元，下降40.79%，主要原因是：上年度支付了2021年、2022年</w:t>
      </w:r>
      <w:r>
        <w:rPr>
          <w:rFonts w:hint="eastAsia" w:ascii="仿宋_GB2312" w:eastAsia="仿宋_GB2312"/>
          <w:color w:val="auto"/>
          <w:sz w:val="32"/>
          <w:szCs w:val="32"/>
          <w:highlight w:val="none"/>
          <w:lang w:val="en-US" w:eastAsia="zh-CN"/>
        </w:rPr>
        <w:t>草原生态奖补保护补助奖励项目资金6624.68万元，</w:t>
      </w:r>
      <w:r>
        <w:rPr>
          <w:rFonts w:hint="eastAsia" w:ascii="仿宋_GB2312" w:hAnsi="仿宋_GB2312" w:eastAsia="仿宋_GB2312" w:cs="仿宋_GB2312"/>
          <w:color w:val="auto"/>
          <w:kern w:val="2"/>
          <w:sz w:val="32"/>
          <w:szCs w:val="32"/>
          <w:highlight w:val="none"/>
          <w:lang w:val="en-US" w:eastAsia="zh-CN" w:bidi="ar-SA"/>
        </w:rPr>
        <w:t>本年度只支付了本年度的草原</w:t>
      </w:r>
      <w:r>
        <w:rPr>
          <w:rFonts w:hint="eastAsia" w:ascii="仿宋_GB2312" w:eastAsia="仿宋_GB2312"/>
          <w:color w:val="auto"/>
          <w:sz w:val="32"/>
          <w:szCs w:val="32"/>
          <w:highlight w:val="none"/>
          <w:lang w:val="en-US" w:eastAsia="zh-CN"/>
        </w:rPr>
        <w:t>生态奖补保护补助奖励项目资金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16.社会保障和就业支出（类）行政事业单位养老支出（款）机关事业单位职业年金缴费支出（项）:支出决算数为49.03万元，比上年决算增加22.67万元，增长86.00%，主要原因是：</w:t>
      </w:r>
      <w:r>
        <w:rPr>
          <w:rFonts w:hint="eastAsia" w:ascii="仿宋_GB2312" w:hAnsi="仿宋" w:eastAsia="仿宋_GB2312" w:cs="Times New Roman"/>
          <w:bCs w:val="0"/>
          <w:color w:val="000000"/>
          <w:sz w:val="32"/>
          <w:szCs w:val="32"/>
          <w:lang w:eastAsia="zh-CN"/>
        </w:rPr>
        <w:t>主要原因为新增</w:t>
      </w:r>
      <w:r>
        <w:rPr>
          <w:rFonts w:hint="eastAsia" w:ascii="仿宋_GB2312" w:hAnsi="仿宋" w:eastAsia="仿宋_GB2312" w:cs="Times New Roman"/>
          <w:bCs w:val="0"/>
          <w:sz w:val="32"/>
          <w:szCs w:val="32"/>
          <w:lang w:eastAsia="zh-CN"/>
        </w:rPr>
        <w:t>在职转退休</w:t>
      </w:r>
      <w:r>
        <w:rPr>
          <w:rFonts w:hint="eastAsia" w:ascii="仿宋_GB2312" w:hAnsi="仿宋" w:eastAsia="仿宋_GB2312" w:cs="Times New Roman"/>
          <w:bCs w:val="0"/>
          <w:sz w:val="32"/>
          <w:szCs w:val="32"/>
          <w:lang w:val="en-US" w:eastAsia="zh-CN"/>
        </w:rPr>
        <w:t>8人补缴的职业年金</w:t>
      </w:r>
      <w:r>
        <w:rPr>
          <w:rFonts w:hint="eastAsia" w:ascii="仿宋_GB2312" w:hAnsi="仿宋" w:eastAsia="仿宋_GB2312" w:cs="Times New Roman"/>
          <w:bCs w:val="0"/>
          <w:color w:val="000000"/>
          <w:sz w:val="32"/>
          <w:szCs w:val="32"/>
          <w:lang w:eastAsia="zh-CN"/>
        </w:rPr>
        <w:t>支出</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17.社会保障和就业支出（类）行政事业单位养老支出（款）机关事业单位基本养老保险缴费支出（项）:支出决算数为152.69万元，比上年决算增加29.55万元，增长24.00%，主要原因是：本年度新增加5人，同时养老基数调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18.农林水支出（类）农业农村（款）农业生产发展（项）:支出决算数为8,890.74万元，比上年决算增加4,037.47万元，增长83.19%，主要原因是：</w:t>
      </w:r>
      <w:r>
        <w:rPr>
          <w:rFonts w:hint="eastAsia" w:ascii="仿宋_GB2312" w:hAnsi="仿宋_GB2312" w:eastAsia="仿宋_GB2312" w:cs="仿宋_GB2312"/>
          <w:color w:val="auto"/>
          <w:kern w:val="2"/>
          <w:sz w:val="32"/>
          <w:szCs w:val="32"/>
          <w:highlight w:val="none"/>
          <w:lang w:val="zh-CN" w:eastAsia="zh-CN" w:bidi="ar-SA"/>
        </w:rPr>
        <w:t>本年度支付了以前年度农业生产发展项目</w:t>
      </w:r>
      <w:r>
        <w:rPr>
          <w:rFonts w:hint="eastAsia" w:ascii="仿宋_GB2312" w:hAnsi="仿宋_GB2312" w:eastAsia="仿宋_GB2312" w:cs="仿宋_GB2312"/>
          <w:color w:val="auto"/>
          <w:kern w:val="2"/>
          <w:sz w:val="32"/>
          <w:szCs w:val="32"/>
          <w:highlight w:val="none"/>
          <w:lang w:val="en-US" w:eastAsia="zh-CN" w:bidi="ar-SA"/>
        </w:rPr>
        <w:t>-</w:t>
      </w:r>
      <w:r>
        <w:rPr>
          <w:rFonts w:hint="eastAsia" w:ascii="仿宋_GB2312" w:eastAsia="仿宋_GB2312"/>
          <w:color w:val="auto"/>
          <w:sz w:val="32"/>
          <w:szCs w:val="32"/>
          <w:highlight w:val="none"/>
          <w:lang w:val="en-US" w:eastAsia="zh-CN"/>
        </w:rPr>
        <w:t>农机深松、农机购置项目资金4853.27万元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19.农林水支出（类）农业农村（款）其他农业农村支出（项）:支出决算数为312.61万元，比上年决算减少1,626.91万元，下降83.88%，主要原因是：本年度与上年相比减少了</w:t>
      </w:r>
      <w:r>
        <w:rPr>
          <w:rFonts w:hint="eastAsia" w:ascii="仿宋_GB2312" w:eastAsia="仿宋_GB2312"/>
          <w:color w:val="auto"/>
          <w:sz w:val="32"/>
          <w:szCs w:val="32"/>
          <w:highlight w:val="none"/>
          <w:lang w:val="en-US" w:eastAsia="zh-CN"/>
        </w:rPr>
        <w:t>高标准农田和土地保护建设项目中央基建投资1733万元</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20.自然资源海洋气象等支出（类）气象事务（款）其他气象事务支出（项）:支出决算数为3.00万元，比上年决算减少42.00万元，下降93.33%，主要原因是：本年度减少了</w:t>
      </w:r>
      <w:r>
        <w:rPr>
          <w:rFonts w:hint="eastAsia" w:ascii="仿宋_GB2312" w:eastAsia="仿宋_GB2312"/>
          <w:sz w:val="32"/>
          <w:szCs w:val="32"/>
          <w:highlight w:val="none"/>
          <w:lang w:val="en-US" w:eastAsia="zh-CN"/>
        </w:rPr>
        <w:t>自治区三农气象服务及区域气象保障专项（三农气象服务专项经费）项目资金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21.粮油物资储备支出（类）粮油物资事务（款）其他粮油物资事务支出（项）:支出决算数为156.71万元，比上年决算增加156.71万元，增长100%，主要原因是：</w:t>
      </w:r>
      <w:r>
        <w:rPr>
          <w:rFonts w:hint="eastAsia" w:ascii="仿宋_GB2312" w:hAnsi="仿宋_GB2312" w:eastAsia="仿宋_GB2312" w:cs="仿宋_GB2312"/>
          <w:color w:val="auto"/>
          <w:kern w:val="2"/>
          <w:sz w:val="32"/>
          <w:szCs w:val="32"/>
          <w:highlight w:val="none"/>
          <w:lang w:val="zh-CN" w:eastAsia="zh-CN" w:bidi="ar-SA"/>
        </w:rPr>
        <w:t>本年度新增了</w:t>
      </w:r>
      <w:r>
        <w:rPr>
          <w:rFonts w:hint="eastAsia" w:ascii="仿宋_GB2312" w:hAnsi="仿宋_GB2312" w:eastAsia="仿宋_GB2312" w:cs="仿宋_GB2312"/>
          <w:color w:val="auto"/>
          <w:kern w:val="2"/>
          <w:sz w:val="32"/>
          <w:szCs w:val="32"/>
          <w:highlight w:val="none"/>
          <w:lang w:val="en-US" w:eastAsia="zh-CN" w:bidi="ar-SA"/>
        </w:rPr>
        <w:t>粮油物资储备支出项目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22.其他支出（类）其他支出（款）其他支出（项）:支出决算数为91.32万元，比上年决算增加73.82万元，增长421.83%，主要原因是：本年度</w:t>
      </w:r>
      <w:r>
        <w:rPr>
          <w:rFonts w:hint="eastAsia" w:ascii="仿宋_GB2312" w:eastAsia="仿宋_GB2312"/>
          <w:color w:val="auto"/>
          <w:sz w:val="32"/>
          <w:szCs w:val="32"/>
          <w:highlight w:val="none"/>
          <w:lang w:val="en-US" w:eastAsia="zh-CN"/>
        </w:rPr>
        <w:t>支付了上年度为民办实事工作经费17.5万元</w:t>
      </w:r>
      <w:r>
        <w:rPr>
          <w:rFonts w:hint="eastAsia" w:ascii="仿宋_GB2312" w:hAnsi="仿宋_GB2312" w:eastAsia="仿宋_GB2312" w:cs="仿宋_GB2312"/>
          <w:color w:val="auto"/>
          <w:kern w:val="2"/>
          <w:sz w:val="32"/>
          <w:szCs w:val="32"/>
          <w:highlight w:val="none"/>
          <w:lang w:val="zh-CN" w:eastAsia="zh-CN" w:bidi="ar-SA"/>
        </w:rPr>
        <w:t>。其余为本年度为民办实事经费支出。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23.节能环保支出（类）自然生态保护（款）农村环境保护（项）:支出决算数为0.00万元，比上年决算减少0.54万元，下降100%，主要原因是：本年度没有节能环保支出项目</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24.农林水支出（类）其他农林水支出（款）其他农林水支出（项）:支出决算数为0.00万元，比上年决算减少121.48万元，下降100%，主要原因是：本年度没有支付</w:t>
      </w:r>
      <w:r>
        <w:rPr>
          <w:rFonts w:hint="eastAsia" w:ascii="仿宋_GB2312" w:eastAsia="仿宋_GB2312"/>
          <w:sz w:val="32"/>
          <w:szCs w:val="32"/>
          <w:highlight w:val="none"/>
          <w:lang w:val="en-US" w:eastAsia="zh-CN"/>
        </w:rPr>
        <w:t>中央农业资源及生态保护补助资金项目资金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1,924.80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1,815.45</w:t>
      </w:r>
      <w:r>
        <w:rPr>
          <w:rFonts w:hint="eastAsia" w:ascii="仿宋_GB2312" w:eastAsia="仿宋_GB2312"/>
          <w:color w:val="auto"/>
          <w:sz w:val="32"/>
          <w:szCs w:val="32"/>
          <w:highlight w:val="none"/>
        </w:rPr>
        <w:t>万元，包括：</w:t>
      </w:r>
      <w:r>
        <w:rPr>
          <w:rFonts w:hint="eastAsia" w:ascii="仿宋_GB2312" w:eastAsia="仿宋_GB2312"/>
          <w:sz w:val="32"/>
          <w:szCs w:val="32"/>
          <w:highlight w:val="none"/>
        </w:rPr>
        <w:t>、津贴补贴、奖金、绩效工资、机关事业单位基本养老保险缴费、职业年金缴费、职工基本医疗保险缴费、公务员医疗补助缴费、其他社会保障缴费、住房公积金、退休费、抚恤金、生活补助</w:t>
      </w:r>
      <w:r>
        <w:rPr>
          <w:rFonts w:hint="eastAsia" w:ascii="仿宋_GB2312" w:eastAsia="仿宋_GB2312"/>
          <w:color w:val="auto"/>
          <w:sz w:val="32"/>
          <w:szCs w:val="32"/>
          <w:highlight w:val="none"/>
          <w:lang w:val="en-US" w:eastAsia="zh-CN"/>
        </w:rPr>
        <w:t>、其他对个人和家庭的补助。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109.35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办公费、印刷费、水费</w:t>
      </w:r>
      <w:r>
        <w:rPr>
          <w:rFonts w:hint="eastAsia" w:ascii="仿宋_GB2312" w:eastAsia="仿宋_GB2312"/>
          <w:color w:val="FF0000"/>
          <w:sz w:val="32"/>
          <w:szCs w:val="32"/>
          <w:highlight w:val="none"/>
          <w:lang w:val="en-US" w:eastAsia="zh-CN"/>
        </w:rPr>
        <w:t>、</w:t>
      </w:r>
      <w:r>
        <w:rPr>
          <w:rFonts w:hint="eastAsia" w:ascii="仿宋_GB2312" w:eastAsia="仿宋_GB2312"/>
          <w:color w:val="auto"/>
          <w:sz w:val="32"/>
          <w:szCs w:val="32"/>
          <w:highlight w:val="none"/>
          <w:lang w:val="en-US" w:eastAsia="zh-CN"/>
        </w:rPr>
        <w:t>电费、邮电费、取暖费、物业管理费、差旅费、维修（护）费、租赁费、培训费、公务接待费、工会经费、公务用车运行维护费、其他商品和服务支出</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“三公”经费支出18.70万元，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减少0.06万元，</w:t>
      </w:r>
      <w:r>
        <w:rPr>
          <w:rFonts w:hint="eastAsia" w:ascii="仿宋_GB2312" w:eastAsia="仿宋_GB2312"/>
          <w:color w:val="auto"/>
          <w:spacing w:val="0"/>
          <w:sz w:val="32"/>
          <w:szCs w:val="32"/>
          <w:highlight w:val="none"/>
          <w:lang w:val="en-US" w:eastAsia="zh-CN"/>
        </w:rPr>
        <w:t>下降0.32%,</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本单位在执行过程中严格按照中央八项规定要求，控制“三公”经费预算执行数</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我单位202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年没有安排因公出国（境）费支出</w:t>
      </w:r>
      <w:r>
        <w:rPr>
          <w:rFonts w:hint="eastAsia" w:ascii="仿宋_GB2312" w:eastAsia="仿宋_GB2312"/>
          <w:color w:val="auto"/>
          <w:sz w:val="32"/>
          <w:szCs w:val="32"/>
          <w:highlight w:val="none"/>
          <w:lang w:val="zh-CN" w:eastAsia="zh-CN"/>
        </w:rPr>
        <w:t>；公务用车购置及运行维护费支出17.40万元，占93.05%，比上年增加0.01万元，</w:t>
      </w:r>
      <w:r>
        <w:rPr>
          <w:rFonts w:hint="eastAsia" w:ascii="仿宋_GB2312" w:eastAsia="仿宋_GB2312"/>
          <w:color w:val="auto"/>
          <w:spacing w:val="0"/>
          <w:sz w:val="32"/>
          <w:szCs w:val="32"/>
          <w:highlight w:val="none"/>
          <w:lang w:val="en-US" w:eastAsia="zh-CN"/>
        </w:rPr>
        <w:t>增长0.06%,</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车辆状况老化，车辆维修成本增加</w:t>
      </w:r>
      <w:r>
        <w:rPr>
          <w:rFonts w:hint="eastAsia" w:ascii="仿宋_GB2312" w:eastAsia="仿宋_GB2312"/>
          <w:color w:val="auto"/>
          <w:sz w:val="32"/>
          <w:szCs w:val="32"/>
          <w:highlight w:val="none"/>
          <w:lang w:val="zh-CN" w:eastAsia="zh-CN"/>
        </w:rPr>
        <w:t>；公务接待费支出1.30万元，占6.95%，比上年减少0.07万元，</w:t>
      </w:r>
      <w:r>
        <w:rPr>
          <w:rFonts w:hint="eastAsia" w:ascii="仿宋_GB2312" w:eastAsia="仿宋_GB2312"/>
          <w:color w:val="auto"/>
          <w:spacing w:val="0"/>
          <w:sz w:val="32"/>
          <w:szCs w:val="32"/>
          <w:highlight w:val="none"/>
          <w:lang w:val="en-US" w:eastAsia="zh-CN"/>
        </w:rPr>
        <w:t>下降5.11%,</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rPr>
        <w:t>本单位在执行过程中严格按照中央八项规定要求，控制“三公”经费预算执行数</w:t>
      </w:r>
      <w:r>
        <w:rPr>
          <w:rFonts w:hint="eastAsia" w:ascii="仿宋_GB2312" w:eastAsia="仿宋_GB2312"/>
          <w:sz w:val="32"/>
          <w:szCs w:val="32"/>
          <w:highlight w:val="none"/>
          <w:lang w:eastAsia="zh-CN"/>
        </w:rPr>
        <w:t>，严格控制公务接待费用支出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highlight w:val="none"/>
        </w:rPr>
        <w:t>我单位202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年没有安排因公出国（境）费支出</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公务用车购置及运行维护费17.40万元，其中：公务用车购置费0.00万元，公务用车运行维护费17.40万元。公务用车运行维护费开支内容包括</w:t>
      </w:r>
      <w:r>
        <w:rPr>
          <w:rFonts w:hint="eastAsia" w:ascii="仿宋_GB2312" w:eastAsia="仿宋_GB2312"/>
          <w:color w:val="auto"/>
          <w:sz w:val="32"/>
          <w:szCs w:val="32"/>
          <w:highlight w:val="none"/>
        </w:rPr>
        <w:t>车辆保险</w:t>
      </w:r>
      <w:r>
        <w:rPr>
          <w:rFonts w:hint="eastAsia"/>
          <w:lang w:eastAsia="zh-CN"/>
        </w:rPr>
        <w:t>费</w:t>
      </w:r>
      <w:r>
        <w:rPr>
          <w:rFonts w:hint="eastAsia" w:ascii="仿宋_GB2312" w:eastAsia="仿宋_GB2312"/>
          <w:color w:val="auto"/>
          <w:sz w:val="32"/>
          <w:szCs w:val="32"/>
          <w:highlight w:val="none"/>
        </w:rPr>
        <w:t>、车辆检审费、车辆维修</w:t>
      </w:r>
      <w:r>
        <w:rPr>
          <w:rFonts w:hint="eastAsia" w:ascii="仿宋_GB2312" w:eastAsia="仿宋_GB2312"/>
          <w:color w:val="auto"/>
          <w:sz w:val="32"/>
          <w:szCs w:val="32"/>
          <w:highlight w:val="none"/>
          <w:lang w:eastAsia="zh-CN"/>
        </w:rPr>
        <w:t>费</w:t>
      </w:r>
      <w:r>
        <w:rPr>
          <w:rFonts w:hint="eastAsia" w:ascii="仿宋_GB2312" w:eastAsia="仿宋_GB2312"/>
          <w:color w:val="auto"/>
          <w:sz w:val="32"/>
          <w:szCs w:val="32"/>
          <w:highlight w:val="none"/>
        </w:rPr>
        <w:t>，车辆燃油费及过路费等</w:t>
      </w:r>
      <w:r>
        <w:rPr>
          <w:rFonts w:hint="eastAsia" w:ascii="仿宋_GB2312" w:eastAsia="仿宋_GB2312"/>
          <w:color w:val="auto"/>
          <w:sz w:val="32"/>
          <w:szCs w:val="32"/>
          <w:highlight w:val="none"/>
          <w:lang w:val="zh-CN" w:eastAsia="zh-CN"/>
        </w:rPr>
        <w:t>。公务用车购置数0辆，公务用车保有量8辆。国有资产占用情况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8辆，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原因是：本年度公务用车无变化。</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公务接待费1.30万元，开支内容包括</w:t>
      </w:r>
      <w:r>
        <w:rPr>
          <w:rFonts w:hint="eastAsia" w:ascii="仿宋_GB2312" w:eastAsia="仿宋_GB2312"/>
          <w:sz w:val="32"/>
          <w:szCs w:val="32"/>
          <w:highlight w:val="none"/>
        </w:rPr>
        <w:t>接待外县人员观摩、上级考察、检查等人员的餐费</w:t>
      </w:r>
      <w:r>
        <w:rPr>
          <w:rFonts w:hint="eastAsia" w:ascii="仿宋_GB2312" w:eastAsia="仿宋_GB2312"/>
          <w:color w:val="auto"/>
          <w:sz w:val="32"/>
          <w:szCs w:val="32"/>
          <w:highlight w:val="none"/>
          <w:lang w:val="zh-CN" w:eastAsia="zh-CN"/>
        </w:rPr>
        <w:t>。单位全年安排的国内公务接待19批次，185人次。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预算数18.70万元，决算数18.70万元，预决算差异率0.00%，主要原因是：</w:t>
      </w:r>
      <w:r>
        <w:rPr>
          <w:rFonts w:hint="eastAsia" w:ascii="仿宋_GB2312" w:eastAsia="仿宋_GB2312"/>
          <w:sz w:val="32"/>
          <w:szCs w:val="32"/>
          <w:highlight w:val="none"/>
        </w:rPr>
        <w:t>财政拨款“三公”经费支出预算数和决算数无变化，预决算无差异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highlight w:val="none"/>
          <w:lang w:eastAsia="zh-CN"/>
        </w:rPr>
        <w:t>我单位未安排因公出国（境）费，预决算无差异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我单位未安排公务用车购置费，预决算无差异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预算数17.40万元，决算数17.40万元，预决算差异率0.00%，主要原因是：</w:t>
      </w:r>
      <w:r>
        <w:rPr>
          <w:rFonts w:hint="eastAsia" w:ascii="仿宋_GB2312" w:hAnsi="宋体" w:eastAsia="仿宋_GB2312" w:cs="宋体"/>
          <w:kern w:val="0"/>
          <w:sz w:val="32"/>
          <w:szCs w:val="32"/>
          <w:highlight w:val="none"/>
        </w:rPr>
        <w:t>公务用车运行费预算数和决算数无变化，预决算无差异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预算数1.30万元，决算数1.30万元，预决算差异率0.00%，主要原因是：</w:t>
      </w:r>
      <w:r>
        <w:rPr>
          <w:rFonts w:hint="eastAsia" w:ascii="仿宋_GB2312" w:eastAsia="仿宋_GB2312"/>
          <w:sz w:val="32"/>
          <w:szCs w:val="32"/>
          <w:highlight w:val="none"/>
        </w:rPr>
        <w:t>公务接待费预算数和决算数无变化，预决算无差异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sz w:val="32"/>
          <w:szCs w:val="32"/>
          <w:highlight w:val="none"/>
          <w:lang w:val="zh-CN"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沙湾市农业农村局（行政单位和参照公务员法管理事业单位）机关运行经费支出109.35万元，</w:t>
      </w:r>
      <w:r>
        <w:rPr>
          <w:rFonts w:hint="eastAsia" w:ascii="仿宋_GB2312" w:hAnsi="仿宋_GB2312" w:eastAsia="仿宋_GB2312" w:cs="仿宋_GB2312"/>
          <w:color w:val="auto"/>
          <w:sz w:val="32"/>
          <w:szCs w:val="32"/>
          <w:highlight w:val="none"/>
          <w:lang w:val="zh-CN" w:eastAsia="zh-CN"/>
        </w:rPr>
        <w:t>比上年减少0.91万元，下降0.83%，主要原因是：本年度严格控制公用经费的支出，减少了公用经费的支出。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517.36万元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其中：政府采购货物支出171.65万元、政府采购工程支出0.00万元、政府采购服务支出345.71万元。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授予中小企业合同金额514.66万元，占政府采购支出总额的99.48%，其中：授予小微企业合同金额514.66万元，占政府采购支出总额的99.48%</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0"/>
          <w:highlight w:val="none"/>
          <w:lang w:val="zh-CN" w:eastAsia="zh-CN"/>
        </w:rPr>
      </w:pPr>
      <w:bookmarkStart w:id="26" w:name="_Toc4591"/>
      <w:bookmarkStart w:id="27" w:name="_Toc8391"/>
      <w:r>
        <w:rPr>
          <w:rFonts w:hint="eastAsia" w:ascii="仿宋_GB2312" w:hAnsi="仿宋_GB2312" w:eastAsia="仿宋_GB2312" w:cs="仿宋_GB2312"/>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1,104.44</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屋8,291.66平方米，价值236.82万元。车辆8辆，价值145.40万元，其中：副部（省）级及以上领导用车0辆、主要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用车0辆、机要通信用车0辆、应急保障用车0辆、执法执勤用车1辆、特种专业技术用车1辆、离退休干部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用车0辆、其他用车6辆，其他用车主要是：</w:t>
      </w:r>
      <w:r>
        <w:rPr>
          <w:rFonts w:hint="eastAsia" w:ascii="仿宋_GB2312" w:eastAsia="仿宋_GB2312"/>
          <w:sz w:val="32"/>
          <w:szCs w:val="32"/>
          <w:highlight w:val="none"/>
          <w:lang w:eastAsia="zh-CN"/>
        </w:rPr>
        <w:t>用于农机检测、拉运畜牧检疫检测物资的轻型货车、人影作业车、下乡检查车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仿宋_GB2312" w:eastAsia="仿宋_GB2312"/>
          <w:color w:val="auto"/>
          <w:sz w:val="32"/>
          <w:szCs w:val="32"/>
          <w:highlight w:val="none"/>
          <w:lang w:eastAsia="zh-CN"/>
        </w:rPr>
        <w:t>30797.13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仿宋_GB2312" w:eastAsia="仿宋_GB2312"/>
          <w:color w:val="auto"/>
          <w:sz w:val="32"/>
          <w:szCs w:val="32"/>
          <w:highlight w:val="none"/>
          <w:lang w:eastAsia="zh-CN"/>
        </w:rPr>
        <w:t>27291.73</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全年预算数28872.33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全年执行数25440.45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70</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61.32</w:t>
      </w:r>
      <w:r>
        <w:rPr>
          <w:rFonts w:hint="eastAsia" w:ascii="仿宋_GB2312" w:eastAsia="仿宋_GB2312"/>
          <w:color w:val="auto"/>
          <w:sz w:val="32"/>
          <w:szCs w:val="32"/>
          <w:highlight w:val="none"/>
          <w:lang w:eastAsia="zh-CN"/>
        </w:rPr>
        <w:t>万元，本单位自有资金</w:t>
      </w:r>
      <w:r>
        <w:rPr>
          <w:rFonts w:hint="eastAsia" w:ascii="仿宋_GB2312" w:eastAsia="仿宋_GB2312"/>
          <w:color w:val="auto"/>
          <w:sz w:val="32"/>
          <w:szCs w:val="32"/>
          <w:highlight w:val="none"/>
          <w:lang w:val="en-US" w:eastAsia="zh-CN"/>
        </w:rPr>
        <w:t>项目</w:t>
      </w:r>
      <w:r>
        <w:rPr>
          <w:rFonts w:hint="eastAsia" w:ascii="仿宋_GB2312" w:eastAsia="仿宋_GB2312"/>
          <w:color w:val="auto"/>
          <w:sz w:val="32"/>
          <w:szCs w:val="32"/>
          <w:highlight w:val="none"/>
          <w:lang w:eastAsia="zh-CN"/>
        </w:rPr>
        <w:t>全年预算数</w:t>
      </w:r>
      <w:r>
        <w:rPr>
          <w:rFonts w:hint="eastAsia" w:ascii="仿宋_GB2312" w:eastAsia="仿宋_GB2312"/>
          <w:color w:val="auto"/>
          <w:sz w:val="32"/>
          <w:szCs w:val="32"/>
          <w:highlight w:val="none"/>
          <w:lang w:val="en-US" w:eastAsia="zh-CN"/>
        </w:rPr>
        <w:t>73.52万元，</w:t>
      </w:r>
      <w:r>
        <w:rPr>
          <w:rFonts w:hint="eastAsia" w:ascii="仿宋_GB2312" w:eastAsia="仿宋_GB2312"/>
          <w:color w:val="auto"/>
          <w:sz w:val="32"/>
          <w:szCs w:val="32"/>
          <w:highlight w:val="none"/>
          <w:lang w:eastAsia="zh-CN"/>
        </w:rPr>
        <w:t>全年执行数</w:t>
      </w:r>
      <w:r>
        <w:rPr>
          <w:rFonts w:hint="eastAsia" w:ascii="仿宋_GB2312" w:eastAsia="仿宋_GB2312"/>
          <w:color w:val="auto"/>
          <w:sz w:val="32"/>
          <w:szCs w:val="32"/>
          <w:highlight w:val="none"/>
          <w:lang w:val="en-US" w:eastAsia="zh-CN"/>
        </w:rPr>
        <w:t>73.52万元，</w:t>
      </w:r>
      <w:r>
        <w:rPr>
          <w:rFonts w:hint="eastAsia" w:ascii="仿宋_GB2312" w:eastAsia="仿宋_GB2312"/>
          <w:color w:val="auto"/>
          <w:sz w:val="32"/>
          <w:szCs w:val="32"/>
          <w:highlight w:val="none"/>
          <w:lang w:eastAsia="zh-CN"/>
        </w:rPr>
        <w:t>不予以公开。预</w:t>
      </w:r>
      <w:r>
        <w:rPr>
          <w:rFonts w:hint="eastAsia" w:ascii="仿宋_GB2312" w:eastAsia="仿宋_GB2312"/>
          <w:sz w:val="32"/>
          <w:szCs w:val="32"/>
          <w:highlight w:val="none"/>
          <w:lang w:eastAsia="zh-CN"/>
        </w:rPr>
        <w:t>算绩效管理取得的成效：一是预算绩效管理制度逐步建立，组织机构不断健全，增强了预算绩效管理的工作保障，绩效目标管理日益加强，绩效评价范围不断扩大，促进了财政资金使用效益的提高；二是建立了预算绩效自评工作制度，科学实施了项目绩效再评价，强化了绩效评价结果探索应用，增强了结果导向的管理理念和部门支出责任意识。发现的问题及原因：一是预算绩效管理方案制定难度较大；二是绩效型预算缺乏前瞻性。下一步改进措施：一是制定科学规范的预算绩效管理方案；二是建立推向未来的预算绩效管理方式。具体项目自评情况附项目支出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ind w:firstLine="640" w:firstLineChars="200"/>
        <w:rPr>
          <w:rFonts w:hint="eastAsia" w:ascii="黑体" w:hAnsi="黑体" w:eastAsia="黑体"/>
          <w:color w:val="auto"/>
          <w:sz w:val="32"/>
          <w:szCs w:val="32"/>
          <w:highlight w:val="none"/>
        </w:rPr>
      </w:pPr>
      <w:r>
        <w:rPr>
          <w:rFonts w:hint="eastAsia" w:ascii="仿宋_GB2312" w:eastAsia="仿宋_GB2312"/>
          <w:color w:val="auto"/>
          <w:sz w:val="32"/>
          <w:szCs w:val="32"/>
          <w:highlight w:val="none"/>
          <w:lang w:eastAsia="zh-CN"/>
        </w:rPr>
        <w:t>本单位sm项目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个，全年预算数</w:t>
      </w:r>
      <w:r>
        <w:rPr>
          <w:rFonts w:hint="eastAsia" w:ascii="仿宋_GB2312" w:eastAsia="仿宋_GB2312"/>
          <w:color w:val="auto"/>
          <w:sz w:val="32"/>
          <w:szCs w:val="32"/>
          <w:highlight w:val="none"/>
          <w:lang w:val="en-US" w:eastAsia="zh-CN"/>
        </w:rPr>
        <w:t>70</w:t>
      </w:r>
      <w:r>
        <w:rPr>
          <w:rFonts w:hint="eastAsia" w:ascii="仿宋_GB2312" w:eastAsia="仿宋_GB2312"/>
          <w:color w:val="auto"/>
          <w:sz w:val="32"/>
          <w:szCs w:val="32"/>
          <w:highlight w:val="none"/>
          <w:lang w:eastAsia="zh-CN"/>
        </w:rPr>
        <w:t>万元，全年执行数</w:t>
      </w:r>
      <w:r>
        <w:rPr>
          <w:rFonts w:hint="eastAsia" w:ascii="仿宋_GB2312" w:eastAsia="仿宋_GB2312"/>
          <w:color w:val="auto"/>
          <w:sz w:val="32"/>
          <w:szCs w:val="32"/>
          <w:highlight w:val="none"/>
          <w:lang w:val="en-US" w:eastAsia="zh-CN"/>
        </w:rPr>
        <w:t>61.32</w:t>
      </w:r>
      <w:r>
        <w:rPr>
          <w:rFonts w:hint="eastAsia" w:ascii="仿宋_GB2312" w:eastAsia="仿宋_GB2312"/>
          <w:color w:val="auto"/>
          <w:sz w:val="32"/>
          <w:szCs w:val="32"/>
          <w:highlight w:val="none"/>
          <w:lang w:eastAsia="zh-CN"/>
        </w:rPr>
        <w:t>万元，本单位自有资金</w:t>
      </w:r>
      <w:r>
        <w:rPr>
          <w:rFonts w:hint="eastAsia" w:ascii="仿宋_GB2312" w:eastAsia="仿宋_GB2312"/>
          <w:color w:val="auto"/>
          <w:sz w:val="32"/>
          <w:szCs w:val="32"/>
          <w:highlight w:val="none"/>
          <w:lang w:val="en-US" w:eastAsia="zh-CN"/>
        </w:rPr>
        <w:t>项目</w:t>
      </w:r>
      <w:r>
        <w:rPr>
          <w:rFonts w:hint="eastAsia" w:ascii="仿宋_GB2312" w:eastAsia="仿宋_GB2312"/>
          <w:color w:val="auto"/>
          <w:sz w:val="32"/>
          <w:szCs w:val="32"/>
          <w:highlight w:val="none"/>
          <w:lang w:eastAsia="zh-CN"/>
        </w:rPr>
        <w:t>全年预算数</w:t>
      </w:r>
      <w:r>
        <w:rPr>
          <w:rFonts w:hint="eastAsia" w:ascii="仿宋_GB2312" w:eastAsia="仿宋_GB2312"/>
          <w:color w:val="auto"/>
          <w:sz w:val="32"/>
          <w:szCs w:val="32"/>
          <w:highlight w:val="none"/>
          <w:lang w:val="en-US" w:eastAsia="zh-CN"/>
        </w:rPr>
        <w:t>73.52万元，</w:t>
      </w:r>
      <w:r>
        <w:rPr>
          <w:rFonts w:hint="eastAsia" w:ascii="仿宋_GB2312" w:eastAsia="仿宋_GB2312"/>
          <w:color w:val="auto"/>
          <w:sz w:val="32"/>
          <w:szCs w:val="32"/>
          <w:highlight w:val="none"/>
          <w:lang w:eastAsia="zh-CN"/>
        </w:rPr>
        <w:t>全年执行数</w:t>
      </w:r>
      <w:r>
        <w:rPr>
          <w:rFonts w:hint="eastAsia" w:ascii="仿宋_GB2312" w:eastAsia="仿宋_GB2312"/>
          <w:color w:val="auto"/>
          <w:sz w:val="32"/>
          <w:szCs w:val="32"/>
          <w:highlight w:val="none"/>
          <w:lang w:val="en-US" w:eastAsia="zh-CN"/>
        </w:rPr>
        <w:t>73.52万元，</w:t>
      </w:r>
      <w:r>
        <w:rPr>
          <w:rFonts w:hint="eastAsia" w:ascii="仿宋_GB2312" w:eastAsia="仿宋_GB2312"/>
          <w:color w:val="auto"/>
          <w:sz w:val="32"/>
          <w:szCs w:val="32"/>
          <w:highlight w:val="none"/>
          <w:lang w:eastAsia="zh-CN"/>
        </w:rPr>
        <w:t>不予以公开绩效自评表。</w:t>
      </w:r>
      <w:bookmarkStart w:id="30" w:name="_Toc3250"/>
      <w:bookmarkStart w:id="31" w:name="_Toc24143"/>
      <w:bookmarkStart w:id="48" w:name="_GoBack"/>
      <w:bookmarkEnd w:id="48"/>
      <w: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outlineLvl w:val="0"/>
        <w:rPr>
          <w:rFonts w:hint="eastAsia" w:ascii="黑体" w:hAnsi="黑体" w:eastAsia="黑体"/>
          <w:color w:val="auto"/>
          <w:sz w:val="32"/>
          <w:szCs w:val="32"/>
          <w:highlight w:val="none"/>
        </w:rPr>
      </w:pPr>
      <w: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decorative"/>
    <w:pitch w:val="default"/>
    <w:sig w:usb0="00000000" w:usb1="00000000" w:usb2="00000000" w:usb3="00000000" w:csb0="00040000" w:csb1="00000000"/>
  </w:font>
  <w:font w:name="方正小标宋_GBK">
    <w:altName w:val="微软雅黑"/>
    <w:panose1 w:val="02000000000000000000"/>
    <w:charset w:val="86"/>
    <w:family w:val="modern"/>
    <w:pitch w:val="default"/>
    <w:sig w:usb0="00000000" w:usb1="00000000" w:usb2="00082016" w:usb3="00000000" w:csb0="00040001" w:csb1="00000000"/>
  </w:font>
  <w:font w:name="仿宋">
    <w:panose1 w:val="02010609060101010101"/>
    <w:charset w:val="86"/>
    <w:family w:val="decorative"/>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1DC9734E"/>
    <w:rsid w:val="2742638E"/>
    <w:rsid w:val="39141FA2"/>
    <w:rsid w:val="408C6F1D"/>
    <w:rsid w:val="61A15043"/>
    <w:rsid w:val="76EF63B9"/>
  </w:rsids>
  <m:mathPr>
    <m:brkBin m:val="before"/>
    <m:brkBinSub m:val="--"/>
    <m:smallFrac m:val="0"/>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5">
    <w:name w:val="默认段落字体1"/>
    <w:semiHidden/>
    <w:qFormat/>
    <w:uiPriority w:val="0"/>
  </w:style>
  <w:style w:type="table" w:customStyle="1" w:styleId="6">
    <w:name w:val="普通表格1"/>
    <w:semiHidden/>
    <w:qFormat/>
    <w:uiPriority w:val="0"/>
    <w:tblPr>
      <w:tblLayout w:type="fixed"/>
      <w:tblCellMar>
        <w:top w:w="0" w:type="dxa"/>
        <w:left w:w="108" w:type="dxa"/>
        <w:bottom w:w="0" w:type="dxa"/>
        <w:right w:w="108" w:type="dxa"/>
      </w:tblCellMar>
    </w:tblPr>
  </w:style>
  <w:style w:type="paragraph" w:customStyle="1" w:styleId="7">
    <w:name w:val="正文文字 1"/>
    <w:basedOn w:val="1"/>
    <w:next w:val="1"/>
    <w:qFormat/>
    <w:uiPriority w:val="99"/>
    <w:pPr>
      <w:ind w:left="240"/>
    </w:pPr>
    <w:rPr>
      <w:sz w:val="28"/>
    </w:rPr>
  </w:style>
  <w:style w:type="paragraph" w:customStyle="1" w:styleId="8">
    <w:name w:val="批注文字1"/>
    <w:basedOn w:val="1"/>
    <w:qFormat/>
    <w:uiPriority w:val="0"/>
    <w:pPr>
      <w:jc w:val="left"/>
    </w:pPr>
  </w:style>
  <w:style w:type="paragraph" w:customStyle="1" w:styleId="9">
    <w:name w:val="目录 31"/>
    <w:basedOn w:val="1"/>
    <w:next w:val="1"/>
    <w:qFormat/>
    <w:uiPriority w:val="0"/>
    <w:pPr>
      <w:ind w:left="840" w:leftChars="400"/>
    </w:pPr>
  </w:style>
  <w:style w:type="paragraph" w:customStyle="1" w:styleId="10">
    <w:name w:val="页脚1"/>
    <w:basedOn w:val="1"/>
    <w:qFormat/>
    <w:uiPriority w:val="0"/>
    <w:pPr>
      <w:tabs>
        <w:tab w:val="center" w:pos="4153"/>
        <w:tab w:val="right" w:pos="8306"/>
      </w:tabs>
      <w:snapToGrid w:val="0"/>
      <w:jc w:val="left"/>
    </w:pPr>
    <w:rPr>
      <w:sz w:val="18"/>
    </w:rPr>
  </w:style>
  <w:style w:type="paragraph" w:customStyle="1" w:styleId="11">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目录 11"/>
    <w:basedOn w:val="1"/>
    <w:next w:val="1"/>
    <w:qFormat/>
    <w:uiPriority w:val="0"/>
  </w:style>
  <w:style w:type="paragraph" w:customStyle="1" w:styleId="13">
    <w:name w:val="目录 21"/>
    <w:basedOn w:val="1"/>
    <w:next w:val="1"/>
    <w:qFormat/>
    <w:uiPriority w:val="0"/>
    <w:pPr>
      <w:ind w:left="420" w:leftChars="200"/>
    </w:pPr>
  </w:style>
  <w:style w:type="paragraph" w:customStyle="1" w:styleId="14">
    <w:name w:val="普通(网站)1"/>
    <w:basedOn w:val="1"/>
    <w:qFormat/>
    <w:uiPriority w:val="0"/>
    <w:pPr>
      <w:spacing w:before="100" w:beforeAutospacing="1" w:after="100" w:afterAutospacing="1"/>
      <w:ind w:left="0" w:right="0"/>
      <w:jc w:val="left"/>
    </w:pPr>
    <w:rPr>
      <w:kern w:val="0"/>
      <w:sz w:val="24"/>
      <w:lang w:val="en-US" w:eastAsia="zh-CN" w:bidi="en-AU"/>
    </w:rPr>
  </w:style>
  <w:style w:type="character" w:customStyle="1" w:styleId="15">
    <w:name w:val="要点1"/>
    <w:basedOn w:val="5"/>
    <w:qFormat/>
    <w:uiPriority w:val="0"/>
    <w:rPr>
      <w:b/>
    </w:rPr>
  </w:style>
  <w:style w:type="paragraph" w:customStyle="1" w:styleId="16">
    <w:name w:val="无间隔1"/>
    <w:qFormat/>
    <w:uiPriority w:val="1"/>
    <w:pPr>
      <w:widowControl w:val="0"/>
      <w:spacing w:line="660" w:lineRule="exact"/>
      <w:ind w:firstLine="560" w:firstLineChars="200"/>
    </w:pPr>
    <w:rPr>
      <w:rFonts w:ascii="仿宋_GB2312" w:hAnsi="Calibri" w:eastAsia="仿宋_GB2312" w:cs="Times New Roman"/>
      <w:kern w:val="10"/>
      <w:sz w:val="28"/>
      <w:szCs w:val="28"/>
      <w:lang w:val="en-US" w:eastAsia="zh-CN" w:bidi="en-US"/>
    </w:rPr>
  </w:style>
  <w:style w:type="paragraph" w:customStyle="1" w:styleId="17">
    <w:name w:val="WPSOffice手动目录 3"/>
    <w:qFormat/>
    <w:uiPriority w:val="0"/>
    <w:pPr>
      <w:ind w:leftChars="40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0</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2024-11-18T04:53:17Z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D34D26863BA54F939760A7FC26B604E1</vt:lpwstr>
  </property>
</Properties>
</file>