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沙湾市博尔通古乡人民政府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一</w:t>
      </w:r>
      <w:r>
        <w:rPr>
          <w:rFonts w:hint="eastAsia" w:ascii="仿宋_GB2312" w:eastAsia="仿宋_GB2312"/>
          <w:color w:val="auto"/>
          <w:sz w:val="32"/>
          <w:szCs w:val="32"/>
          <w:highlight w:val="none"/>
        </w:rPr>
        <w:t>）执行本级人民代表大会的决议和上级国家行政机关的决定和命令，发布决定和命令;（</w:t>
      </w:r>
      <w:r>
        <w:rPr>
          <w:rFonts w:hint="eastAsia" w:ascii="仿宋_GB2312" w:eastAsia="仿宋_GB2312"/>
          <w:color w:val="auto"/>
          <w:sz w:val="32"/>
          <w:szCs w:val="32"/>
          <w:highlight w:val="none"/>
          <w:lang w:eastAsia="zh-CN"/>
        </w:rPr>
        <w:t>二</w:t>
      </w:r>
      <w:r>
        <w:rPr>
          <w:rFonts w:hint="eastAsia" w:ascii="仿宋_GB2312" w:eastAsia="仿宋_GB2312"/>
          <w:color w:val="auto"/>
          <w:sz w:val="32"/>
          <w:szCs w:val="32"/>
          <w:highlight w:val="none"/>
        </w:rPr>
        <w:t>）执行本行政区域内的经济和社会发展计划、预算，管理本行政区域内的经济、教育、科学、文化、卫生、体育事业和财政、民政、公安、司法行政、计划生育等行政工作;（</w:t>
      </w:r>
      <w:r>
        <w:rPr>
          <w:rFonts w:hint="eastAsia" w:ascii="仿宋_GB2312" w:eastAsia="仿宋_GB2312"/>
          <w:color w:val="auto"/>
          <w:sz w:val="32"/>
          <w:szCs w:val="32"/>
          <w:highlight w:val="none"/>
          <w:lang w:eastAsia="zh-CN"/>
        </w:rPr>
        <w:t>三</w:t>
      </w:r>
      <w:r>
        <w:rPr>
          <w:rFonts w:hint="eastAsia" w:ascii="仿宋_GB2312" w:eastAsia="仿宋_GB2312"/>
          <w:color w:val="auto"/>
          <w:sz w:val="32"/>
          <w:szCs w:val="32"/>
          <w:highlight w:val="none"/>
        </w:rPr>
        <w:t>）保护社会主义的全民所有的财产和劳动群众集体所有的财产，保护公民私人所有的合法财产，维护社会秩序，保障公民的人身权利、民主权利和其他权利;（</w:t>
      </w:r>
      <w:r>
        <w:rPr>
          <w:rFonts w:hint="eastAsia" w:ascii="仿宋_GB2312" w:eastAsia="仿宋_GB2312"/>
          <w:color w:val="auto"/>
          <w:sz w:val="32"/>
          <w:szCs w:val="32"/>
          <w:highlight w:val="none"/>
          <w:lang w:eastAsia="zh-CN"/>
        </w:rPr>
        <w:t>四</w:t>
      </w:r>
      <w:r>
        <w:rPr>
          <w:rFonts w:hint="eastAsia" w:ascii="仿宋_GB2312" w:eastAsia="仿宋_GB2312"/>
          <w:color w:val="auto"/>
          <w:sz w:val="32"/>
          <w:szCs w:val="32"/>
          <w:highlight w:val="none"/>
        </w:rPr>
        <w:t>）保护各种经济组织的合法权益;（</w:t>
      </w:r>
      <w:r>
        <w:rPr>
          <w:rFonts w:hint="eastAsia" w:ascii="仿宋_GB2312" w:eastAsia="仿宋_GB2312"/>
          <w:color w:val="auto"/>
          <w:sz w:val="32"/>
          <w:szCs w:val="32"/>
          <w:highlight w:val="none"/>
          <w:lang w:eastAsia="zh-CN"/>
        </w:rPr>
        <w:t>五</w:t>
      </w:r>
      <w:r>
        <w:rPr>
          <w:rFonts w:hint="eastAsia" w:ascii="仿宋_GB2312" w:eastAsia="仿宋_GB2312"/>
          <w:color w:val="auto"/>
          <w:sz w:val="32"/>
          <w:szCs w:val="32"/>
          <w:highlight w:val="none"/>
        </w:rPr>
        <w:t>）保障宪法和法律赋予妇女的男女平等、同工同酬和婚姻自由等各项权利;（</w:t>
      </w:r>
      <w:r>
        <w:rPr>
          <w:rFonts w:hint="eastAsia" w:ascii="仿宋_GB2312" w:eastAsia="仿宋_GB2312"/>
          <w:color w:val="auto"/>
          <w:sz w:val="32"/>
          <w:szCs w:val="32"/>
          <w:highlight w:val="none"/>
          <w:lang w:eastAsia="zh-CN"/>
        </w:rPr>
        <w:t>六</w:t>
      </w:r>
      <w:r>
        <w:rPr>
          <w:rFonts w:hint="eastAsia" w:ascii="仿宋_GB2312" w:eastAsia="仿宋_GB2312"/>
          <w:color w:val="auto"/>
          <w:sz w:val="32"/>
          <w:szCs w:val="32"/>
          <w:highlight w:val="none"/>
        </w:rPr>
        <w:t>）办理上级人民政府交办的其他事项。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沙湾市博尔通古乡人民政府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18</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bookmarkStart w:id="6" w:name="_Toc29374"/>
      <w:bookmarkStart w:id="7" w:name="_Toc3092"/>
      <w:r>
        <w:rPr>
          <w:rFonts w:hint="eastAsia" w:ascii="仿宋_GB2312" w:eastAsia="仿宋_GB2312"/>
          <w:color w:val="auto"/>
          <w:sz w:val="32"/>
          <w:szCs w:val="32"/>
          <w:highlight w:val="none"/>
          <w:lang w:eastAsia="zh-CN"/>
        </w:rPr>
        <w:t>单位无下属预算单位，下设5个处室，分别是：党政办公室、党建办公室、经济发展办公室、社会事务办公室、综合执法办公室。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5,807.70万元，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5,807.70万元，使用非财政拨款结余0.00万元，年初结转和结余0.00万元。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5,807.70万元，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5,807.70万元，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增加3,271.62万元</w:t>
      </w:r>
      <w:r>
        <w:rPr>
          <w:rFonts w:hint="eastAsia" w:ascii="仿宋_GB2312" w:eastAsia="仿宋_GB2312"/>
          <w:color w:val="auto"/>
          <w:spacing w:val="0"/>
          <w:sz w:val="32"/>
          <w:szCs w:val="32"/>
          <w:highlight w:val="none"/>
          <w:lang w:eastAsia="zh-CN"/>
        </w:rPr>
        <w:t>，增长129.00%，主要原因是：</w:t>
      </w:r>
      <w:r>
        <w:rPr>
          <w:rFonts w:hint="eastAsia" w:ascii="仿宋_GB2312" w:eastAsia="仿宋_GB2312"/>
          <w:color w:val="auto"/>
          <w:spacing w:val="0"/>
          <w:sz w:val="32"/>
          <w:szCs w:val="32"/>
          <w:highlight w:val="none"/>
          <w:lang w:val="en-US" w:eastAsia="zh-CN"/>
        </w:rPr>
        <w:t>2023年补发了2018年下半年及2020年1-3月绩效考核奖励金，2023年补发了2022年在职人员年度绩效考核奖增资；2023年增加了喀拉巴斯陶村农房节能改造乡村振兴项目，2023年增加了喀拉巴斯陶村民宿乡村振兴项；2023年一事一议项目增加。补发村干部绩效工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5,807.70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5,068.27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87.27%</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739.43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12.73%</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本年支出5,807.70万元，其中：基本支出1,746.84万元，占30.08%；项目支出4,060.86万元，占69.92%；上缴上级支出0.00万元，占0.00%；经营支出0.00万元，占0.00%；对附属单位补助支出0.00万元，占0.00%。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5,068.27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5,068.27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5,068.27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5,068.27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增加2,532.19万元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增长99.85%,</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补发了2018年下半年及2020年1-3月绩效考核奖励金和2022年在职人员年度绩效考核奖增资；增加了喀拉巴斯陶村农房节能改造乡村振兴项目，喀拉巴斯陶村民宿乡村振兴项目，2023年一事一议项目增加；补发村干部绩效工资。与</w:t>
      </w:r>
      <w:r>
        <w:rPr>
          <w:rFonts w:hint="eastAsia" w:ascii="仿宋_GB2312" w:eastAsia="仿宋_GB2312"/>
          <w:color w:val="auto"/>
          <w:spacing w:val="0"/>
          <w:sz w:val="32"/>
          <w:szCs w:val="32"/>
          <w:highlight w:val="none"/>
          <w:lang w:eastAsia="zh-CN"/>
        </w:rPr>
        <w:t>年初预算相比，年初预算数</w:t>
      </w:r>
      <w:r>
        <w:rPr>
          <w:rFonts w:hint="eastAsia" w:ascii="仿宋_GB2312" w:eastAsia="仿宋_GB2312"/>
          <w:color w:val="auto"/>
          <w:spacing w:val="0"/>
          <w:sz w:val="32"/>
          <w:szCs w:val="32"/>
          <w:highlight w:val="none"/>
          <w:lang w:val="zh-CN" w:eastAsia="zh-CN"/>
        </w:rPr>
        <w:t>4,272.13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5,068.27</w:t>
      </w:r>
      <w:r>
        <w:rPr>
          <w:rFonts w:hint="eastAsia" w:ascii="仿宋_GB2312" w:eastAsia="仿宋_GB2312"/>
          <w:color w:val="auto"/>
          <w:spacing w:val="0"/>
          <w:sz w:val="32"/>
          <w:szCs w:val="32"/>
          <w:highlight w:val="none"/>
          <w:lang w:eastAsia="zh-CN"/>
        </w:rPr>
        <w:t>万元，预决算差异率18.64%，主要原因是：本年度人员经费增加</w:t>
      </w:r>
      <w:r>
        <w:rPr>
          <w:rFonts w:hint="eastAsia" w:ascii="仿宋_GB2312" w:eastAsia="仿宋_GB2312"/>
          <w:color w:val="auto"/>
          <w:spacing w:val="0"/>
          <w:sz w:val="32"/>
          <w:szCs w:val="32"/>
          <w:highlight w:val="none"/>
          <w:lang w:val="en-US" w:eastAsia="zh-CN"/>
        </w:rPr>
        <w:t>,乡村振兴项目增加；补发村干部绩效工资。所决算数大于年初预算数。</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2023年度一般公共预算财政拨款支出4,394.76万元，占本年支出合计的</w:t>
      </w:r>
      <w:r>
        <w:rPr>
          <w:rFonts w:hint="eastAsia" w:ascii="仿宋_GB2312" w:eastAsia="仿宋_GB2312"/>
          <w:color w:val="auto"/>
          <w:spacing w:val="0"/>
          <w:sz w:val="32"/>
          <w:szCs w:val="32"/>
          <w:highlight w:val="none"/>
          <w:lang w:val="zh-CN" w:eastAsia="zh-CN"/>
        </w:rPr>
        <w:t>75.67%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增加1,858.68万元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增长73.29%,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补发了2018年下半年及2020年1-3月绩效考核奖励金和2022年在职人员年度绩效考核奖增资；2023年增加了喀拉巴斯陶村农房节能改造乡村振兴项目、喀拉巴斯陶村民宿乡村振兴项目、2023年一事一议项目；补发村干部绩效工资。</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4,205.13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4,394.76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4.51%</w:t>
      </w:r>
      <w:r>
        <w:rPr>
          <w:rFonts w:hint="eastAsia" w:ascii="仿宋_GB2312" w:eastAsia="仿宋_GB2312"/>
          <w:color w:val="auto"/>
          <w:spacing w:val="0"/>
          <w:sz w:val="32"/>
          <w:szCs w:val="32"/>
          <w:highlight w:val="none"/>
          <w:lang w:eastAsia="zh-CN"/>
        </w:rPr>
        <w:t>，主要原因是：本年度人员经费增加；追加乡村振兴项目2个；追加一事一议项目；补发村干部绩效工资；</w:t>
      </w:r>
      <w:r>
        <w:rPr>
          <w:rFonts w:hint="eastAsia" w:ascii="仿宋_GB2312" w:eastAsia="仿宋_GB2312"/>
          <w:color w:val="auto"/>
          <w:spacing w:val="0"/>
          <w:sz w:val="32"/>
          <w:szCs w:val="32"/>
          <w:highlight w:val="none"/>
          <w:lang w:val="en-US" w:eastAsia="zh-CN"/>
        </w:rPr>
        <w:t>所决算数大于年初预算数</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716.22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16.30%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7.30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0.17%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129.40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2.94%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55.37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1.26%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spacing w:val="0"/>
          <w:kern w:val="2"/>
          <w:sz w:val="32"/>
          <w:szCs w:val="32"/>
          <w:highlight w:val="none"/>
          <w:lang w:val="zh-CN" w:eastAsia="zh-CN" w:bidi="ar-SA"/>
        </w:rPr>
        <w:t>.农林水支出（类）3,086.65万元，占</w:t>
      </w:r>
      <w:r>
        <w:rPr>
          <w:rFonts w:hint="eastAsia" w:ascii="仿宋_GB2312" w:eastAsia="仿宋_GB2312" w:cs="Times New Roman"/>
          <w:color w:val="auto"/>
          <w:spacing w:val="0"/>
          <w:kern w:val="2"/>
          <w:sz w:val="32"/>
          <w:szCs w:val="32"/>
          <w:highlight w:val="none"/>
          <w:lang w:val="zh-CN" w:eastAsia="zh-CN" w:bidi="ar-SA"/>
        </w:rPr>
        <w:t>70.23%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84.53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1.92%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灾</w:t>
      </w:r>
      <w:r>
        <w:rPr>
          <w:rFonts w:hint="default" w:ascii="仿宋_GB2312" w:hAnsi="Times New Roman" w:eastAsia="仿宋_GB2312" w:cs="Times New Roman"/>
          <w:color w:val="auto"/>
          <w:spacing w:val="0"/>
          <w:kern w:val="2"/>
          <w:sz w:val="32"/>
          <w:szCs w:val="32"/>
          <w:highlight w:val="none"/>
          <w:lang w:val="zh-CN" w:eastAsia="zh-CN" w:bidi="ar-SA"/>
        </w:rPr>
        <w:t>害防治及应急管理支出（类）</w:t>
      </w:r>
      <w:r>
        <w:rPr>
          <w:rFonts w:hint="eastAsia" w:ascii="仿宋_GB2312" w:hAnsi="Times New Roman" w:eastAsia="仿宋_GB2312" w:cs="Times New Roman"/>
          <w:color w:val="auto"/>
          <w:spacing w:val="0"/>
          <w:kern w:val="2"/>
          <w:sz w:val="32"/>
          <w:szCs w:val="32"/>
          <w:highlight w:val="none"/>
          <w:lang w:val="zh-CN" w:eastAsia="zh-CN" w:bidi="ar-SA"/>
        </w:rPr>
        <w:t>23.70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0.54%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8</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291.58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6.63%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18.47万元，比上年决算减少6.89万元，下降27.17%，主要原因是：2023年开始行政退休人员9人不在缴纳单位承担行政医疗，致使行政单位医疗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29.22万元，比上年决算增加0.49万元，增长1.71%，主要原因是：2023年事业退休1人，医疗保险未缴满20年，需继续缴纳医疗保险，相应事业医疗缴费增加，</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3.农林水支出（类）农业农村（款）事业运行（项）:支出决算数为563.87万元，比上年决算增加218.90万元，增长63.45%，主要原因是：2023年发放了2018年下半年和2020年1-3月大绩效奖金，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灾害防治及应急管理支出（类）自然灾害救灾及恢复重建支出（款）自然灾害救灾补助（项）:支出决算数为23.70万元，比上年决算增加23.70万元，增长100%，主要原因是：本年新增中央自然灾害救灾资金项目，致使较去年增加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行政事业单位医疗（款）公务员医疗补助（项）:支出决算数为7.68万元，比上年决算减少2.15万元，下降21.87%，主要原因是：2023年开始行政退休人员9人不在缴纳单位承担公务员医疗补助，致使公务员医疗补助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农林水支出（类）巩固拓展脱贫攻坚成果衔接乡村振兴（款）生产发展（项）:支出决算数为1,825.62万元，比上年决算增加1,825.62万元，增长100%，主要原因是：2023年增加了博尔通古乡喀拉巴斯陶村民宿项目和农房节能改造项目工</w:t>
      </w:r>
      <w:r>
        <w:rPr>
          <w:rFonts w:hint="eastAsia" w:ascii="仿宋_GB2312" w:hAnsi="仿宋_GB2312" w:eastAsia="仿宋_GB2312" w:cs="仿宋_GB2312"/>
          <w:color w:val="auto"/>
          <w:kern w:val="2"/>
          <w:sz w:val="32"/>
          <w:szCs w:val="32"/>
          <w:highlight w:val="none"/>
          <w:lang w:val="zh-CN" w:eastAsia="zh-CN" w:bidi="ar-SA"/>
        </w:rPr>
        <w:t>程款，所以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7.农林水支出（类）水利（款）水利工程建设（项）:支出决算数为16.25万元，比上年决算增加16.25万元，增长100%，主要原因是：2023年增加了</w:t>
      </w:r>
      <w:r>
        <w:rPr>
          <w:rFonts w:hint="eastAsia" w:ascii="仿宋_GB2312" w:hAnsi="仿宋_GB2312" w:eastAsia="仿宋_GB2312" w:cs="仿宋_GB2312"/>
          <w:color w:val="auto"/>
          <w:kern w:val="2"/>
          <w:sz w:val="32"/>
          <w:szCs w:val="32"/>
          <w:highlight w:val="none"/>
          <w:lang w:val="zh-CN" w:eastAsia="zh-CN" w:bidi="ar-SA"/>
        </w:rPr>
        <w:t>博尔通古牧场防渗渠工程款，所以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8.农林水支出（类）农村综合改革（款）对村级公益事业建设的补助（项）:支出决算数为40.00万元，比上年决算减少33.00万元，下降45.21%，主要原因是：2022年一事一议项目多，2023年只有博尔通古村路灯工程，</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9.住房保障支出（类）住房改革支出（款）住房公积金（项）:支出决算数为84.53万元，比上年决算增加4.76万元，增长5.97%，主要原因是：</w:t>
      </w:r>
      <w:r>
        <w:rPr>
          <w:rFonts w:hint="eastAsia" w:ascii="仿宋_GB2312" w:hAnsi="仿宋_GB2312" w:eastAsia="仿宋_GB2312" w:cs="仿宋_GB2312"/>
          <w:color w:val="auto"/>
          <w:kern w:val="2"/>
          <w:sz w:val="32"/>
          <w:szCs w:val="32"/>
          <w:highlight w:val="none"/>
          <w:lang w:val="zh-CN" w:eastAsia="zh-CN" w:bidi="ar-SA"/>
        </w:rPr>
        <w:t>住房公积金基数相应增加，所以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10.文化旅游体育与传媒支出（类）文化和旅游（款）其他文化和旅游支出（项）:支出决算数为7.30万元，比上年决算增加7.10万元，增长3550.00%，主要原因是：2023年度增加了博尔通古乡美术馆、公共图书馆、文化馆[站]免费开放补助资金(广告制作费，办公用品款,奖品款）</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11.农林水支出（类）农业农村（款）对高校毕业生到基层任职补助（项）:支出决算数为0.60万元，比上年决算增加0.60万元，增长100%，主要原因是：2023年补发了高校毕业生2018年绩效考核奖，致使较上年增加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12.社会保障和就业支出（类）行政事业单位养老支出（款）事业单位离退休（项）:支出决算数为4.96万元，比上年决算增加2.56万元，增长106.67%，主要原因是：2023年发放了2022年事业单位退休人员基础绩效奖，</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13.社会保障和就业支出（类）行政事业单位养老支出（款）行政单位离退休（项）:支出决算数为4.31万元，比上年决算增加1.74万元，增长67.70%，主要原因是：2023年发放了2022年行政单位退休人员基础绩效奖，</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农林水支出（类）农业农村（款）行政运行（项）:支出决算数为70.17万元，比上年决算减少22.53万元，下降24.30%，主要原因是：因2022年财政所人员工资福利支出在行政运行功能科目2130101支出，2023年单位机构改革，财政所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15.社会保障和就业支出（类）行政事业单位养老支出（款）机关事业单位职业年金缴费支出（项）:支出决算数为14.13万元，比上年决算减少9.87万元，下降41.13%，主要原因是：博尔通古乡水管所干部在职期间职业年金按时上缴，退休后停缴，2023年退休2人，致使职业年金支出减少，所以比上年决算数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社会保障和就业支出（类）行政事业单位养老支出（款）机关事业单位基本养老保险缴费支出（项）:支出决算数为106.01万元，比上年决算增加17.35万元，增长19.57%，主要原因是：2023年机关事业单位基本养老保险缴费因工资基数增加而相应增加，</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17.一般公共服务支出（类）统战事务（款）宗教事务（项）:支出决算数为5.03万元，比上年决算增加5.03万元，增长100%，主要原因是：2023年支出博尔通古乡管委会干部</w:t>
      </w:r>
      <w:r>
        <w:rPr>
          <w:rFonts w:hint="eastAsia" w:ascii="仿宋_GB2312" w:hAnsi="仿宋_GB2312" w:eastAsia="仿宋_GB2312" w:cs="仿宋_GB2312"/>
          <w:color w:val="auto"/>
          <w:kern w:val="2"/>
          <w:sz w:val="32"/>
          <w:szCs w:val="32"/>
          <w:highlight w:val="none"/>
          <w:lang w:val="zh-CN" w:eastAsia="zh-CN" w:bidi="ar-SA"/>
        </w:rPr>
        <w:t>办公费用，</w:t>
      </w:r>
      <w:r>
        <w:rPr>
          <w:rFonts w:hint="eastAsia" w:ascii="仿宋_GB2312" w:hAnsi="仿宋_GB2312" w:eastAsia="仿宋_GB2312" w:cs="仿宋_GB2312"/>
          <w:color w:val="auto"/>
          <w:kern w:val="2"/>
          <w:sz w:val="32"/>
          <w:szCs w:val="32"/>
          <w:highlight w:val="none"/>
          <w:lang w:val="en-US" w:eastAsia="zh-CN" w:bidi="ar-SA"/>
        </w:rPr>
        <w:t>电费，人员保险费</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2022年未发生支出，</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比上年决算数增长100%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18.一般公共服务支出（类）组织事务（款）其他组织事务支出（项）:支出决算数为96.25万元，比上年决算增加29.94万元，增长45.15%，主要原因是：</w:t>
      </w:r>
      <w:r>
        <w:rPr>
          <w:rFonts w:hint="eastAsia" w:ascii="仿宋_GB2312" w:hAnsi="仿宋_GB2312" w:eastAsia="仿宋_GB2312" w:cs="仿宋_GB2312"/>
          <w:color w:val="auto"/>
          <w:kern w:val="2"/>
          <w:sz w:val="32"/>
          <w:szCs w:val="32"/>
          <w:highlight w:val="none"/>
          <w:lang w:val="zh-CN" w:eastAsia="zh-CN" w:bidi="ar-SA"/>
        </w:rPr>
        <w:t>2023年三老四老人员因为补助标准提高相应生活补助增加，所以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19.一般公共服务支出（类）纪检监察事务（款）其他纪检监察事务支出（项）:支出决算数为1.50万元，比上年决算增加0.50万元，增长50.00%，主要原因是：2023年支出增加了</w:t>
      </w:r>
      <w:r>
        <w:rPr>
          <w:rFonts w:hint="eastAsia" w:ascii="仿宋_GB2312" w:hAnsi="仿宋_GB2312" w:eastAsia="仿宋_GB2312" w:cs="仿宋_GB2312"/>
          <w:color w:val="auto"/>
          <w:kern w:val="2"/>
          <w:sz w:val="32"/>
          <w:szCs w:val="32"/>
          <w:highlight w:val="none"/>
          <w:lang w:val="zh-CN" w:eastAsia="zh-CN" w:bidi="ar-SA"/>
        </w:rPr>
        <w:t>纪检办公费、办公设备购置费，所以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20.农林水支出（类）农村综合改革（款）对村民委员会和村党支部的补助（项）:支出决算数为570.14万元，比上年决算增加101.83万元，增长21.74%，主要原因是：2023年发放了2022年10-12月村干部工资报酬，补发了2020年第三，第四季度绩效工资，</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21.一般公共服务支出（类）政府办公厅（室）及相关机构事务（款）行政运行（项）:支出决算数为529.80万元，比上年决算增加150.01万元，增长39.50%，主要原因是：2023年发放了2018年下半年和2020年1-3月大绩效奖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22.一般公共服务支出（类）统战事务（款）其他统战事务支出（项）:支出决算数为10.14万元，比上年决算减少16.15万元，下降61.43%，主要原因是：</w:t>
      </w:r>
      <w:r>
        <w:rPr>
          <w:rFonts w:hint="eastAsia" w:ascii="仿宋_GB2312" w:hAnsi="仿宋_GB2312" w:eastAsia="仿宋_GB2312" w:cs="仿宋_GB2312"/>
          <w:color w:val="auto"/>
          <w:kern w:val="2"/>
          <w:sz w:val="32"/>
          <w:szCs w:val="32"/>
          <w:highlight w:val="none"/>
          <w:lang w:val="zh-CN" w:eastAsia="zh-CN" w:bidi="ar-SA"/>
        </w:rPr>
        <w:t>2023年博尔通古乡因村上工作人员减少致使相应的生活补助也减少，所以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23.其他支出（类）其他支出（款）其他支出（项）:支出决算数为291.58万元，比上年决算增加23.03万元，增长8.58%，主要原因是：</w:t>
      </w:r>
      <w:r>
        <w:rPr>
          <w:rFonts w:hint="eastAsia" w:ascii="仿宋_GB2312" w:hAnsi="仿宋_GB2312" w:eastAsia="仿宋_GB2312" w:cs="仿宋_GB2312"/>
          <w:color w:val="auto"/>
          <w:kern w:val="2"/>
          <w:sz w:val="32"/>
          <w:szCs w:val="32"/>
          <w:highlight w:val="none"/>
          <w:lang w:val="zh-CN" w:eastAsia="zh-CN" w:bidi="ar-SA"/>
        </w:rPr>
        <w:t>2023年博尔通古乡村级组织活动场所及配套基础设施建设项目增加，所以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24.一般公共服务支出（类）政府办公厅（室）及相关机构事务（款）其他政府办公厅（室）及相关机构事务支出（项）:支出决算数为73.50万元，比上年决算增加37.50万元，增长104.17%，主要原因是：博尔通古乡富民安居工程，围墙，文化广场，大棚，综合市场工程等，致使项目支出增多，所以比去年决算数增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25.文化旅游体育与传媒支出（类）文化和旅游（款）群众文化（项）:支出决算数为0.00万元，比上年决算减少59.22万元，下降100%，主要原因是：因2022年党群服务中心人员工资福利支出在群众文化功能科目2070109支出，2023年单位机构改革，党群服务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26.社会保障和就业支出（类）人力资源和社会保障管理事务（款）其他人力资源和社会保障管理事务支出（项）:支出决算数为0.00万元，比上年决算减少81.53万元，下降100%，主要原因是：因2022年社会保障（民政）服务中心人员工资福利支出在其他人力资源和社会保障管理事务支出功能科目2080199支出，2023年单位机构改革，社会保障（民政）服务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27.卫生健康支出（类）计划生育事务（款）计划生育服务（项）:支出决算数为0.00万元，比上年决算减少3.60万元，下降100%，主要原因是：2022年支出</w:t>
      </w:r>
      <w:r>
        <w:rPr>
          <w:rFonts w:hint="eastAsia" w:ascii="仿宋_GB2312" w:hAnsi="仿宋_GB2312" w:eastAsia="仿宋_GB2312" w:cs="仿宋_GB2312"/>
          <w:color w:val="auto"/>
          <w:kern w:val="2"/>
          <w:sz w:val="32"/>
          <w:szCs w:val="32"/>
          <w:highlight w:val="none"/>
          <w:lang w:val="zh-CN" w:eastAsia="zh-CN" w:bidi="ar-SA"/>
        </w:rPr>
        <w:t>补助资金</w:t>
      </w:r>
      <w:r>
        <w:rPr>
          <w:rFonts w:hint="eastAsia" w:ascii="仿宋_GB2312" w:hAnsi="仿宋_GB2312" w:eastAsia="仿宋_GB2312" w:cs="仿宋_GB2312"/>
          <w:color w:val="auto"/>
          <w:kern w:val="2"/>
          <w:sz w:val="32"/>
          <w:szCs w:val="32"/>
          <w:highlight w:val="none"/>
          <w:lang w:val="en-US" w:eastAsia="zh-CN" w:bidi="ar-SA"/>
        </w:rPr>
        <w:t>3.60万元，2023年未发生支出，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28.城乡社区支出（类）城乡社区管理事务（款）其他城乡社区管理事务支出（项）:支出决算数为0.00万元，比上年决算减少45.44万元，下降100%，主要原因是：因2022年村镇规划建设发展中心人员工资福利支出在其他城乡社区管理事务支出功能科目2120199支出，2023年单位机构改革，村镇规划建设发展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29.农林水支出（类）农业农村（款）防灾救灾（项）:支出决算数为0.00万元，比上年决算减少15.00万元，下降100%，主要原因是：2022年支出</w:t>
      </w:r>
      <w:r>
        <w:rPr>
          <w:rFonts w:hint="eastAsia" w:ascii="仿宋_GB2312" w:hAnsi="仿宋_GB2312" w:eastAsia="仿宋_GB2312" w:cs="仿宋_GB2312"/>
          <w:color w:val="auto"/>
          <w:kern w:val="2"/>
          <w:sz w:val="32"/>
          <w:szCs w:val="32"/>
          <w:highlight w:val="none"/>
          <w:lang w:val="zh-CN" w:eastAsia="zh-CN" w:bidi="ar-SA"/>
        </w:rPr>
        <w:t>博尔通古乡救灾资金补助</w:t>
      </w:r>
      <w:r>
        <w:rPr>
          <w:rFonts w:hint="eastAsia" w:ascii="仿宋_GB2312" w:hAnsi="仿宋_GB2312" w:eastAsia="仿宋_GB2312" w:cs="仿宋_GB2312"/>
          <w:color w:val="auto"/>
          <w:kern w:val="2"/>
          <w:sz w:val="32"/>
          <w:szCs w:val="32"/>
          <w:highlight w:val="none"/>
          <w:lang w:val="en-US" w:eastAsia="zh-CN" w:bidi="ar-SA"/>
        </w:rPr>
        <w:t>15万元</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2023年未发生支出，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30.农林水支出（类）农业农村（款）其他农业农村支出（项）:支出决算数为0.00万元，比上年决算减少23.28万元，下降100%，主要原因是：2022年支出</w:t>
      </w:r>
      <w:r>
        <w:rPr>
          <w:rFonts w:hint="eastAsia" w:ascii="仿宋_GB2312" w:hAnsi="仿宋_GB2312" w:eastAsia="仿宋_GB2312" w:cs="仿宋_GB2312"/>
          <w:color w:val="auto"/>
          <w:kern w:val="2"/>
          <w:sz w:val="32"/>
          <w:szCs w:val="32"/>
          <w:highlight w:val="none"/>
          <w:lang w:val="zh-CN" w:eastAsia="zh-CN" w:bidi="ar-SA"/>
        </w:rPr>
        <w:t>原博牧场2020年、2021年为民办实事经费，</w:t>
      </w:r>
      <w:r>
        <w:rPr>
          <w:rFonts w:hint="eastAsia" w:ascii="仿宋_GB2312" w:hAnsi="仿宋_GB2312" w:eastAsia="仿宋_GB2312" w:cs="仿宋_GB2312"/>
          <w:color w:val="auto"/>
          <w:kern w:val="2"/>
          <w:sz w:val="32"/>
          <w:szCs w:val="32"/>
          <w:highlight w:val="none"/>
          <w:lang w:val="en-US" w:eastAsia="zh-CN" w:bidi="ar-SA"/>
        </w:rPr>
        <w:t>2023年未发生支出，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31.农林水支出（类）农村综合改革（款）国有农场办社会职能改革补助（项）:支出决算数为0.00万元，比上年决算减少89.60万元，下降100%，主要原因是：2022年支出</w:t>
      </w:r>
      <w:r>
        <w:rPr>
          <w:rFonts w:hint="eastAsia" w:ascii="仿宋_GB2312" w:hAnsi="仿宋_GB2312" w:eastAsia="仿宋_GB2312" w:cs="仿宋_GB2312"/>
          <w:color w:val="auto"/>
          <w:kern w:val="2"/>
          <w:sz w:val="32"/>
          <w:szCs w:val="32"/>
          <w:highlight w:val="none"/>
          <w:lang w:val="zh-CN" w:eastAsia="zh-CN" w:bidi="ar-SA"/>
        </w:rPr>
        <w:t>原博尔通古牧场转隶人员工资、社保等，</w:t>
      </w:r>
      <w:r>
        <w:rPr>
          <w:rFonts w:hint="eastAsia" w:ascii="仿宋_GB2312" w:hAnsi="仿宋_GB2312" w:eastAsia="仿宋_GB2312" w:cs="仿宋_GB2312"/>
          <w:color w:val="auto"/>
          <w:kern w:val="2"/>
          <w:sz w:val="32"/>
          <w:szCs w:val="32"/>
          <w:highlight w:val="none"/>
          <w:lang w:val="en-US" w:eastAsia="zh-CN" w:bidi="ar-SA"/>
        </w:rPr>
        <w:t>2023年未发生支出，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32.农林水支出（类）农村综合改革（款）对村集体经济组织的补助（项）:支出决算数为0.00万元，比上年决算减少200.00万元，下降100%，主要原因是：2022年支出加尔肯加尕村，喀拉萨依村，托普铁热克村，库逊托该村薄弱村</w:t>
      </w:r>
      <w:r>
        <w:rPr>
          <w:rFonts w:hint="eastAsia" w:ascii="仿宋_GB2312" w:hAnsi="仿宋_GB2312" w:eastAsia="仿宋_GB2312" w:cs="仿宋_GB2312"/>
          <w:color w:val="auto"/>
          <w:kern w:val="2"/>
          <w:sz w:val="32"/>
          <w:szCs w:val="32"/>
          <w:highlight w:val="none"/>
          <w:lang w:val="zh-CN" w:eastAsia="zh-CN" w:bidi="ar-SA"/>
        </w:rPr>
        <w:t>发展资金，</w:t>
      </w:r>
      <w:r>
        <w:rPr>
          <w:rFonts w:hint="eastAsia" w:ascii="仿宋_GB2312" w:hAnsi="仿宋_GB2312" w:eastAsia="仿宋_GB2312" w:cs="仿宋_GB2312"/>
          <w:color w:val="auto"/>
          <w:kern w:val="2"/>
          <w:sz w:val="32"/>
          <w:szCs w:val="32"/>
          <w:highlight w:val="none"/>
          <w:lang w:val="en-US" w:eastAsia="zh-CN" w:bidi="ar-SA"/>
        </w:rPr>
        <w:t>2023年未发生支出，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1,433.15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1,349.86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其他工资福利支出、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83.28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办公费、电费、邮电费、取暖费、差旅费、维修（护）费、培训费、公务接待费、劳务费、工会经费、公务用车运行维护费、其他交通费用。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ind w:firstLine="640" w:firstLineChars="200"/>
        <w:jc w:val="left"/>
        <w:rPr>
          <w:rFonts w:hint="eastAsia" w:ascii="仿宋_GB2312" w:eastAsia="仿宋_GB2312"/>
          <w:color w:val="auto"/>
          <w:spacing w:val="0"/>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“三公”经费支出4.95万元，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增加2.09万元，</w:t>
      </w:r>
      <w:r>
        <w:rPr>
          <w:rFonts w:hint="eastAsia" w:ascii="仿宋_GB2312" w:eastAsia="仿宋_GB2312"/>
          <w:color w:val="auto"/>
          <w:sz w:val="32"/>
          <w:szCs w:val="32"/>
          <w:highlight w:val="none"/>
          <w:lang w:val="en-US" w:eastAsia="zh-CN"/>
        </w:rPr>
        <w:t>增长73.08%，</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lang w:val="zh-CN" w:eastAsia="zh-CN"/>
        </w:rPr>
        <w:t>公务用车因下村工作油料费、车辆维修费支出有所增加，相应日常公务接待也增加，所以</w:t>
      </w:r>
      <w:r>
        <w:rPr>
          <w:rFonts w:hint="eastAsia" w:ascii="仿宋_GB2312" w:eastAsia="仿宋_GB2312"/>
          <w:color w:val="auto"/>
          <w:sz w:val="32"/>
          <w:szCs w:val="32"/>
          <w:highlight w:val="none"/>
          <w:lang w:val="en-US" w:eastAsia="zh-CN"/>
        </w:rPr>
        <w:t>比上年决算数增加。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主要原因是：我单位无因公出国（境）费支出；公务用车购置及运行维护费支出4.21万元，占85.05%，比上年增加1.80万元，</w:t>
      </w:r>
      <w:r>
        <w:rPr>
          <w:rFonts w:hint="eastAsia" w:ascii="仿宋_GB2312" w:eastAsia="仿宋_GB2312"/>
          <w:color w:val="auto"/>
          <w:spacing w:val="0"/>
          <w:sz w:val="32"/>
          <w:szCs w:val="32"/>
          <w:highlight w:val="none"/>
          <w:lang w:val="en-US" w:eastAsia="zh-CN"/>
        </w:rPr>
        <w:t>增长74.69%,</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有所增加</w:t>
      </w:r>
      <w:r>
        <w:rPr>
          <w:rFonts w:hint="eastAsia" w:ascii="仿宋_GB2312" w:eastAsia="仿宋_GB2312"/>
          <w:color w:val="auto"/>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eastAsia="仿宋_GB2312"/>
          <w:color w:val="auto"/>
          <w:spacing w:val="0"/>
          <w:sz w:val="32"/>
          <w:szCs w:val="32"/>
          <w:highlight w:val="none"/>
          <w:lang w:val="zh-CN" w:eastAsia="zh-CN"/>
        </w:rPr>
        <w:t>公务接待费支出0.74万元，占14.95%，比上年增加0.29万元，</w:t>
      </w:r>
      <w:r>
        <w:rPr>
          <w:rFonts w:hint="eastAsia" w:ascii="仿宋_GB2312" w:eastAsia="仿宋_GB2312"/>
          <w:color w:val="auto"/>
          <w:spacing w:val="0"/>
          <w:sz w:val="32"/>
          <w:szCs w:val="32"/>
          <w:highlight w:val="none"/>
          <w:lang w:val="en-US" w:eastAsia="zh-CN"/>
        </w:rPr>
        <w:t>增长64.44%,</w:t>
      </w:r>
      <w:r>
        <w:rPr>
          <w:rFonts w:hint="eastAsia" w:ascii="仿宋_GB2312" w:eastAsia="仿宋_GB2312"/>
          <w:color w:val="auto"/>
          <w:spacing w:val="0"/>
          <w:sz w:val="32"/>
          <w:szCs w:val="32"/>
          <w:highlight w:val="none"/>
          <w:lang w:val="zh-CN" w:eastAsia="zh-CN"/>
        </w:rPr>
        <w:t>主要原因是：本年度</w:t>
      </w:r>
      <w:r>
        <w:rPr>
          <w:rFonts w:hint="eastAsia" w:ascii="仿宋_GB2312" w:eastAsia="仿宋_GB2312"/>
          <w:sz w:val="32"/>
          <w:szCs w:val="32"/>
          <w:lang w:val="zh-CN"/>
        </w:rPr>
        <w:t>公务接待批次</w:t>
      </w:r>
      <w:r>
        <w:rPr>
          <w:rFonts w:hint="eastAsia" w:ascii="仿宋_GB2312" w:eastAsia="仿宋_GB2312"/>
          <w:sz w:val="32"/>
          <w:szCs w:val="32"/>
          <w:lang w:val="en-US" w:eastAsia="zh-CN"/>
        </w:rPr>
        <w:t>增加</w:t>
      </w:r>
      <w:r>
        <w:rPr>
          <w:rFonts w:hint="eastAsia" w:ascii="仿宋_GB2312" w:eastAsia="仿宋_GB2312"/>
          <w:sz w:val="32"/>
          <w:szCs w:val="32"/>
          <w:lang w:val="zh-CN"/>
        </w:rPr>
        <w:t>，人次</w:t>
      </w:r>
      <w:r>
        <w:rPr>
          <w:rFonts w:hint="eastAsia" w:ascii="仿宋_GB2312" w:eastAsia="仿宋_GB2312"/>
          <w:sz w:val="32"/>
          <w:szCs w:val="32"/>
          <w:lang w:val="en-US" w:eastAsia="zh-CN"/>
        </w:rPr>
        <w:t>增加</w:t>
      </w:r>
      <w:r>
        <w:rPr>
          <w:rFonts w:hint="eastAsia" w:ascii="仿宋_GB2312" w:eastAsia="仿宋_GB2312"/>
          <w:color w:val="auto"/>
          <w:spacing w:val="0"/>
          <w:sz w:val="32"/>
          <w:szCs w:val="32"/>
          <w:highlight w:val="none"/>
          <w:lang w:val="zh-CN" w:eastAsia="zh-CN"/>
        </w:rPr>
        <w:t>，造成日常公务接待增加。</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4.21万元，其中：公务用车购置费0.00万元，公务用车运行维护费4.21万元。公务用车运行维护费开支内容包括公务用车加油，维修，保险费等。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9辆，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原因是：本单位保有量2辆公务用车，其他车辆为环境卫生车辆。</w:t>
      </w:r>
    </w:p>
    <w:p>
      <w:pPr>
        <w:ind w:firstLine="640" w:firstLineChars="200"/>
        <w:jc w:val="left"/>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公务接待费0.74万元，</w:t>
      </w:r>
      <w:r>
        <w:rPr>
          <w:rFonts w:hint="eastAsia" w:ascii="仿宋_GB2312" w:eastAsia="仿宋_GB2312"/>
          <w:sz w:val="32"/>
          <w:szCs w:val="32"/>
          <w:lang w:val="zh-CN"/>
        </w:rPr>
        <w:t>开支内容包括市委办</w:t>
      </w:r>
      <w:r>
        <w:rPr>
          <w:rFonts w:ascii="仿宋_GB2312" w:eastAsia="仿宋_GB2312"/>
          <w:sz w:val="32"/>
          <w:szCs w:val="32"/>
          <w:lang w:val="zh-CN"/>
        </w:rPr>
        <w:t>、组织部、纪检、农业农村局等相关部门来</w:t>
      </w:r>
      <w:r>
        <w:rPr>
          <w:rFonts w:hint="eastAsia" w:ascii="仿宋_GB2312" w:eastAsia="仿宋_GB2312"/>
          <w:sz w:val="32"/>
          <w:szCs w:val="32"/>
          <w:lang w:val="en-US" w:eastAsia="zh-CN"/>
        </w:rPr>
        <w:t>博尔通古乡</w:t>
      </w:r>
      <w:r>
        <w:rPr>
          <w:rFonts w:ascii="仿宋_GB2312" w:eastAsia="仿宋_GB2312"/>
          <w:sz w:val="32"/>
          <w:szCs w:val="32"/>
          <w:lang w:val="zh-CN"/>
        </w:rPr>
        <w:t>检查、指导相关工作的公务接待餐费</w:t>
      </w:r>
      <w:r>
        <w:rPr>
          <w:rFonts w:hint="eastAsia" w:ascii="仿宋_GB2312" w:eastAsia="仿宋_GB2312"/>
          <w:sz w:val="32"/>
          <w:szCs w:val="32"/>
          <w:lang w:val="zh-CN"/>
        </w:rPr>
        <w:t>。单位全年安排的国内公务接待</w:t>
      </w:r>
      <w:r>
        <w:rPr>
          <w:rFonts w:hint="eastAsia" w:ascii="仿宋_GB2312" w:eastAsia="仿宋_GB2312"/>
          <w:sz w:val="32"/>
          <w:szCs w:val="32"/>
          <w:lang w:val="en-US" w:eastAsia="zh-CN"/>
        </w:rPr>
        <w:t>37</w:t>
      </w:r>
      <w:r>
        <w:rPr>
          <w:rFonts w:hint="eastAsia" w:ascii="仿宋_GB2312" w:eastAsia="仿宋_GB2312"/>
          <w:sz w:val="32"/>
          <w:szCs w:val="32"/>
          <w:lang w:val="zh-CN"/>
        </w:rPr>
        <w:t>批次，</w:t>
      </w:r>
      <w:r>
        <w:rPr>
          <w:rFonts w:hint="eastAsia" w:ascii="仿宋_GB2312" w:eastAsia="仿宋_GB2312"/>
          <w:sz w:val="32"/>
          <w:szCs w:val="32"/>
          <w:lang w:val="en-US" w:eastAsia="zh-CN"/>
        </w:rPr>
        <w:t>2</w:t>
      </w:r>
      <w:r>
        <w:rPr>
          <w:rFonts w:hint="eastAsia" w:ascii="仿宋_GB2312" w:eastAsia="仿宋_GB2312"/>
          <w:sz w:val="32"/>
          <w:szCs w:val="32"/>
          <w:lang w:val="zh-CN"/>
        </w:rPr>
        <w:t>00人次。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预算数8.00万元，决算数4.95万元，预决算差异率-38.13%，主要原因是：严格控制本年度公务用车、维修及公务接待费。其中：因公出国（境）费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0.00万元，决算数0.00万元，预决算差异率0.00%，主要原因是：无因公出国（境）人员；公务用车购置费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预算数0.00万元，决算数0.00万元，预决算差异率0.00%，主要原因是：未购置公务用车；公务用车运行费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预算数6.00万元，决算数4.21万元，预决算差异率-29.83%，主要原因是：严格控制本年度公务用车、维修及加油；公务接待费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预算数2.00万元，决算数0.74万元，预决算差异率-63.00%，主要原因是：严格控制本年度日常公务接待。</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rPr>
        <w:t>收入</w:t>
      </w:r>
      <w:r>
        <w:rPr>
          <w:rFonts w:hint="eastAsia" w:ascii="仿宋_GB2312" w:hAnsi="仿宋_GB2312" w:eastAsia="仿宋_GB2312" w:cs="仿宋_GB2312"/>
          <w:color w:val="auto"/>
          <w:sz w:val="32"/>
          <w:szCs w:val="32"/>
          <w:highlight w:val="none"/>
          <w:lang w:val="en-US" w:eastAsia="zh-CN"/>
        </w:rPr>
        <w:t>总计673.51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本年收入673.51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en-US" w:eastAsia="zh-CN"/>
        </w:rPr>
        <w:t>总计673.51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本年支出673.51</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rPr>
        <w:t>与上年相比，增加673.51万元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增长100.00%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：本年度支付博尔通古牧场哈拉干德工矿草原安置补助资金，</w:t>
      </w:r>
      <w:r>
        <w:rPr>
          <w:rFonts w:hint="eastAsia" w:ascii="仿宋_GB2312" w:hAnsi="仿宋_GB2312" w:eastAsia="仿宋_GB2312" w:cs="仿宋_GB2312"/>
          <w:color w:val="auto"/>
          <w:sz w:val="32"/>
          <w:szCs w:val="32"/>
          <w:highlight w:val="none"/>
          <w:lang w:val="en-US" w:eastAsia="zh-CN"/>
        </w:rPr>
        <w:t>所以比上年决算数增长</w:t>
      </w:r>
      <w:r>
        <w:rPr>
          <w:rFonts w:hint="eastAsia" w:ascii="仿宋_GB2312" w:hAnsi="仿宋_GB2312" w:eastAsia="仿宋_GB2312" w:cs="仿宋_GB2312"/>
          <w:color w:val="auto"/>
          <w:sz w:val="32"/>
          <w:szCs w:val="32"/>
          <w:highlight w:val="none"/>
          <w:lang w:val="zh-CN"/>
        </w:rPr>
        <w:t>100%。</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rPr>
        <w:t>与</w:t>
      </w:r>
      <w:r>
        <w:rPr>
          <w:rFonts w:hint="eastAsia" w:ascii="仿宋_GB2312" w:hAnsi="仿宋_GB2312" w:eastAsia="仿宋_GB2312" w:cs="仿宋_GB2312"/>
          <w:color w:val="auto"/>
          <w:sz w:val="32"/>
          <w:szCs w:val="32"/>
          <w:highlight w:val="none"/>
          <w:lang w:val="zh-CN" w:eastAsia="zh-CN"/>
        </w:rPr>
        <w:t>年初预算</w:t>
      </w:r>
      <w:r>
        <w:rPr>
          <w:rFonts w:hint="eastAsia" w:ascii="仿宋_GB2312" w:hAnsi="仿宋_GB2312" w:eastAsia="仿宋_GB2312" w:cs="仿宋_GB2312"/>
          <w:color w:val="auto"/>
          <w:sz w:val="32"/>
          <w:szCs w:val="32"/>
          <w:highlight w:val="none"/>
          <w:lang w:val="zh-CN"/>
        </w:rPr>
        <w:t>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67.00</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673.51</w:t>
      </w:r>
      <w:r>
        <w:rPr>
          <w:rFonts w:hint="eastAsia" w:ascii="仿宋_GB2312" w:hAnsi="仿宋_GB2312" w:eastAsia="仿宋_GB2312" w:cs="仿宋_GB2312"/>
          <w:color w:val="auto"/>
          <w:sz w:val="32"/>
          <w:szCs w:val="32"/>
          <w:highlight w:val="none"/>
          <w:lang w:val="zh-CN"/>
        </w:rPr>
        <w:t>万元，预决算差异率905.24%</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2023年</w:t>
      </w:r>
      <w:r>
        <w:rPr>
          <w:rFonts w:hint="eastAsia" w:ascii="仿宋_GB2312" w:hAnsi="仿宋_GB2312" w:eastAsia="仿宋_GB2312" w:cs="仿宋_GB2312"/>
          <w:color w:val="auto"/>
          <w:sz w:val="32"/>
          <w:szCs w:val="32"/>
          <w:highlight w:val="none"/>
          <w:lang w:val="zh-CN"/>
        </w:rPr>
        <w:t>追加博尔通古牧场哈拉干德工矿草原安置补助资金，所以决算数增加。</w:t>
      </w:r>
    </w:p>
    <w:p>
      <w:pPr>
        <w:keepNext w:val="0"/>
        <w:keepLines w:val="0"/>
        <w:pageBreakBefore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zh-CN" w:eastAsia="zh-CN"/>
        </w:rPr>
        <w:t>673.51</w:t>
      </w:r>
      <w:r>
        <w:rPr>
          <w:rFonts w:hint="eastAsia" w:ascii="仿宋_GB2312" w:hAnsi="仿宋_GB2312" w:eastAsia="仿宋_GB2312" w:cs="仿宋_GB2312"/>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1.城乡社区支出（类）国有土地使用权出让收入安排的支出（款）其他国有土地使用权出让收入安排的支出（项）:支出决算数为673.51</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673.51</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100%，主要原因是：本年度支付博尔通古牧场哈拉干德工矿草原安置补助所以基金增加</w:t>
      </w:r>
      <w:r>
        <w:rPr>
          <w:rFonts w:hint="eastAsia" w:ascii="仿宋_GB2312" w:hAnsi="仿宋_GB2312" w:eastAsia="仿宋_GB2312" w:cs="仿宋_GB2312"/>
          <w:color w:val="auto"/>
          <w:sz w:val="32"/>
          <w:szCs w:val="32"/>
          <w:highlight w:val="none"/>
          <w:lang w:val="en-US" w:eastAsia="zh-CN"/>
        </w:rPr>
        <w:t>，所以比上年决算数增长</w:t>
      </w:r>
      <w:r>
        <w:rPr>
          <w:rFonts w:hint="eastAsia" w:ascii="仿宋_GB2312" w:hAnsi="仿宋_GB2312" w:eastAsia="仿宋_GB2312" w:cs="仿宋_GB2312"/>
          <w:color w:val="auto"/>
          <w:sz w:val="32"/>
          <w:szCs w:val="32"/>
          <w:highlight w:val="none"/>
          <w:lang w:val="zh-CN"/>
        </w:rPr>
        <w:t>100%。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yellow"/>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沙湾市博尔通古乡人民政府（行政单位和参照公务员法管理事业单位）机关运行经费支出83.28万元，</w:t>
      </w:r>
      <w:r>
        <w:rPr>
          <w:rFonts w:hint="eastAsia" w:ascii="仿宋_GB2312" w:hAnsi="仿宋_GB2312" w:eastAsia="仿宋_GB2312" w:cs="仿宋_GB2312"/>
          <w:color w:val="auto"/>
          <w:sz w:val="32"/>
          <w:szCs w:val="32"/>
          <w:highlight w:val="none"/>
          <w:lang w:val="zh-CN" w:eastAsia="zh-CN"/>
        </w:rPr>
        <w:t>比上年增加30.28万元，增长57.13%，主要原因是：因为2022年没有支付取暖费，工会经费，2023年支付上年的取暖费，增加了工会经费支出，所以2023年机关运行经费比上年增加了。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31.37万元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其中：政府采购货物支出31.37万元、政府采购工程支出0.00万元、政府采购服务支出0.00万元。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授予中小企业合同金额31.37万元，占政府采购支出总额的100.00%，其中：授予小微企业合同金额31.37万元，占政府采购支出总额的100.00%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1,962.27</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屋10,409.90平方米，价值979.20万元。车辆9辆，价值140.31万元，其中：副部（省）级及以上领导用车0辆、主要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用车0辆、其他用车9辆，其他用车主要是：</w:t>
      </w:r>
      <w:r>
        <w:rPr>
          <w:rFonts w:hint="eastAsia" w:ascii="仿宋_GB2312" w:eastAsia="仿宋_GB2312"/>
          <w:color w:val="auto"/>
          <w:sz w:val="32"/>
          <w:szCs w:val="32"/>
          <w:highlight w:val="none"/>
          <w:lang w:eastAsia="zh-CN"/>
        </w:rPr>
        <w:t>其他用车10辆都正在使用，垃圾车2辆，普通轿车2辆，铲车1辆，医疗垃圾车1辆，皮卡轻型货车1辆，吸粪车1辆，三轮车2辆；单价100万元（含）以上设备（不含车辆）0台（套）。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b/>
          <w:bCs/>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张，全年</w:t>
      </w:r>
      <w:r>
        <w:rPr>
          <w:rFonts w:hint="eastAsia" w:ascii="仿宋_GB2312" w:eastAsia="仿宋_GB2312"/>
          <w:color w:val="auto"/>
          <w:sz w:val="32"/>
          <w:szCs w:val="32"/>
          <w:highlight w:val="none"/>
          <w:lang w:val="en-US" w:eastAsia="zh-CN"/>
        </w:rPr>
        <w:t>预算总额5220.56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实际执行总额5068.27</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全年预算数4179.08</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全年执行数4060.86</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其中：</w:t>
      </w:r>
      <w:r>
        <w:rPr>
          <w:rFonts w:hint="eastAsia" w:ascii="仿宋_GB2312" w:eastAsia="仿宋_GB2312"/>
          <w:color w:val="auto"/>
          <w:sz w:val="32"/>
          <w:szCs w:val="32"/>
          <w:highlight w:val="none"/>
          <w:lang w:eastAsia="zh-CN"/>
        </w:rPr>
        <w:t>本年度本部门安排sm项目数量</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default"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全年预算数3221.9</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全年执行数3221.9</w:t>
      </w:r>
      <w:r>
        <w:rPr>
          <w:rFonts w:hint="eastAsia" w:ascii="仿宋_GB2312" w:eastAsia="仿宋_GB2312"/>
          <w:color w:val="auto"/>
          <w:sz w:val="32"/>
          <w:szCs w:val="32"/>
          <w:highlight w:val="none"/>
          <w:lang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eastAsia="zh-CN"/>
        </w:rPr>
        <w:t>不予以公开。预算绩效管理取得的成效：一是通过预算绩效管理，我单位能够更加精确地预测和规划资金需求，避免浪费和冗余的支出，提高资金的利用效率；二是我单位能够更准确地评估各项政策和项目的效益，优化资源配置，将有限的资源投入到最具效益的领域和项目，提高社会福利。发现的问题及原因：一是该项目实施过程中对资金支付进度有待加强，对项目实施内容有待细化；二是可操作性待增强，绩效目标申报的时效性受资金下达时间的影响。下一步改进措施：一是明确分工，专人负责该项工作。二是将进一步加强绩效管理工作人员的培训和学习工作；三是分析资金使用的合规、合理性，对有异议的资金支出及时进行纠正，确保每笔资金支出都能最大限度发挥效益，并以此保障单位工作的顺畅运行。四是通过对每笔资金的精细化管理来保障资金使用的合规、合法性，并据此分析各类资金支出产生的效益，使本单位的绩效监控工作上一个新台阶。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hAnsi="仿宋_GB2312" w:eastAsia="仿宋_GB2312" w:cs="仿宋_GB2312"/>
          <w:b/>
          <w:bCs/>
          <w:color w:val="auto"/>
          <w:kern w:val="0"/>
          <w:sz w:val="32"/>
          <w:szCs w:val="32"/>
          <w:highlight w:val="none"/>
          <w:lang w:val="en-US" w:eastAsia="zh-Hans"/>
        </w:rPr>
      </w:pP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hAnsi="仿宋_GB2312" w:eastAsia="仿宋_GB2312" w:cs="仿宋_GB2312"/>
          <w:b/>
          <w:bCs/>
          <w:color w:val="auto"/>
          <w:kern w:val="0"/>
          <w:sz w:val="32"/>
          <w:szCs w:val="32"/>
          <w:highlight w:val="none"/>
          <w:lang w:val="en-US" w:eastAsia="zh-Hans"/>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仿宋_GB2312" w:hAnsi="仿宋_GB2312" w:eastAsia="仿宋_GB2312" w:cs="仿宋_GB2312"/>
          <w:color w:val="auto"/>
          <w:kern w:val="0"/>
          <w:sz w:val="32"/>
          <w:szCs w:val="32"/>
        </w:rPr>
      </w:pPr>
      <w:bookmarkStart w:id="30" w:name="_Toc3250"/>
      <w:bookmarkStart w:id="31" w:name="_Toc24143"/>
      <w:r>
        <w:rPr>
          <w:rFonts w:hint="eastAsia" w:ascii="仿宋_GB2312" w:hAnsi="仿宋_GB2312" w:eastAsia="仿宋_GB2312" w:cs="仿宋_GB2312"/>
          <w:color w:val="auto"/>
          <w:kern w:val="0"/>
          <w:sz w:val="32"/>
          <w:szCs w:val="32"/>
        </w:rPr>
        <w:t>本单位sm项目</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个，全年预算数3221.9万元，全年执行数3221.9</w:t>
      </w:r>
      <w:bookmarkStart w:id="48" w:name="_GoBack"/>
      <w:bookmarkEnd w:id="48"/>
      <w:r>
        <w:rPr>
          <w:rFonts w:hint="eastAsia" w:ascii="仿宋_GB2312" w:hAnsi="仿宋_GB2312" w:eastAsia="仿宋_GB2312" w:cs="仿宋_GB2312"/>
          <w:color w:val="auto"/>
          <w:kern w:val="0"/>
          <w:sz w:val="32"/>
          <w:szCs w:val="32"/>
        </w:rPr>
        <w:t>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zMDkwMGViY2NiZDI5MDZhOGFiNWRjMWFlZmJlYWQifQ=="/>
    <w:docVar w:name="KSO_WPS_MARK_KEY" w:val="41ee2a61-2d54-4f93-83be-afdb9a40d732"/>
  </w:docVars>
  <w:rsids>
    <w:rsidRoot w:val="00000000"/>
    <w:rsid w:val="00213C59"/>
    <w:rsid w:val="003210CE"/>
    <w:rsid w:val="00B70D59"/>
    <w:rsid w:val="00F52A8D"/>
    <w:rsid w:val="01382B04"/>
    <w:rsid w:val="019404F8"/>
    <w:rsid w:val="01C30B6B"/>
    <w:rsid w:val="01C81F50"/>
    <w:rsid w:val="01ED22F2"/>
    <w:rsid w:val="01F86CD9"/>
    <w:rsid w:val="02723AA7"/>
    <w:rsid w:val="02BD3108"/>
    <w:rsid w:val="02EB4148"/>
    <w:rsid w:val="02F73D26"/>
    <w:rsid w:val="034D4FEF"/>
    <w:rsid w:val="035D1785"/>
    <w:rsid w:val="037A4D83"/>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5F4B69"/>
    <w:rsid w:val="06792773"/>
    <w:rsid w:val="06FD75CA"/>
    <w:rsid w:val="07093795"/>
    <w:rsid w:val="07804730"/>
    <w:rsid w:val="079052BE"/>
    <w:rsid w:val="07911761"/>
    <w:rsid w:val="08145C21"/>
    <w:rsid w:val="08422688"/>
    <w:rsid w:val="085854ED"/>
    <w:rsid w:val="0879188F"/>
    <w:rsid w:val="08A0354D"/>
    <w:rsid w:val="08CD4C49"/>
    <w:rsid w:val="09114954"/>
    <w:rsid w:val="095A5B83"/>
    <w:rsid w:val="096466E3"/>
    <w:rsid w:val="0968304D"/>
    <w:rsid w:val="09A339CE"/>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272D4B"/>
    <w:rsid w:val="0D4903E8"/>
    <w:rsid w:val="0D7A4A46"/>
    <w:rsid w:val="0E442941"/>
    <w:rsid w:val="0E640559"/>
    <w:rsid w:val="0F1113DA"/>
    <w:rsid w:val="0F233511"/>
    <w:rsid w:val="0F78534A"/>
    <w:rsid w:val="0F89358A"/>
    <w:rsid w:val="0F8C6D51"/>
    <w:rsid w:val="105B0B5E"/>
    <w:rsid w:val="108B28A0"/>
    <w:rsid w:val="112E58D0"/>
    <w:rsid w:val="11731CAC"/>
    <w:rsid w:val="119500A0"/>
    <w:rsid w:val="11C0733B"/>
    <w:rsid w:val="11D50D17"/>
    <w:rsid w:val="120E0809"/>
    <w:rsid w:val="12274B2F"/>
    <w:rsid w:val="123953FD"/>
    <w:rsid w:val="127F665A"/>
    <w:rsid w:val="12F7068C"/>
    <w:rsid w:val="13E40E6B"/>
    <w:rsid w:val="14207DC0"/>
    <w:rsid w:val="14382F65"/>
    <w:rsid w:val="146F7376"/>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630E75"/>
    <w:rsid w:val="190648B0"/>
    <w:rsid w:val="19071D6C"/>
    <w:rsid w:val="19D26CD4"/>
    <w:rsid w:val="19E60D19"/>
    <w:rsid w:val="1A3E3450"/>
    <w:rsid w:val="1A6176A9"/>
    <w:rsid w:val="1A790D27"/>
    <w:rsid w:val="1AD807E5"/>
    <w:rsid w:val="1AE32665"/>
    <w:rsid w:val="1B39345B"/>
    <w:rsid w:val="1BFB2A1F"/>
    <w:rsid w:val="1C015D4A"/>
    <w:rsid w:val="1C290ED5"/>
    <w:rsid w:val="1C317E4F"/>
    <w:rsid w:val="1C472464"/>
    <w:rsid w:val="1CAD220B"/>
    <w:rsid w:val="1D22799A"/>
    <w:rsid w:val="1D5C1A72"/>
    <w:rsid w:val="1DAF458D"/>
    <w:rsid w:val="1E086ACE"/>
    <w:rsid w:val="1E5F6FDE"/>
    <w:rsid w:val="1E62130A"/>
    <w:rsid w:val="1E97358B"/>
    <w:rsid w:val="1EAA4A5F"/>
    <w:rsid w:val="1EE869A7"/>
    <w:rsid w:val="1F3F37CF"/>
    <w:rsid w:val="1FA15E62"/>
    <w:rsid w:val="1FED69B6"/>
    <w:rsid w:val="2064678E"/>
    <w:rsid w:val="20DC1AB9"/>
    <w:rsid w:val="20DD6197"/>
    <w:rsid w:val="20FB3057"/>
    <w:rsid w:val="212631E0"/>
    <w:rsid w:val="2138666F"/>
    <w:rsid w:val="21742080"/>
    <w:rsid w:val="21A53757"/>
    <w:rsid w:val="21D95A5F"/>
    <w:rsid w:val="21F879E1"/>
    <w:rsid w:val="221236C6"/>
    <w:rsid w:val="22D7662C"/>
    <w:rsid w:val="230961F8"/>
    <w:rsid w:val="23326B7F"/>
    <w:rsid w:val="2380045B"/>
    <w:rsid w:val="23BC04D2"/>
    <w:rsid w:val="23D663C0"/>
    <w:rsid w:val="23EF1892"/>
    <w:rsid w:val="2483647E"/>
    <w:rsid w:val="24A32D55"/>
    <w:rsid w:val="24CE6D9A"/>
    <w:rsid w:val="25292727"/>
    <w:rsid w:val="252E5CA9"/>
    <w:rsid w:val="256F7692"/>
    <w:rsid w:val="25BA2154"/>
    <w:rsid w:val="25C8773F"/>
    <w:rsid w:val="25D1588C"/>
    <w:rsid w:val="25E45320"/>
    <w:rsid w:val="26235823"/>
    <w:rsid w:val="264A7253"/>
    <w:rsid w:val="26F0170C"/>
    <w:rsid w:val="26FE3B9A"/>
    <w:rsid w:val="27201D62"/>
    <w:rsid w:val="27286E73"/>
    <w:rsid w:val="27CF2642"/>
    <w:rsid w:val="27E777F5"/>
    <w:rsid w:val="27EA1D4C"/>
    <w:rsid w:val="27EA2E41"/>
    <w:rsid w:val="281573ED"/>
    <w:rsid w:val="282459E2"/>
    <w:rsid w:val="283A7FE5"/>
    <w:rsid w:val="285F51FF"/>
    <w:rsid w:val="288D1679"/>
    <w:rsid w:val="28A85B3E"/>
    <w:rsid w:val="28DA4193"/>
    <w:rsid w:val="28DA6F98"/>
    <w:rsid w:val="28DF2665"/>
    <w:rsid w:val="29072599"/>
    <w:rsid w:val="291029F3"/>
    <w:rsid w:val="296F6263"/>
    <w:rsid w:val="29CB58F0"/>
    <w:rsid w:val="2A053397"/>
    <w:rsid w:val="2A145E96"/>
    <w:rsid w:val="2A2131BB"/>
    <w:rsid w:val="2A9135B0"/>
    <w:rsid w:val="2AF5378F"/>
    <w:rsid w:val="2BB94DBF"/>
    <w:rsid w:val="2BF37410"/>
    <w:rsid w:val="2C5A7D2C"/>
    <w:rsid w:val="2C6F314E"/>
    <w:rsid w:val="2CC206BE"/>
    <w:rsid w:val="2D1136DF"/>
    <w:rsid w:val="2D20606D"/>
    <w:rsid w:val="2D3D2D26"/>
    <w:rsid w:val="2D6729FE"/>
    <w:rsid w:val="2DB87198"/>
    <w:rsid w:val="2DB93C54"/>
    <w:rsid w:val="2E3D144C"/>
    <w:rsid w:val="2E7643D4"/>
    <w:rsid w:val="2E891204"/>
    <w:rsid w:val="2F3F0A28"/>
    <w:rsid w:val="2FBF7029"/>
    <w:rsid w:val="2FD0187F"/>
    <w:rsid w:val="2FD27414"/>
    <w:rsid w:val="2FFE4BB0"/>
    <w:rsid w:val="300E7B60"/>
    <w:rsid w:val="300F6E18"/>
    <w:rsid w:val="30862F5F"/>
    <w:rsid w:val="309A5DF3"/>
    <w:rsid w:val="30A4775A"/>
    <w:rsid w:val="314029C9"/>
    <w:rsid w:val="31C33445"/>
    <w:rsid w:val="31C63837"/>
    <w:rsid w:val="31C82E39"/>
    <w:rsid w:val="32116F69"/>
    <w:rsid w:val="32601BAD"/>
    <w:rsid w:val="32650F71"/>
    <w:rsid w:val="32826EB5"/>
    <w:rsid w:val="329F6389"/>
    <w:rsid w:val="3389023A"/>
    <w:rsid w:val="33CB74FA"/>
    <w:rsid w:val="343642F2"/>
    <w:rsid w:val="343F3010"/>
    <w:rsid w:val="345D0A00"/>
    <w:rsid w:val="34713BFD"/>
    <w:rsid w:val="34AE6C7F"/>
    <w:rsid w:val="34C13589"/>
    <w:rsid w:val="353369E3"/>
    <w:rsid w:val="35B21E0B"/>
    <w:rsid w:val="35E00D72"/>
    <w:rsid w:val="368E3C06"/>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A45EBE"/>
    <w:rsid w:val="39DA0497"/>
    <w:rsid w:val="3A893816"/>
    <w:rsid w:val="3A893B6D"/>
    <w:rsid w:val="3AC76F05"/>
    <w:rsid w:val="3ACA6CB6"/>
    <w:rsid w:val="3AD1763A"/>
    <w:rsid w:val="3B196883"/>
    <w:rsid w:val="3B4B48B0"/>
    <w:rsid w:val="3B6716E3"/>
    <w:rsid w:val="3B6C6B2D"/>
    <w:rsid w:val="3BDA3AD7"/>
    <w:rsid w:val="3C242659"/>
    <w:rsid w:val="3C447E49"/>
    <w:rsid w:val="3C96719C"/>
    <w:rsid w:val="3CA72BE8"/>
    <w:rsid w:val="3CDC1E1E"/>
    <w:rsid w:val="3CEF0BD1"/>
    <w:rsid w:val="3CF37F8C"/>
    <w:rsid w:val="3D137554"/>
    <w:rsid w:val="3D5275AC"/>
    <w:rsid w:val="3DCC2473"/>
    <w:rsid w:val="3DEB0883"/>
    <w:rsid w:val="3E2527BF"/>
    <w:rsid w:val="3E70484C"/>
    <w:rsid w:val="3E731662"/>
    <w:rsid w:val="3E8168DD"/>
    <w:rsid w:val="3E9A7853"/>
    <w:rsid w:val="3EA7725F"/>
    <w:rsid w:val="3EB03713"/>
    <w:rsid w:val="3EBF1A11"/>
    <w:rsid w:val="3EC52607"/>
    <w:rsid w:val="3EEC6CEF"/>
    <w:rsid w:val="3F183429"/>
    <w:rsid w:val="3FB77A1D"/>
    <w:rsid w:val="3FDC3674"/>
    <w:rsid w:val="3FED7F8A"/>
    <w:rsid w:val="40094AEF"/>
    <w:rsid w:val="401D10DD"/>
    <w:rsid w:val="405470BD"/>
    <w:rsid w:val="40794A29"/>
    <w:rsid w:val="40834692"/>
    <w:rsid w:val="40AB493B"/>
    <w:rsid w:val="40C81736"/>
    <w:rsid w:val="41431AD5"/>
    <w:rsid w:val="414B3C0F"/>
    <w:rsid w:val="415E631A"/>
    <w:rsid w:val="417C1CE7"/>
    <w:rsid w:val="41900018"/>
    <w:rsid w:val="41944406"/>
    <w:rsid w:val="41AF6BF5"/>
    <w:rsid w:val="41CE128F"/>
    <w:rsid w:val="41DA6F12"/>
    <w:rsid w:val="42171FB1"/>
    <w:rsid w:val="427567A8"/>
    <w:rsid w:val="42905B96"/>
    <w:rsid w:val="42C10D7B"/>
    <w:rsid w:val="434E6957"/>
    <w:rsid w:val="4370712E"/>
    <w:rsid w:val="43BA0E31"/>
    <w:rsid w:val="43C15147"/>
    <w:rsid w:val="43E14DD2"/>
    <w:rsid w:val="43F800E9"/>
    <w:rsid w:val="443A7E4B"/>
    <w:rsid w:val="444A7D08"/>
    <w:rsid w:val="452F5B3A"/>
    <w:rsid w:val="4537637C"/>
    <w:rsid w:val="454E7FD2"/>
    <w:rsid w:val="455A12FC"/>
    <w:rsid w:val="46061BDC"/>
    <w:rsid w:val="461404F8"/>
    <w:rsid w:val="462C651F"/>
    <w:rsid w:val="46413018"/>
    <w:rsid w:val="464B7E04"/>
    <w:rsid w:val="468041AA"/>
    <w:rsid w:val="468123C6"/>
    <w:rsid w:val="46901EEE"/>
    <w:rsid w:val="469C74D2"/>
    <w:rsid w:val="46B16C83"/>
    <w:rsid w:val="471E40C9"/>
    <w:rsid w:val="47445515"/>
    <w:rsid w:val="474B4782"/>
    <w:rsid w:val="47AF6ABF"/>
    <w:rsid w:val="47D90D14"/>
    <w:rsid w:val="47DE1152"/>
    <w:rsid w:val="48387FB0"/>
    <w:rsid w:val="483A6114"/>
    <w:rsid w:val="48666DCE"/>
    <w:rsid w:val="488727DB"/>
    <w:rsid w:val="48B82268"/>
    <w:rsid w:val="48C354B3"/>
    <w:rsid w:val="493D58B5"/>
    <w:rsid w:val="494A7A04"/>
    <w:rsid w:val="49605EF7"/>
    <w:rsid w:val="497F2250"/>
    <w:rsid w:val="4A0A26D2"/>
    <w:rsid w:val="4A2019A5"/>
    <w:rsid w:val="4A241A0B"/>
    <w:rsid w:val="4A5C2BD7"/>
    <w:rsid w:val="4A7B2875"/>
    <w:rsid w:val="4A934476"/>
    <w:rsid w:val="4AAA220A"/>
    <w:rsid w:val="4AAC2B8B"/>
    <w:rsid w:val="4AB72B95"/>
    <w:rsid w:val="4AE12E67"/>
    <w:rsid w:val="4B03281C"/>
    <w:rsid w:val="4B4C0111"/>
    <w:rsid w:val="4B6F639A"/>
    <w:rsid w:val="4B8553A9"/>
    <w:rsid w:val="4BDB3730"/>
    <w:rsid w:val="4BEF6B9A"/>
    <w:rsid w:val="4C200F7A"/>
    <w:rsid w:val="4CEE3180"/>
    <w:rsid w:val="4CEE5CDA"/>
    <w:rsid w:val="4D0F4AF6"/>
    <w:rsid w:val="4DF94F37"/>
    <w:rsid w:val="4E0A1DD5"/>
    <w:rsid w:val="4E3160E5"/>
    <w:rsid w:val="4E4D37AF"/>
    <w:rsid w:val="4E564548"/>
    <w:rsid w:val="4E724CEA"/>
    <w:rsid w:val="4E8C6496"/>
    <w:rsid w:val="4EFD18DE"/>
    <w:rsid w:val="4F0214B3"/>
    <w:rsid w:val="4F133DD7"/>
    <w:rsid w:val="4F144236"/>
    <w:rsid w:val="4F663C87"/>
    <w:rsid w:val="4F7E29A8"/>
    <w:rsid w:val="4F9E1FFC"/>
    <w:rsid w:val="4FA206F4"/>
    <w:rsid w:val="50447CC2"/>
    <w:rsid w:val="5063394D"/>
    <w:rsid w:val="50874A7C"/>
    <w:rsid w:val="50895EE7"/>
    <w:rsid w:val="50921B9D"/>
    <w:rsid w:val="50D16158"/>
    <w:rsid w:val="50DB5F45"/>
    <w:rsid w:val="51025EB1"/>
    <w:rsid w:val="51141503"/>
    <w:rsid w:val="513C450E"/>
    <w:rsid w:val="514C1822"/>
    <w:rsid w:val="518D0ED5"/>
    <w:rsid w:val="518D7DC3"/>
    <w:rsid w:val="525C687F"/>
    <w:rsid w:val="52A31916"/>
    <w:rsid w:val="52A3740A"/>
    <w:rsid w:val="52F647F7"/>
    <w:rsid w:val="52F92565"/>
    <w:rsid w:val="53AE735E"/>
    <w:rsid w:val="53D03877"/>
    <w:rsid w:val="53F15D7B"/>
    <w:rsid w:val="5414667C"/>
    <w:rsid w:val="542F73CA"/>
    <w:rsid w:val="5430786D"/>
    <w:rsid w:val="545A1D2A"/>
    <w:rsid w:val="54C811C0"/>
    <w:rsid w:val="54F6012E"/>
    <w:rsid w:val="556A442D"/>
    <w:rsid w:val="55985036"/>
    <w:rsid w:val="55DA564E"/>
    <w:rsid w:val="55E816A3"/>
    <w:rsid w:val="5604127D"/>
    <w:rsid w:val="56044E6C"/>
    <w:rsid w:val="56166703"/>
    <w:rsid w:val="56510474"/>
    <w:rsid w:val="56861525"/>
    <w:rsid w:val="56A93273"/>
    <w:rsid w:val="56BD550C"/>
    <w:rsid w:val="56C43C09"/>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5B47E1"/>
    <w:rsid w:val="5BD456CE"/>
    <w:rsid w:val="5C0D1F49"/>
    <w:rsid w:val="5CBB0CE2"/>
    <w:rsid w:val="5CC17177"/>
    <w:rsid w:val="5CF306BC"/>
    <w:rsid w:val="5D3F3D64"/>
    <w:rsid w:val="5D833043"/>
    <w:rsid w:val="5DD92690"/>
    <w:rsid w:val="5DDB1CFD"/>
    <w:rsid w:val="5E12288E"/>
    <w:rsid w:val="5E7E6D93"/>
    <w:rsid w:val="5E82459B"/>
    <w:rsid w:val="5E8819C0"/>
    <w:rsid w:val="5ED44800"/>
    <w:rsid w:val="5EFB0DE4"/>
    <w:rsid w:val="5F350BDE"/>
    <w:rsid w:val="5F4B2E90"/>
    <w:rsid w:val="5F61632C"/>
    <w:rsid w:val="5FA17648"/>
    <w:rsid w:val="5FE705CB"/>
    <w:rsid w:val="6007714E"/>
    <w:rsid w:val="603D5080"/>
    <w:rsid w:val="606842D0"/>
    <w:rsid w:val="60D0261B"/>
    <w:rsid w:val="60D64C64"/>
    <w:rsid w:val="612433E1"/>
    <w:rsid w:val="618E3791"/>
    <w:rsid w:val="61947DCA"/>
    <w:rsid w:val="61A46A97"/>
    <w:rsid w:val="61D1382F"/>
    <w:rsid w:val="61F114A2"/>
    <w:rsid w:val="622B0ABA"/>
    <w:rsid w:val="62512BB4"/>
    <w:rsid w:val="625D7D1A"/>
    <w:rsid w:val="62660469"/>
    <w:rsid w:val="62DD7D21"/>
    <w:rsid w:val="63674F93"/>
    <w:rsid w:val="637D586B"/>
    <w:rsid w:val="63A5560B"/>
    <w:rsid w:val="63E61662"/>
    <w:rsid w:val="63E9091F"/>
    <w:rsid w:val="63ED4855"/>
    <w:rsid w:val="63F81E6F"/>
    <w:rsid w:val="64322AF9"/>
    <w:rsid w:val="64D6010D"/>
    <w:rsid w:val="64D82665"/>
    <w:rsid w:val="64E36D15"/>
    <w:rsid w:val="64E47C96"/>
    <w:rsid w:val="651E5741"/>
    <w:rsid w:val="65384E7D"/>
    <w:rsid w:val="655D7702"/>
    <w:rsid w:val="65736359"/>
    <w:rsid w:val="658A4877"/>
    <w:rsid w:val="65A00902"/>
    <w:rsid w:val="65AC6EDD"/>
    <w:rsid w:val="65D97752"/>
    <w:rsid w:val="66085536"/>
    <w:rsid w:val="66105BF7"/>
    <w:rsid w:val="66150023"/>
    <w:rsid w:val="6628010D"/>
    <w:rsid w:val="66896D8D"/>
    <w:rsid w:val="669B4528"/>
    <w:rsid w:val="66CC12D7"/>
    <w:rsid w:val="67134CEF"/>
    <w:rsid w:val="671F1ABD"/>
    <w:rsid w:val="67521A59"/>
    <w:rsid w:val="67C304AB"/>
    <w:rsid w:val="67CD7572"/>
    <w:rsid w:val="680E5A30"/>
    <w:rsid w:val="683F0658"/>
    <w:rsid w:val="689C6793"/>
    <w:rsid w:val="68CE7010"/>
    <w:rsid w:val="68DB0208"/>
    <w:rsid w:val="68FB170C"/>
    <w:rsid w:val="691B3D98"/>
    <w:rsid w:val="693748F0"/>
    <w:rsid w:val="69846A0E"/>
    <w:rsid w:val="69AA1366"/>
    <w:rsid w:val="69AD798C"/>
    <w:rsid w:val="69D005C0"/>
    <w:rsid w:val="69D80B96"/>
    <w:rsid w:val="69F47AD7"/>
    <w:rsid w:val="6A2C39D4"/>
    <w:rsid w:val="6AA442B0"/>
    <w:rsid w:val="6AB2753D"/>
    <w:rsid w:val="6AD47994"/>
    <w:rsid w:val="6B68175F"/>
    <w:rsid w:val="6BFD799F"/>
    <w:rsid w:val="6C4A2E5A"/>
    <w:rsid w:val="6C8138D0"/>
    <w:rsid w:val="6CEF0725"/>
    <w:rsid w:val="6D4B2604"/>
    <w:rsid w:val="6D77358F"/>
    <w:rsid w:val="6D8030E4"/>
    <w:rsid w:val="6DE54DB8"/>
    <w:rsid w:val="6E0E35C4"/>
    <w:rsid w:val="6E0F7A08"/>
    <w:rsid w:val="6E193D50"/>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279CC"/>
    <w:rsid w:val="718F7F65"/>
    <w:rsid w:val="71D533C8"/>
    <w:rsid w:val="71DA6992"/>
    <w:rsid w:val="727B234E"/>
    <w:rsid w:val="728A58B0"/>
    <w:rsid w:val="72D068C7"/>
    <w:rsid w:val="72E42ED8"/>
    <w:rsid w:val="72FC34C3"/>
    <w:rsid w:val="735F4CB9"/>
    <w:rsid w:val="73674C62"/>
    <w:rsid w:val="73845865"/>
    <w:rsid w:val="739B6D9E"/>
    <w:rsid w:val="73BC1D76"/>
    <w:rsid w:val="73FB6630"/>
    <w:rsid w:val="748D790E"/>
    <w:rsid w:val="74916881"/>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5C58F4"/>
    <w:rsid w:val="7873527F"/>
    <w:rsid w:val="790A6425"/>
    <w:rsid w:val="790E2D96"/>
    <w:rsid w:val="791B54B2"/>
    <w:rsid w:val="793C0F89"/>
    <w:rsid w:val="795A0A34"/>
    <w:rsid w:val="797339C3"/>
    <w:rsid w:val="79D57D57"/>
    <w:rsid w:val="79F00650"/>
    <w:rsid w:val="7A6242BF"/>
    <w:rsid w:val="7A794513"/>
    <w:rsid w:val="7A9B3811"/>
    <w:rsid w:val="7AA54E4A"/>
    <w:rsid w:val="7AB467DA"/>
    <w:rsid w:val="7AB9318D"/>
    <w:rsid w:val="7AE952D2"/>
    <w:rsid w:val="7B9F26AF"/>
    <w:rsid w:val="7BB607FE"/>
    <w:rsid w:val="7C7248A0"/>
    <w:rsid w:val="7C976D69"/>
    <w:rsid w:val="7CC61BD9"/>
    <w:rsid w:val="7CD752DA"/>
    <w:rsid w:val="7CDE40AB"/>
    <w:rsid w:val="7CEA7845"/>
    <w:rsid w:val="7CF057E2"/>
    <w:rsid w:val="7D1548B5"/>
    <w:rsid w:val="7DF84014"/>
    <w:rsid w:val="7E207949"/>
    <w:rsid w:val="7E5C0A47"/>
    <w:rsid w:val="7E670C75"/>
    <w:rsid w:val="7EE24272"/>
    <w:rsid w:val="7EEA6053"/>
    <w:rsid w:val="7F487C04"/>
    <w:rsid w:val="7F611CBA"/>
    <w:rsid w:val="7FB45F21"/>
    <w:rsid w:val="7FD4557F"/>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9326</Words>
  <Characters>10817</Characters>
  <Lines>0</Lines>
  <Paragraphs>0</Paragraphs>
  <TotalTime>6</TotalTime>
  <ScaleCrop>false</ScaleCrop>
  <LinksUpToDate>false</LinksUpToDate>
  <CharactersWithSpaces>10828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2025-04-14T04:20:22Z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0C96827AC9CD4E97A3F9B6098724B399_13</vt:lpwstr>
  </property>
</Properties>
</file>