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沙湾市三道河子林场</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（一）认真执行《中华人民共和国森林法》及相关法律法规。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（二）认真完成上级部门下达的造林绿化任务，保护森林资源。</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（三）严格执行森林采伐制度，科学合理利用森林资源。结合实际开展林业科研、实验工作，组织开展林木良种繁育，建设林木良种基地和林业新技术推广示范基地。</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（四）充分利用森林资源，大力发展特色林果业和森林旅游业。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沙湾市三道河子林场</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36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13</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23</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单位无下属预算单位，下设5个处室，分别是：行政办公室、财务室、苗圃办、园林队、综治办</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400.86万元，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400.86万元，使用非财政拨款结余0.00万元，年初结转和结余0.00万元。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400.86万元，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400.86万元，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增加144.17万元</w:t>
      </w:r>
      <w:r>
        <w:rPr>
          <w:rFonts w:hint="eastAsia" w:ascii="仿宋_GB2312" w:eastAsia="仿宋_GB2312"/>
          <w:color w:val="auto"/>
          <w:spacing w:val="0"/>
          <w:sz w:val="32"/>
          <w:szCs w:val="32"/>
          <w:highlight w:val="none"/>
          <w:lang w:eastAsia="zh-CN"/>
        </w:rPr>
        <w:t>，增长56.17%，主要原因是：</w:t>
      </w:r>
      <w:r>
        <w:rPr>
          <w:rFonts w:hint="eastAsia" w:ascii="仿宋_GB2312" w:eastAsia="仿宋_GB2312"/>
          <w:color w:val="auto"/>
          <w:spacing w:val="0"/>
          <w:sz w:val="32"/>
          <w:szCs w:val="32"/>
          <w:highlight w:val="none"/>
          <w:lang w:val="en-US" w:eastAsia="zh-CN"/>
        </w:rPr>
        <w:t>2023年将单位资金收入支出纳入预算，2022年未将单位资金纳入预算，所以2023年收入支出总体与上年相比有所增长</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400.86</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228.18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56.92%</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172.68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43.08%</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本年支出400.86万元，其中：基本支出203.18万元，占50.69%；项目支出25.00万元，占6.24%；上缴上级支出0.00万元，占0.00%；经营支出172.68万元，占43.08%；对附属单位补助支出0.00万元，占0.00%。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228.18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228.18</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228.18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228.18</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减少28.51万元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下降11.11%,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2023年未给单位退休人员缴纳基本医疗及大额医疗，同时与2022年相比，我单位退休人员减少3人，同时相应地减少了退休人员的退休费等支出，所以</w:t>
      </w:r>
      <w:r>
        <w:rPr>
          <w:rFonts w:hint="eastAsia" w:ascii="仿宋_GB2312" w:eastAsia="仿宋_GB2312"/>
          <w:color w:val="auto"/>
          <w:spacing w:val="0"/>
          <w:sz w:val="32"/>
          <w:szCs w:val="32"/>
          <w:highlight w:val="none"/>
          <w:lang w:eastAsia="zh-CN"/>
        </w:rPr>
        <w:t>财政拨款收入支出总体与上年相比有所减少。与年初预算相比，年初预算数</w:t>
      </w:r>
      <w:r>
        <w:rPr>
          <w:rFonts w:hint="eastAsia" w:ascii="仿宋_GB2312" w:eastAsia="仿宋_GB2312"/>
          <w:color w:val="auto"/>
          <w:spacing w:val="0"/>
          <w:sz w:val="32"/>
          <w:szCs w:val="32"/>
          <w:highlight w:val="none"/>
          <w:lang w:val="zh-CN" w:eastAsia="zh-CN"/>
        </w:rPr>
        <w:t>189.87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228.18</w:t>
      </w:r>
      <w:r>
        <w:rPr>
          <w:rFonts w:hint="eastAsia" w:ascii="仿宋_GB2312" w:eastAsia="仿宋_GB2312"/>
          <w:color w:val="auto"/>
          <w:spacing w:val="0"/>
          <w:sz w:val="32"/>
          <w:szCs w:val="32"/>
          <w:highlight w:val="none"/>
          <w:lang w:eastAsia="zh-CN"/>
        </w:rPr>
        <w:t>万元，预决算差异率20.18%，主要原因是：</w:t>
      </w:r>
      <w:r>
        <w:rPr>
          <w:rFonts w:hint="eastAsia" w:ascii="仿宋_GB2312" w:eastAsia="仿宋_GB2312"/>
          <w:color w:val="auto"/>
          <w:spacing w:val="0"/>
          <w:sz w:val="32"/>
          <w:szCs w:val="32"/>
          <w:highlight w:val="none"/>
          <w:lang w:val="en-US" w:eastAsia="zh-CN"/>
        </w:rPr>
        <w:t>2023年项目25万元为年中追加项目，年初未做预算，同时，本年度新增退休死亡人员3人，在年中根据人社局相关审批表新增死亡人员丧葬费及抚恤金，所以</w:t>
      </w:r>
      <w:r>
        <w:rPr>
          <w:rFonts w:hint="eastAsia" w:ascii="仿宋_GB2312" w:eastAsia="仿宋_GB2312"/>
          <w:color w:val="auto"/>
          <w:spacing w:val="0"/>
          <w:sz w:val="32"/>
          <w:szCs w:val="32"/>
          <w:highlight w:val="none"/>
          <w:lang w:eastAsia="zh-CN"/>
        </w:rPr>
        <w:t>与年初预算相比，决算数有所增长。</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2023年度一般公共预算财政拨款支出228.18万元，占本年支出合计的</w:t>
      </w:r>
      <w:r>
        <w:rPr>
          <w:rFonts w:hint="eastAsia" w:ascii="仿宋_GB2312" w:eastAsia="仿宋_GB2312"/>
          <w:color w:val="auto"/>
          <w:spacing w:val="0"/>
          <w:sz w:val="32"/>
          <w:szCs w:val="32"/>
          <w:highlight w:val="none"/>
          <w:lang w:val="zh-CN" w:eastAsia="zh-CN"/>
        </w:rPr>
        <w:t>56.92%</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减少28.51万元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下降11.11%,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2023年根据相关要求未给单位退休人员缴纳基本医疗及大额医疗，同时与2022年相比，我单位退休人员减少3人，同时相应地减少了退休人员的退休费等支出，所以</w:t>
      </w:r>
      <w:r>
        <w:rPr>
          <w:rFonts w:hint="eastAsia" w:ascii="仿宋_GB2312" w:eastAsia="仿宋_GB2312"/>
          <w:color w:val="auto"/>
          <w:spacing w:val="0"/>
          <w:sz w:val="32"/>
          <w:szCs w:val="32"/>
          <w:highlight w:val="none"/>
          <w:lang w:eastAsia="zh-CN"/>
        </w:rPr>
        <w:t>财政拨款收入支出总体与上年相比有所减少。与年初预算相比，年初预算数</w:t>
      </w:r>
      <w:r>
        <w:rPr>
          <w:rFonts w:hint="eastAsia" w:ascii="仿宋_GB2312" w:eastAsia="仿宋_GB2312"/>
          <w:color w:val="auto"/>
          <w:spacing w:val="0"/>
          <w:sz w:val="32"/>
          <w:szCs w:val="32"/>
          <w:highlight w:val="none"/>
          <w:lang w:val="zh-CN" w:eastAsia="zh-CN"/>
        </w:rPr>
        <w:t>189.87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228.18</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20.18%</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2023年项目25万元为年中追加项目，年初未做预算，同时，本年度新增退休死亡人员3人，在年中根据人社局相关审批表新增死亡人员丧葬费及抚恤金，所以</w:t>
      </w:r>
      <w:r>
        <w:rPr>
          <w:rFonts w:hint="eastAsia" w:ascii="仿宋_GB2312" w:eastAsia="仿宋_GB2312"/>
          <w:color w:val="auto"/>
          <w:spacing w:val="0"/>
          <w:sz w:val="32"/>
          <w:szCs w:val="32"/>
          <w:highlight w:val="none"/>
          <w:lang w:eastAsia="zh-CN"/>
        </w:rPr>
        <w:t>与年初预算相比，决算数有所增长。</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26.18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11.4</w:t>
      </w:r>
      <w:r>
        <w:rPr>
          <w:rFonts w:hint="eastAsia" w:ascii="仿宋_GB2312" w:eastAsia="仿宋_GB2312" w:cs="Times New Roman"/>
          <w:color w:val="auto"/>
          <w:spacing w:val="0"/>
          <w:kern w:val="2"/>
          <w:sz w:val="32"/>
          <w:szCs w:val="32"/>
          <w:highlight w:val="none"/>
          <w:lang w:val="en-US" w:eastAsia="zh-CN" w:bidi="ar-SA"/>
        </w:rPr>
        <w:t>8</w:t>
      </w:r>
      <w:r>
        <w:rPr>
          <w:rFonts w:hint="eastAsia" w:ascii="仿宋_GB2312" w:eastAsia="仿宋_GB2312" w:cs="Times New Roman"/>
          <w:color w:val="auto"/>
          <w:spacing w:val="0"/>
          <w:kern w:val="2"/>
          <w:sz w:val="32"/>
          <w:szCs w:val="32"/>
          <w:highlight w:val="none"/>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en-US" w:eastAsia="zh-CN" w:bidi="ar-SA"/>
        </w:rPr>
      </w:pPr>
      <w:r>
        <w:rPr>
          <w:rFonts w:hint="default" w:ascii="仿宋_GB2312" w:hAnsi="Times New Roman"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5.87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2.57%</w:t>
      </w:r>
      <w:r>
        <w:rPr>
          <w:rFonts w:hint="default" w:ascii="仿宋_GB2312" w:hAnsi="Times New Roman" w:eastAsia="仿宋_GB2312" w:cs="Times New Roman"/>
          <w:color w:val="auto"/>
          <w:spacing w:val="0"/>
          <w:kern w:val="2"/>
          <w:sz w:val="32"/>
          <w:szCs w:val="32"/>
          <w:highlight w:val="none"/>
          <w:lang w:val="en-US"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3.</w:t>
      </w:r>
      <w:r>
        <w:rPr>
          <w:rFonts w:hint="eastAsia" w:ascii="仿宋_GB2312" w:hAnsi="仿宋_GB2312" w:eastAsia="仿宋_GB2312" w:cs="仿宋_GB2312"/>
          <w:color w:val="auto"/>
          <w:spacing w:val="0"/>
          <w:kern w:val="2"/>
          <w:sz w:val="32"/>
          <w:szCs w:val="32"/>
          <w:highlight w:val="none"/>
          <w:lang w:val="zh-CN" w:eastAsia="zh-CN" w:bidi="ar-SA"/>
        </w:rPr>
        <w:t>农林水支出（类）183.73万元，占</w:t>
      </w:r>
      <w:r>
        <w:rPr>
          <w:rFonts w:hint="eastAsia" w:ascii="仿宋_GB2312" w:eastAsia="仿宋_GB2312" w:cs="Times New Roman"/>
          <w:color w:val="auto"/>
          <w:spacing w:val="0"/>
          <w:kern w:val="2"/>
          <w:sz w:val="32"/>
          <w:szCs w:val="32"/>
          <w:highlight w:val="none"/>
          <w:lang w:val="zh-CN" w:eastAsia="zh-CN" w:bidi="ar-SA"/>
        </w:rPr>
        <w:t>80.52%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4.住房保障支出（类）</w:t>
      </w:r>
      <w:r>
        <w:rPr>
          <w:rFonts w:hint="eastAsia" w:ascii="仿宋_GB2312" w:hAnsi="Times New Roman" w:eastAsia="仿宋_GB2312" w:cs="Times New Roman"/>
          <w:color w:val="auto"/>
          <w:spacing w:val="0"/>
          <w:kern w:val="2"/>
          <w:sz w:val="32"/>
          <w:szCs w:val="32"/>
          <w:highlight w:val="none"/>
          <w:lang w:val="zh-CN" w:eastAsia="zh-CN" w:bidi="ar-SA"/>
        </w:rPr>
        <w:t>7.40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3.24%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5.其他支出（类）</w:t>
      </w:r>
      <w:r>
        <w:rPr>
          <w:rFonts w:hint="eastAsia" w:ascii="仿宋_GB2312" w:hAnsi="Times New Roman" w:eastAsia="仿宋_GB2312" w:cs="Times New Roman"/>
          <w:color w:val="auto"/>
          <w:spacing w:val="0"/>
          <w:kern w:val="2"/>
          <w:sz w:val="32"/>
          <w:szCs w:val="32"/>
          <w:highlight w:val="none"/>
          <w:lang w:val="zh-CN" w:eastAsia="zh-CN" w:bidi="ar-SA"/>
        </w:rPr>
        <w:t>5.00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2.19%</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农林水支出（类）林业和草原（款）事业机构（项）:支出决算数为163.73万元，比上年决算减少23.09万元，下降12.36%，主要原因是：2022年存在补发2021年度及本年度基础绩效奖、年终考核奖，同时基本工资及基础性绩效工资调标，2023年不存在补发基础绩效奖，同时本年度退休人员减少3人，导致相应支出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2.卫生健康支出（类）行政事业单位医疗（款）事业单位医疗（项）:支出决算数为5.87万元，比上年决算减少11.69万元，下降66.57%，主要原因是：</w:t>
      </w:r>
      <w:r>
        <w:rPr>
          <w:rFonts w:hint="eastAsia" w:ascii="仿宋_GB2312" w:eastAsia="仿宋_GB2312"/>
          <w:color w:val="auto"/>
          <w:spacing w:val="0"/>
          <w:sz w:val="32"/>
          <w:szCs w:val="32"/>
          <w:highlight w:val="none"/>
          <w:lang w:val="en-US" w:eastAsia="zh-CN"/>
        </w:rPr>
        <w:t>2023年根据相关要求未给单位退休人员缴纳基本医疗保险，所以事业单位医疗支出比上年减少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住房保障支出（类）住房改革支出（款）住房公积金（项）:支出决算数为7.40万元，比上年决算增加0.54万元，增长7.87%，主要原因是：本年度根据住房公积金办相关规定，对在编人员住房公积金基数进行了调增，所以住房公积金支出决算数比上年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社会保障和就业支出（类）行政事业单位养老支出（款）事业单位离退休（项）:支出决算数为12.60万元，比上年决算增加3.34万元，增长36.07%，主要原因是：本年度支出退休人员基础绩效奖，且该津贴较2022年有所调增，所以支出决算数有所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5.农林水支出（类）林业和草原（款）其他林业和草原支出（项）:支出决算数为20.00万元，比上年决算增加0.00万元，增长0.00%，主要原因是：2022年及2023年本单位均有自治区林草专项资金20万元</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社会保障和就业支出（类）行政事业单位养老支出（款）机关事业单位职业年金缴费支出（项）:支出决算数为4.53万元，比上年决算增加0.80万元，增长21.45%，主要原因是：本年度根据相关规定，对在编人员职业年金基数进行了调增</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7.其他支出（类）其他支出（款）其他支出（项）:支出决算数为5.00万元，比上年决算增加0.00万元，增长0.00%，主要原因是：根据相关规定，本年度工作人员项目资金仍然为5万元，没有增减</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社会保障和就业支出（类）行政事业单位养老支出（款）机关事业单位基本养老保险缴费支出（项）:支出决算数为9.05万元，比上年决算增加1.59万元，增长21.31%，主要原因是：本年度根据社保相关规定，对在编人员机关事业单位养老基数进行了调增，所以机关事业单位基本养老保险缴费支出决算数有所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203.18</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201.85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基本工资、津贴补贴、奖金、绩效工资、机关事业单位基本养老保险缴费、职业年金缴费、职工基本医疗保险缴费、其他社会保障缴费、住房公积金、退休费、抚恤金、其他对个人和家庭的补助。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1.33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取暖费、工会经费</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主要原因是：我单位为差额补助事业单位，财政</w:t>
      </w:r>
      <w:r>
        <w:rPr>
          <w:rFonts w:hint="eastAsia" w:ascii="仿宋_GB2312" w:eastAsia="仿宋_GB2312"/>
          <w:color w:val="auto"/>
          <w:sz w:val="32"/>
          <w:szCs w:val="32"/>
          <w:highlight w:val="none"/>
          <w:lang w:val="en-US" w:eastAsia="zh-CN"/>
        </w:rPr>
        <w:t>不拨付我场“三公”经费，</w:t>
      </w:r>
      <w:r>
        <w:rPr>
          <w:rFonts w:hint="eastAsia" w:ascii="仿宋_GB2312" w:eastAsia="仿宋_GB2312"/>
          <w:color w:val="auto"/>
          <w:sz w:val="32"/>
          <w:szCs w:val="32"/>
          <w:highlight w:val="none"/>
          <w:lang w:val="zh-CN" w:eastAsia="zh-CN"/>
        </w:rPr>
        <w:t>故本年度无</w:t>
      </w:r>
      <w:r>
        <w:rPr>
          <w:rFonts w:hint="eastAsia" w:ascii="仿宋_GB2312" w:eastAsia="仿宋_GB2312"/>
          <w:color w:val="auto"/>
          <w:sz w:val="32"/>
          <w:szCs w:val="32"/>
          <w:highlight w:val="none"/>
          <w:lang w:val="en-US" w:eastAsia="zh-CN"/>
        </w:rPr>
        <w:t>“三公”经费</w:t>
      </w:r>
      <w:bookmarkStart w:id="48" w:name="_GoBack"/>
      <w:bookmarkEnd w:id="48"/>
      <w:r>
        <w:rPr>
          <w:rFonts w:hint="eastAsia" w:ascii="仿宋_GB2312" w:eastAsia="仿宋_GB2312"/>
          <w:color w:val="auto"/>
          <w:sz w:val="32"/>
          <w:szCs w:val="32"/>
          <w:highlight w:val="none"/>
          <w:lang w:val="zh-CN" w:eastAsia="zh-CN"/>
        </w:rPr>
        <w:t>支出。其中：因公出国（境）费支出0.00万元，占0.00%，比上年增加0.00万元，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主要原因是：我单位无因公出国（境）</w:t>
      </w:r>
      <w:r>
        <w:rPr>
          <w:rFonts w:hint="eastAsia" w:ascii="仿宋_GB2312" w:eastAsia="仿宋_GB2312"/>
          <w:color w:val="auto"/>
          <w:sz w:val="32"/>
          <w:szCs w:val="32"/>
          <w:highlight w:val="none"/>
          <w:lang w:val="en-US" w:eastAsia="zh-CN"/>
        </w:rPr>
        <w:t>事项，故</w:t>
      </w:r>
      <w:r>
        <w:rPr>
          <w:rFonts w:hint="eastAsia" w:ascii="仿宋_GB2312" w:eastAsia="仿宋_GB2312"/>
          <w:color w:val="auto"/>
          <w:sz w:val="32"/>
          <w:szCs w:val="32"/>
          <w:highlight w:val="none"/>
          <w:lang w:val="zh-CN" w:eastAsia="zh-CN"/>
        </w:rPr>
        <w:t>无因公出国（境）费支出；公务用车购置及运行维护费支出0.00万元，占0.00%，比上年增加0.00万元，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主要原因是：我单位为差额补助事业单位，财政只拨付在编人员50%工资、社保及退休人员100%</w:t>
      </w:r>
      <w:r>
        <w:rPr>
          <w:rFonts w:hint="eastAsia" w:ascii="仿宋_GB2312" w:eastAsia="仿宋_GB2312"/>
          <w:color w:val="auto"/>
          <w:sz w:val="32"/>
          <w:szCs w:val="32"/>
          <w:highlight w:val="none"/>
          <w:lang w:val="en-US" w:eastAsia="zh-CN"/>
        </w:rPr>
        <w:t>退休</w:t>
      </w:r>
      <w:r>
        <w:rPr>
          <w:rFonts w:hint="eastAsia" w:ascii="仿宋_GB2312" w:eastAsia="仿宋_GB2312"/>
          <w:color w:val="auto"/>
          <w:sz w:val="32"/>
          <w:szCs w:val="32"/>
          <w:highlight w:val="none"/>
          <w:lang w:val="zh-CN" w:eastAsia="zh-CN"/>
        </w:rPr>
        <w:t>费，</w:t>
      </w:r>
      <w:r>
        <w:rPr>
          <w:rFonts w:hint="eastAsia" w:ascii="仿宋_GB2312" w:eastAsia="仿宋_GB2312"/>
          <w:color w:val="auto"/>
          <w:sz w:val="32"/>
          <w:szCs w:val="32"/>
          <w:highlight w:val="none"/>
          <w:lang w:val="en-US" w:eastAsia="zh-CN"/>
        </w:rPr>
        <w:t>不拨付我场</w:t>
      </w:r>
      <w:r>
        <w:rPr>
          <w:rFonts w:hint="eastAsia" w:ascii="仿宋_GB2312" w:eastAsia="仿宋_GB2312"/>
          <w:color w:val="auto"/>
          <w:sz w:val="32"/>
          <w:szCs w:val="32"/>
          <w:highlight w:val="none"/>
          <w:lang w:val="zh-CN" w:eastAsia="zh-CN"/>
        </w:rPr>
        <w:t>公务用车购置及运行维护费，故本年度无相关支出；公务接待费支出0.00万元，占0.00%，比上年增加0.00万元，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我单位无公务用车运行维护费开支。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7辆，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我单位为生产性事业单位，无公务用车，固定资产中的7辆车均为生产用车</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公务接待费0.00万元，开支内容包括我单位无公务接待</w:t>
      </w:r>
      <w:r>
        <w:rPr>
          <w:rFonts w:hint="eastAsia" w:ascii="仿宋_GB2312" w:eastAsia="仿宋_GB2312"/>
          <w:color w:val="auto"/>
          <w:sz w:val="32"/>
          <w:szCs w:val="32"/>
          <w:highlight w:val="none"/>
          <w:lang w:val="en-US" w:eastAsia="zh-CN"/>
        </w:rPr>
        <w:t>开支</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预算数0.00万元，决算数0.00万元，预决算差异率0.00%，主要原因是：我单位未安排一般公共预算“三公”经费支出，预决算无差异。其中：因公出国（境）费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0.00万元，决算数0.00万元，预决算差异率0.00%，主要原因是：我单位未安排因公出国（境）费，预决算无差异；公务用车购置费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预算数0.00万元，决算数0.00万元，预决算差异率0.00%，主要原因是：我单位未安排公务用车购置费，预决算无差异；公务用车运行费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预算数0.00万元，决算数0.00万元，预决算差异率0.00%，主要原因是：我单位未安排公务用车运行费，预决算无差异；公务接待费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预算数0.00万元，决算数0.00万元，预决算差异率0.00%，主要原因是：我单位未安排公务接待费，预决算无差异。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沙湾市三道河子林场（事业单位）公用经费支出1.33万元，</w:t>
      </w:r>
      <w:r>
        <w:rPr>
          <w:rFonts w:hint="eastAsia" w:ascii="仿宋_GB2312" w:hAnsi="仿宋_GB2312" w:eastAsia="仿宋_GB2312" w:cs="仿宋_GB2312"/>
          <w:color w:val="auto"/>
          <w:sz w:val="32"/>
          <w:szCs w:val="32"/>
          <w:highlight w:val="none"/>
          <w:lang w:val="zh-CN" w:eastAsia="zh-CN"/>
        </w:rPr>
        <w:t>比上年增加1.33万元，增长100.00%，主要原因是：</w:t>
      </w:r>
      <w:r>
        <w:rPr>
          <w:rFonts w:hint="eastAsia" w:ascii="仿宋_GB2312" w:hAnsi="仿宋_GB2312" w:eastAsia="仿宋_GB2312" w:cs="仿宋_GB2312"/>
          <w:color w:val="auto"/>
          <w:sz w:val="32"/>
          <w:szCs w:val="32"/>
          <w:highlight w:val="none"/>
          <w:lang w:val="en-US" w:eastAsia="zh-CN"/>
        </w:rPr>
        <w:t>我单位为差额拨款事业单位，2023年度，财政拨付我单位取暖费0.81万元，工会经费0.52万元，2022年度财政未拨付以上资金，所以公用经费支出</w:t>
      </w:r>
      <w:r>
        <w:rPr>
          <w:rFonts w:hint="eastAsia" w:ascii="仿宋_GB2312" w:hAnsi="仿宋_GB2312" w:eastAsia="仿宋_GB2312" w:cs="仿宋_GB2312"/>
          <w:color w:val="auto"/>
          <w:sz w:val="32"/>
          <w:szCs w:val="32"/>
          <w:highlight w:val="none"/>
          <w:lang w:val="zh-CN" w:eastAsia="zh-CN"/>
        </w:rPr>
        <w:t>比上年有所增加。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57.53万元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其中：政府采购货物支出16.48万元、政府采购工程支出1.20万元、政府采购服务支出39.84万元。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授予中小企业合同金额56.00万元，占政府采购支出总额的97.34%，其中：授予小微企业合同金额56.00万元，占政府采购支出总额的97.34%</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8391"/>
      <w:bookmarkStart w:id="27" w:name="_Toc45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1,806.15</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屋7,365.90平方米，价值304.70万元。车辆7辆，价值102.31万元，其中：副部（省）级及以上领导用车0辆、主要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用车0辆、其他用车7辆，其他用车主要是：生产用车；单价100万元（含）以上设备（不含车辆）0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hAnsi="仿宋_GB2312" w:eastAsia="仿宋_GB2312" w:cs="仿宋_GB2312"/>
          <w:color w:val="auto"/>
          <w:kern w:val="0"/>
          <w:sz w:val="32"/>
          <w:szCs w:val="32"/>
          <w:highlight w:val="none"/>
          <w:lang w:val="en-US" w:eastAsia="zh-CN"/>
        </w:rPr>
        <w:t>1个，全年</w:t>
      </w:r>
      <w:r>
        <w:rPr>
          <w:rFonts w:hint="eastAsia" w:ascii="仿宋_GB2312" w:eastAsia="仿宋_GB2312"/>
          <w:color w:val="auto"/>
          <w:sz w:val="32"/>
          <w:szCs w:val="32"/>
          <w:highlight w:val="none"/>
          <w:lang w:val="en-US" w:eastAsia="zh-CN"/>
        </w:rPr>
        <w:t>预算总额228.18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实际执行总额228.18</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全年预算数25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全年执行数25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项目的实施解决了绿化苗木滞销现状，提升了种苗发展，增加我场经济效益的同时，使我场经济回暖，走出困境，有利于我场持续发展，同时为全区生态环境做出贡献；二是项目实施，做好了我场苗圃苗木的管护，保证了良种苗木的生长发育态势，对苗木以后的生长提供坚实基础。发现的问题及原因：一是资金使用效益需进一步提高，支付进度有待加强；二是项目实施时，对具体若干内容资金把控不到位，监督审核不严。下一步改进措施：一是加强明确分工，专人负责该项工作，同时，进一步加强绩效管理工作人员的培训和学习工作；二是要严格预算编制，做到细化精确，加强项目实施管理，要求将任务落实到具体项目，明确责任主体，建议项目实施单位经常到实地督查进度，并采取开展调研、中期评估等有效管理。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8"/>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YjVmOTRmYzRmYjY5ZTMzZDM1OGM4MDVhMjBiOWYifQ=="/>
    <w:docVar w:name="KSO_WPS_MARK_KEY" w:val="41ee2a61-2d54-4f93-83be-afdb9a40d732"/>
  </w:docVars>
  <w:rsids>
    <w:rsidRoot w:val="00000000"/>
    <w:rsid w:val="00213C59"/>
    <w:rsid w:val="003210CE"/>
    <w:rsid w:val="00B70D59"/>
    <w:rsid w:val="00EB0A46"/>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1B34D9"/>
    <w:rsid w:val="0F78534A"/>
    <w:rsid w:val="0F89358A"/>
    <w:rsid w:val="0F8C6D51"/>
    <w:rsid w:val="105B0B5E"/>
    <w:rsid w:val="112E58D0"/>
    <w:rsid w:val="11731CAC"/>
    <w:rsid w:val="119500A0"/>
    <w:rsid w:val="11C0733B"/>
    <w:rsid w:val="11D50D17"/>
    <w:rsid w:val="120E0809"/>
    <w:rsid w:val="127F665A"/>
    <w:rsid w:val="12F7068C"/>
    <w:rsid w:val="14207DC0"/>
    <w:rsid w:val="14452793"/>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D566A6"/>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D7662C"/>
    <w:rsid w:val="23240C05"/>
    <w:rsid w:val="23326B7F"/>
    <w:rsid w:val="2380045B"/>
    <w:rsid w:val="23BC04D2"/>
    <w:rsid w:val="23EF1892"/>
    <w:rsid w:val="2483647E"/>
    <w:rsid w:val="24A32D55"/>
    <w:rsid w:val="24CE6D9A"/>
    <w:rsid w:val="25292727"/>
    <w:rsid w:val="252E5CA9"/>
    <w:rsid w:val="256F7692"/>
    <w:rsid w:val="25BA2154"/>
    <w:rsid w:val="25C8773F"/>
    <w:rsid w:val="26235823"/>
    <w:rsid w:val="264A7253"/>
    <w:rsid w:val="268B591C"/>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5D7287"/>
    <w:rsid w:val="2B776856"/>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1FE078F"/>
    <w:rsid w:val="32601BAD"/>
    <w:rsid w:val="329F6389"/>
    <w:rsid w:val="3389023A"/>
    <w:rsid w:val="33CB74FA"/>
    <w:rsid w:val="343642F2"/>
    <w:rsid w:val="343F3010"/>
    <w:rsid w:val="345D0A00"/>
    <w:rsid w:val="34713BFD"/>
    <w:rsid w:val="34C13589"/>
    <w:rsid w:val="353369E3"/>
    <w:rsid w:val="35B21E0B"/>
    <w:rsid w:val="35E00D72"/>
    <w:rsid w:val="36965B9D"/>
    <w:rsid w:val="36C549FD"/>
    <w:rsid w:val="375C5920"/>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1F62FE4"/>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7F52351"/>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5E6909"/>
    <w:rsid w:val="4E8C6496"/>
    <w:rsid w:val="4EFD18DE"/>
    <w:rsid w:val="4F144236"/>
    <w:rsid w:val="4F663C87"/>
    <w:rsid w:val="4F7E29A8"/>
    <w:rsid w:val="4F9E1FFC"/>
    <w:rsid w:val="50447CC2"/>
    <w:rsid w:val="50874A7C"/>
    <w:rsid w:val="50895EE7"/>
    <w:rsid w:val="50921B9D"/>
    <w:rsid w:val="50923CDC"/>
    <w:rsid w:val="50D16158"/>
    <w:rsid w:val="50DB5F45"/>
    <w:rsid w:val="51025EB1"/>
    <w:rsid w:val="51141503"/>
    <w:rsid w:val="513C450E"/>
    <w:rsid w:val="518D0ED5"/>
    <w:rsid w:val="52355F00"/>
    <w:rsid w:val="525C687F"/>
    <w:rsid w:val="52A3740A"/>
    <w:rsid w:val="52F647F7"/>
    <w:rsid w:val="52F92565"/>
    <w:rsid w:val="53AE735E"/>
    <w:rsid w:val="53D03877"/>
    <w:rsid w:val="542F73CA"/>
    <w:rsid w:val="5430786D"/>
    <w:rsid w:val="545A1D2A"/>
    <w:rsid w:val="54660148"/>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BA3664"/>
    <w:rsid w:val="62C75F26"/>
    <w:rsid w:val="62DD7D21"/>
    <w:rsid w:val="62EA3A0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651B61"/>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5650</Words>
  <Characters>6344</Characters>
  <Lines>0</Lines>
  <Paragraphs>0</Paragraphs>
  <TotalTime>0</TotalTime>
  <ScaleCrop>false</ScaleCrop>
  <LinksUpToDate>false</LinksUpToDate>
  <CharactersWithSpaces>6355</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刘永磊</cp:lastModifiedBy>
  <dcterms:modified xsi:type="dcterms:W3CDTF">2024-11-20T10:25:58Z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