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FF061">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83F61EE">
      <w:pPr>
        <w:spacing w:line="540" w:lineRule="exact"/>
        <w:jc w:val="center"/>
        <w:rPr>
          <w:rFonts w:ascii="华文中宋" w:hAnsi="华文中宋" w:eastAsia="华文中宋" w:cs="宋体"/>
          <w:b/>
          <w:kern w:val="0"/>
          <w:sz w:val="52"/>
          <w:szCs w:val="52"/>
        </w:rPr>
      </w:pPr>
    </w:p>
    <w:p w14:paraId="0624F806">
      <w:pPr>
        <w:spacing w:line="540" w:lineRule="exact"/>
        <w:jc w:val="center"/>
        <w:rPr>
          <w:rFonts w:ascii="华文中宋" w:hAnsi="华文中宋" w:eastAsia="华文中宋" w:cs="宋体"/>
          <w:b/>
          <w:kern w:val="0"/>
          <w:sz w:val="52"/>
          <w:szCs w:val="52"/>
        </w:rPr>
      </w:pPr>
    </w:p>
    <w:p w14:paraId="62EEC32B">
      <w:pPr>
        <w:spacing w:line="540" w:lineRule="exact"/>
        <w:jc w:val="center"/>
        <w:rPr>
          <w:rFonts w:ascii="华文中宋" w:hAnsi="华文中宋" w:eastAsia="华文中宋" w:cs="宋体"/>
          <w:b/>
          <w:kern w:val="0"/>
          <w:sz w:val="52"/>
          <w:szCs w:val="52"/>
        </w:rPr>
      </w:pPr>
    </w:p>
    <w:p w14:paraId="1ECEBD3E">
      <w:pPr>
        <w:spacing w:line="540" w:lineRule="exact"/>
        <w:jc w:val="center"/>
        <w:rPr>
          <w:rFonts w:ascii="华文中宋" w:hAnsi="华文中宋" w:eastAsia="华文中宋" w:cs="宋体"/>
          <w:b/>
          <w:kern w:val="0"/>
          <w:sz w:val="52"/>
          <w:szCs w:val="52"/>
        </w:rPr>
      </w:pPr>
    </w:p>
    <w:p w14:paraId="721CE2A6">
      <w:pPr>
        <w:spacing w:line="540" w:lineRule="exact"/>
        <w:jc w:val="center"/>
        <w:rPr>
          <w:rFonts w:ascii="华文中宋" w:hAnsi="华文中宋" w:eastAsia="华文中宋" w:cs="宋体"/>
          <w:b/>
          <w:kern w:val="0"/>
          <w:sz w:val="52"/>
          <w:szCs w:val="52"/>
        </w:rPr>
      </w:pPr>
    </w:p>
    <w:p w14:paraId="493F920A">
      <w:pPr>
        <w:spacing w:line="540" w:lineRule="exact"/>
        <w:jc w:val="center"/>
        <w:rPr>
          <w:rFonts w:ascii="华文中宋" w:hAnsi="华文中宋" w:eastAsia="华文中宋" w:cs="宋体"/>
          <w:b/>
          <w:kern w:val="0"/>
          <w:sz w:val="52"/>
          <w:szCs w:val="52"/>
        </w:rPr>
      </w:pPr>
    </w:p>
    <w:p w14:paraId="66AFC08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0358F919">
      <w:pPr>
        <w:spacing w:line="540" w:lineRule="exact"/>
        <w:jc w:val="center"/>
        <w:rPr>
          <w:rFonts w:ascii="华文中宋" w:hAnsi="华文中宋" w:eastAsia="华文中宋" w:cs="宋体"/>
          <w:b/>
          <w:kern w:val="0"/>
          <w:sz w:val="52"/>
          <w:szCs w:val="52"/>
        </w:rPr>
      </w:pPr>
    </w:p>
    <w:p w14:paraId="5F3E4EF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4D7D578C">
      <w:pPr>
        <w:spacing w:line="540" w:lineRule="exact"/>
        <w:jc w:val="center"/>
        <w:rPr>
          <w:rFonts w:hAnsi="宋体" w:eastAsia="仿宋_GB2312" w:cs="宋体"/>
          <w:kern w:val="0"/>
          <w:sz w:val="30"/>
          <w:szCs w:val="30"/>
        </w:rPr>
      </w:pPr>
    </w:p>
    <w:p w14:paraId="3224774B">
      <w:pPr>
        <w:spacing w:line="540" w:lineRule="exact"/>
        <w:jc w:val="center"/>
        <w:rPr>
          <w:rFonts w:hAnsi="宋体" w:eastAsia="仿宋_GB2312" w:cs="宋体"/>
          <w:kern w:val="0"/>
          <w:sz w:val="30"/>
          <w:szCs w:val="30"/>
        </w:rPr>
      </w:pPr>
    </w:p>
    <w:p w14:paraId="4B96B4F6">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4EFDC61D">
      <w:pPr>
        <w:spacing w:line="540" w:lineRule="exact"/>
        <w:jc w:val="center"/>
        <w:rPr>
          <w:rFonts w:hAnsi="宋体" w:eastAsia="仿宋_GB2312" w:cs="宋体"/>
          <w:kern w:val="0"/>
          <w:sz w:val="30"/>
          <w:szCs w:val="30"/>
        </w:rPr>
      </w:pPr>
    </w:p>
    <w:p w14:paraId="79C64EA7">
      <w:pPr>
        <w:spacing w:line="540" w:lineRule="exact"/>
        <w:jc w:val="center"/>
        <w:rPr>
          <w:rFonts w:hAnsi="宋体" w:eastAsia="仿宋_GB2312" w:cs="宋体"/>
          <w:kern w:val="0"/>
          <w:sz w:val="30"/>
          <w:szCs w:val="30"/>
        </w:rPr>
      </w:pPr>
    </w:p>
    <w:p w14:paraId="2E28CEF7">
      <w:pPr>
        <w:spacing w:line="540" w:lineRule="exact"/>
        <w:jc w:val="center"/>
        <w:rPr>
          <w:rFonts w:hAnsi="宋体" w:eastAsia="仿宋_GB2312" w:cs="宋体"/>
          <w:kern w:val="0"/>
          <w:sz w:val="30"/>
          <w:szCs w:val="30"/>
        </w:rPr>
      </w:pPr>
    </w:p>
    <w:p w14:paraId="1A4B4B9A">
      <w:pPr>
        <w:spacing w:line="540" w:lineRule="exact"/>
        <w:rPr>
          <w:rFonts w:hAnsi="宋体" w:eastAsia="仿宋_GB2312" w:cs="宋体"/>
          <w:kern w:val="0"/>
          <w:sz w:val="30"/>
          <w:szCs w:val="30"/>
        </w:rPr>
      </w:pPr>
    </w:p>
    <w:p w14:paraId="6AA3D94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60785F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2022年公共卫生服务（地方公共卫生）-全民健康体检项目</w:t>
      </w:r>
    </w:p>
    <w:p w14:paraId="309BEAA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沙湾市西戈壁镇卫生院</w:t>
      </w:r>
    </w:p>
    <w:p w14:paraId="2073D43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沙湾市西戈壁镇卫生院</w:t>
      </w:r>
    </w:p>
    <w:p w14:paraId="2912413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巴合提别克</w:t>
      </w:r>
    </w:p>
    <w:p w14:paraId="47C2FB3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2023年03月31日</w:t>
      </w:r>
    </w:p>
    <w:p w14:paraId="7E2ABBF1">
      <w:pPr>
        <w:spacing w:line="700" w:lineRule="exact"/>
        <w:ind w:firstLine="708" w:firstLineChars="236"/>
        <w:jc w:val="left"/>
        <w:rPr>
          <w:rFonts w:hAnsi="宋体" w:eastAsia="仿宋_GB2312" w:cs="宋体"/>
          <w:kern w:val="0"/>
          <w:sz w:val="30"/>
          <w:szCs w:val="30"/>
        </w:rPr>
      </w:pPr>
    </w:p>
    <w:p w14:paraId="11758AFD">
      <w:pPr>
        <w:spacing w:line="540" w:lineRule="exact"/>
        <w:rPr>
          <w:rStyle w:val="18"/>
          <w:rFonts w:ascii="黑体" w:hAnsi="黑体" w:eastAsia="黑体"/>
          <w:b w:val="0"/>
          <w:spacing w:val="-4"/>
          <w:sz w:val="32"/>
          <w:szCs w:val="32"/>
        </w:rPr>
      </w:pPr>
    </w:p>
    <w:p w14:paraId="542338B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14:paraId="6E8C624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14:paraId="26066B7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lt;关于提前下达2022年自治区公共卫生服务（地方公共卫生）补助资金预算的通知&gt;（新财社[2021]312）文件、塔地财社【2022】037号文件精神，现下达你单位2022年自治区公共卫生服务补助23.99万元，用于正常开展2022年全民健康体检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一、按规定专款专用。加强资金管理，加快执行进度，按照政府采购相关规定执行采购，按照&lt;自治区财政资金使用跟踪反馈管理暂行办法&gt;（新财预[2016]113号）规定，及时报送财政资金使用情况反馈单。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二、为进一步加强绩效目标管理，提高财政资金使用效益在，在组织预算执行中对照项目绩效目标做好绩效监控，确保年度绩效目标如期实现。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2、项目基本情况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西戈壁镇卫生院辖区服务人口数约8756人，19个村卫生室。乡村医生15人，助理级以上5人，其中常住人口数约6100人。2022年完成全民健康体检人数6004人公共卫生服务（地方公共卫生）-全民健康体检项目资金主要</w:t>
      </w:r>
      <w:bookmarkStart w:id="0" w:name="_GoBack"/>
      <w:bookmarkEnd w:id="0"/>
      <w:r>
        <w:rPr>
          <w:rStyle w:val="18"/>
          <w:rFonts w:hint="eastAsia" w:ascii="楷体" w:hAnsi="楷体" w:eastAsia="楷体"/>
          <w:spacing w:val="-4"/>
          <w:sz w:val="32"/>
          <w:szCs w:val="32"/>
          <w:lang w:eastAsia="zh-CN"/>
        </w:rPr>
        <w:t>针对</w:t>
      </w:r>
      <w:r>
        <w:rPr>
          <w:rStyle w:val="18"/>
          <w:rFonts w:hint="eastAsia" w:ascii="楷体" w:hAnsi="楷体" w:eastAsia="楷体"/>
          <w:spacing w:val="-4"/>
          <w:sz w:val="32"/>
          <w:szCs w:val="32"/>
        </w:rPr>
        <w:t>全民健康体检工作，宣传普及健康素养知识，切实做到对危害群众健康的各类疾病“早发现、早诊断、早治疗”工作的正常开展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公共卫生服务（地方公共卫生）-全民健康体检项目资金资金投入使用23.99万元，保障了卫生院全民健康体检工作顺利开展。给百姓带来了方便，充分认识了健康管理理念，拥有了健康意识。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2022年公共卫生服务（地方公共卫生）-全民健康体检项目资金项目全年预算23.99万元，下达预算23.99万元，截止年末，项目资金到位23.99万元，资金到位率100%，支出23.99万元，项目资金预算执行率100%。</w:t>
      </w:r>
    </w:p>
    <w:p w14:paraId="04E28C8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14:paraId="6872BC4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2022年全民健康体检人数1500人，完成居民健康档案电子建档人数1200人，居民健康档案规范化电子建档率达75%，全民健康体检信息系统已开通且按季度录入居民体检信息，信息系统建设率达60%，并有效保障了项目绩效工作的顺利开展。</w:t>
      </w:r>
    </w:p>
    <w:p w14:paraId="687025D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14:paraId="10FE336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14:paraId="0E58E91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（1）绩效评价的对象：全民健康体检项目补助资金。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1.项目范围：2022年公共卫生服务（地方公共卫生）-全民健康体检项目资金的完成情况、资金投入的运行情况、项目实施后产生的绩效及影响效果。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2.时间范围：2022年1月1日至2022年12月31日。</w:t>
      </w:r>
    </w:p>
    <w:p w14:paraId="323BEF98">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14:paraId="568E35A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（1）科学规范原则：绩效评价应当严格执行规定的程序，按照科学可行的要求，采用定量与定性分析相结合的方法。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（2）公正公开原则：绩效评价应当符合真实、客观、公正的要求，依法公开并接受监督。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（3）分级分类原则：根据评价对象特点分类组织实施。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（1）在数据收集时，采取客观数据，并结合问卷调查结果，以保证各项指标的真实性。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绩效评价指标体系作为衡量绩效目标实现程度的考核工具，一般遵循以下原则：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（1）相关性原则：绩效评价指标应当与绩效目标有直接的联系，能够恰当反映目标的实现程度。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（2）重要性原则：应当优先使用最具评价对象代表性、最能反映评价要求的核心指标。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（3）可比性原则：对同类评价对象要设定共性的绩效评价指标，以便于评价结果可以相互比较。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（3）因素分析法。是指综合分析影响绩效目标实现、实施效果的内外部因素的方法。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（4）最低成本法。是指在绩效目标确定的前提下，成本最小者为优的方法。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（5）公众评判法。是指通过专家评估、公众问卷及抽样调查等方式进行评判的方法。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（6）标杆管理法。是指以国内外同行业中较高的绩效水平为标杆进行评判的方法。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（7）其他评价方法。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根据情报信息奖励金项目的特点，本次评价主要采用比较法和公众评判法，对项目总预算和明细预算的内容、标准、计划是否经济合理进行深入分析，以考察实际产出和效益是否达到预期。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绩效评价标准主要包括计划标准、行业标准、历史标准等，用于对绩效指标完成情况进行比较。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在上述评价标准的基础上，本次评价依据以下文件为重要指导和准绳：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《中共中央国务院关于全面实施预算绩效管理的意见》（中发〔2018〕34号）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《项目支出绩效评价管理办法》（财预〔2020〕10号）</w:t>
      </w:r>
    </w:p>
    <w:p w14:paraId="40CDD35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14:paraId="2597675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以及项目产生的实际效益等。具体而言，通过前期准备、材料审核分析、现场核查评价、综合分析评价及报告撰写，评价项目实施情况，展现资金使用效益。</w:t>
      </w:r>
    </w:p>
    <w:p w14:paraId="6BE68CB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14:paraId="1370178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14:paraId="399D0E6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结合项目特点，制定符合项目实际的绩效评价指标体系及评分标准，通过数据采集、问卷调查及访谈等形式，对2022年全民健康体检项目补助资金进行客观评价，最终评分结果为：总分为97.76分，绩效评级为“优秀”。详见附件1。</w:t>
      </w:r>
    </w:p>
    <w:p w14:paraId="7AAB736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14:paraId="33B8797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卫生院严格按照上级要求完成各项工作指标，不拖延不滞后，得到了上级主管部门对此项工作的肯定。同时单位严格按照专项资金管理和使用全民健康体检工作资金，资金管理、会计核算、财务审批制度健全，资金支出程序规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绩效自评工作要求，卫生院成立绩效工作组以巴合提别克院长为组长的绩效评价工作小组，对相关的国家法律法规进行了认真学习，掌握政策，根据各项目具体情况制定项目绩效评价实施方案，设计绩效评价指标及满意度指标体系。成员由各项目科室干部及财务人员组成的领导小组，项目科室负责提供数据，财务负责收集整理报送绩效工作。所有项目均有绩效评价领导小组集体决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健康体检项目补助资金已绩效目标；其中一级绩效目标3个，二级绩效目标7个，三级绩效指标10个。项目绩效目标结合实际工作内容设立，具有相关性。项目预期产出效益和效果符合正常的业绩水平，达到预期目标与预算确定的项目投资额或资金量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全民健康体检项目补助资项目绩效目标细化为具体的绩效指标，指标设置合理、明确。项目绩效目标清晰、可衡量。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全民健康体检补助资项目按照专项资金管理和使用全民健康体检工作资金方案编制预算，经过科学论证。全民健康体检补助项目资金拨付金额23.99万元，与项目内容一致。项目按照2022年全民健康体检补助项目方案编制预算，按照标准编制并支出。项目与工作任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2022年全民健康体检补助资项目根据塔地财社【2022】037号文件精神，拨付卫生院2022年自治区公共卫生服务补助23.99万元，用于开展全民健康体，依据充分。项目资金分配额度合理，与西戈壁镇实际相适应。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p>
    <w:p w14:paraId="3573C19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14:paraId="696F208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14:paraId="23B598A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资金到位率：实际到位资金 23.99万元，预算资金23.99万元，资金到位率100%，此项指标权重为5分，实际得分5分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年初预算数23.99 万元，全年预算数23.99万元，全年执行数23.99万元，预算执行率为100%。此项指标权重为5分，实际得分5分。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2022年全民健康体检补助资项目已制定了《专项资金管理制度、专项资金专款专用专实施方案》，具有相应的财务和业务管理制度。且制度合法、合规、完整，为项目顺利实施提供重要保障。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根据现场调研和资料抽查情况，卫生院严格遵守相关法律法规和相关管理规定，项目调整及支出调整手续完备，整体管理合理有序，项目完成后，及时将会计凭证、支付票据会计账簿装订等相关资料分类归档，制度执行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此项指标权重为4分，实际得分3分</w:t>
      </w:r>
    </w:p>
    <w:p w14:paraId="4A53325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14:paraId="2DCCB60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实际完成率：数量指标：指标1：2022年全民健康体检人数（人），指标值：≥=6100人，实际完成值：6004人，指标完成率：98.43%。此项指标权重为5分，实际得分4.88分。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指标2：居民健康档案电子建档人数（人），指标值：≥=8600人，实际完成值：8400人，指标完成率：97.64%。此项指标权重为5分，实际得分4.88分。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质量达标率：质量指标：指标1：居民健康档案规范电子档案建档率（%） 指标值：≥=75%  ，实际完成值：100% ，指标完成率：100 %；此项指标权重为3分，实际得分3分。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指标2：全民健康体检信息系统建设率（%） 指标值：≥=50%  ，实际完成值：100% ，指标完成率：100 %；此项指标权重为3分，实际得分3分。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完成及时性：全民健康免费体检完成时限（年月），已在规定的时间（2022年1月1日至2022年11月30日）按期完成。此项指标权重为4分，实际得分4分。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成本指标：指标1；支付全民体检试剂耗材款（万元）指标值：≦13.78万元，实际完成值：13.8万元，指标完成率：100%；此项指标权重为5分，实际得分5分。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指标2；支付单位全民体检委托业务费（万元）指标值：≦10.21万元，实际完成值：10.21万元，指标完成率：100%；此项指标权重为5分，实际得分5分。</w:t>
      </w:r>
    </w:p>
    <w:p w14:paraId="098741A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14:paraId="063B991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14:paraId="6156DB6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项目效益指标由2个二级指标和2个三级指标构成，权重为20分，实际得分20分。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评价指标“全民健康水平”指标值：有效提高，实际完成值：达成年度指标。本项目的实施提升了提高全民健康水平”全民健康体检工作，宣传普及健康素养知识，切实做到对危害群众健康的各类疾病“早发现、早诊断、早治疗”工作的正常开展提高基层卫生服务效率。此项指标权重为10分，实际得分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可持续影响指标：评价指标“居民幸福感”，指标值：有效增强，实际完成值：达成年度指标。保障了卫生院全民健康体检工作顺利开展，给百姓带来了方便，使百姓充分认识了健康管理理念，拥有了健康意识。此项指标权重为10分，实际得分10分</w:t>
      </w:r>
    </w:p>
    <w:p w14:paraId="5ECA6817">
      <w:pPr>
        <w:spacing w:line="540" w:lineRule="exact"/>
        <w:ind w:firstLine="567" w:firstLineChars="181"/>
        <w:rPr>
          <w:rFonts w:ascii="楷体" w:hAnsi="楷体" w:eastAsia="楷体"/>
          <w:b/>
          <w:spacing w:val="-4"/>
          <w:sz w:val="32"/>
          <w:szCs w:val="32"/>
        </w:rPr>
      </w:pPr>
    </w:p>
    <w:p w14:paraId="13C6079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14:paraId="169980E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服务对象满意度指标：评价指标“服务对象满意度（%）”，指标值：≥95%，实际完成值：100%。通过设置问卷调查的方式进行考评评价，共计调查样本总量为30个样本，有效调查问卷30份。其中，统计“群众满意度”的平均值为100%。此项指标权重为10分，实际得分10分。</w:t>
      </w:r>
    </w:p>
    <w:p w14:paraId="397386A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14:paraId="7B07C31E">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本项目预算执行率为100%，指标总体完成率为99.61%，二者之间的偏差值为0.39%，小于20%。因此，本项目较好地完成了年度总体目标，财政资金使用效益和效率较高。</w:t>
      </w:r>
    </w:p>
    <w:p w14:paraId="251FFF5F">
      <w:pPr>
        <w:spacing w:line="540" w:lineRule="exact"/>
        <w:ind w:firstLine="567" w:firstLineChars="181"/>
        <w:rPr>
          <w:rFonts w:ascii="楷体" w:hAnsi="楷体" w:eastAsia="楷体"/>
          <w:b/>
          <w:spacing w:val="-4"/>
          <w:sz w:val="32"/>
          <w:szCs w:val="32"/>
        </w:rPr>
      </w:pPr>
    </w:p>
    <w:p w14:paraId="6B6DE34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14:paraId="436696E9">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14:paraId="42106F3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要及时足额的拨付给各项目单位，无截留、挪用及改变专项资金的用途等。对项目单位专项资金的使用情况进行跟踪和监督，并定期对执行单位专项资金进行检查，使专项资金充分发挥效应。政法委绩效监控工作计划按照绩效目标设定、绩效责任分解、绩效运行监控、绩效考核评估、绩效整改提升等五个方面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（1）、绩效目标设定。绩效考核指标由业务工作实绩和年度重点工作、履职能力等内容组成。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(2）、绩效责任分解。根据年度绩效目标，从提升工作绩效入手，分解和细化绩效目标，明确项目绩效目标分管领导、责任科室及责任人。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（3）、绩效运行监控。根据工作实际，加强绩效指标运行监控，制定措施办法，建立内部监控机制，推进工作目标落实。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（4）、绩效考核评估。按照单位整体支出绩效监控情况表，开展绩效自我评估和分析。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（5）、绩效整改提升。对指标考核中反映出的不足之处，进行分析，制定整改措施，以绩效监控促进工作提升。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效目标设立需更加明确、细化和量化。在绩效目标设立时对项目了解程度不深，不能有效制定绩效目标。因从提升工作绩效入手，分解和细化绩效目标，明确项目绩效目标分管领导、责任科室及责任人。</w:t>
      </w:r>
    </w:p>
    <w:p w14:paraId="49FFF584">
      <w:pPr>
        <w:ind w:firstLine="624" w:firstLineChars="200"/>
        <w:rPr>
          <w:rFonts w:ascii="仿宋_GB2312" w:eastAsia="仿宋_GB2312"/>
          <w:spacing w:val="-4"/>
          <w:sz w:val="32"/>
          <w:szCs w:val="32"/>
        </w:rPr>
      </w:pPr>
    </w:p>
    <w:p w14:paraId="6A750D25">
      <w:pPr>
        <w:spacing w:line="540" w:lineRule="exact"/>
        <w:ind w:firstLine="567"/>
        <w:rPr>
          <w:rStyle w:val="18"/>
          <w:rFonts w:ascii="仿宋" w:hAnsi="仿宋" w:eastAsia="仿宋"/>
          <w:b w:val="0"/>
          <w:spacing w:val="-4"/>
          <w:sz w:val="32"/>
          <w:szCs w:val="32"/>
        </w:rPr>
      </w:pPr>
    </w:p>
    <w:p w14:paraId="0F1EFA73">
      <w:pPr>
        <w:spacing w:line="540" w:lineRule="exact"/>
        <w:ind w:firstLine="567"/>
        <w:rPr>
          <w:rStyle w:val="18"/>
          <w:rFonts w:ascii="仿宋" w:hAnsi="仿宋" w:eastAsia="仿宋"/>
          <w:b w:val="0"/>
          <w:spacing w:val="-4"/>
          <w:sz w:val="32"/>
          <w:szCs w:val="32"/>
        </w:rPr>
      </w:pPr>
    </w:p>
    <w:p w14:paraId="6CD039AE">
      <w:pPr>
        <w:spacing w:line="540" w:lineRule="exact"/>
        <w:ind w:firstLine="567"/>
        <w:rPr>
          <w:rStyle w:val="18"/>
          <w:rFonts w:ascii="仿宋" w:hAnsi="仿宋" w:eastAsia="仿宋"/>
          <w:b w:val="0"/>
          <w:spacing w:val="-4"/>
          <w:sz w:val="32"/>
          <w:szCs w:val="32"/>
        </w:rPr>
      </w:pPr>
    </w:p>
    <w:p w14:paraId="777DBDF2">
      <w:pPr>
        <w:spacing w:line="540" w:lineRule="exact"/>
        <w:ind w:firstLine="567"/>
        <w:rPr>
          <w:rStyle w:val="18"/>
          <w:rFonts w:ascii="仿宋" w:hAnsi="仿宋" w:eastAsia="仿宋"/>
          <w:b w:val="0"/>
          <w:spacing w:val="-4"/>
          <w:sz w:val="32"/>
          <w:szCs w:val="32"/>
        </w:rPr>
      </w:pPr>
    </w:p>
    <w:p w14:paraId="02C6DD86">
      <w:pPr>
        <w:spacing w:line="540" w:lineRule="exact"/>
        <w:ind w:firstLine="567"/>
        <w:rPr>
          <w:rStyle w:val="18"/>
          <w:rFonts w:ascii="仿宋" w:hAnsi="仿宋" w:eastAsia="仿宋"/>
          <w:b w:val="0"/>
          <w:spacing w:val="-4"/>
          <w:sz w:val="32"/>
          <w:szCs w:val="32"/>
        </w:rPr>
      </w:pPr>
    </w:p>
    <w:p w14:paraId="1F1191C2">
      <w:pPr>
        <w:spacing w:line="540" w:lineRule="exact"/>
        <w:ind w:firstLine="567"/>
        <w:rPr>
          <w:rStyle w:val="18"/>
          <w:rFonts w:ascii="仿宋" w:hAnsi="仿宋" w:eastAsia="仿宋"/>
          <w:b w:val="0"/>
          <w:spacing w:val="-4"/>
          <w:sz w:val="32"/>
          <w:szCs w:val="32"/>
        </w:rPr>
      </w:pPr>
    </w:p>
    <w:p w14:paraId="65C9F7BE">
      <w:pPr>
        <w:spacing w:line="540" w:lineRule="exact"/>
        <w:ind w:firstLine="567"/>
        <w:rPr>
          <w:rStyle w:val="18"/>
          <w:rFonts w:ascii="仿宋" w:hAnsi="仿宋" w:eastAsia="仿宋"/>
          <w:b w:val="0"/>
          <w:spacing w:val="-4"/>
          <w:sz w:val="32"/>
          <w:szCs w:val="32"/>
        </w:rPr>
      </w:pPr>
    </w:p>
    <w:p w14:paraId="1B6199A8">
      <w:pPr>
        <w:spacing w:line="540" w:lineRule="exact"/>
        <w:ind w:firstLine="567"/>
        <w:rPr>
          <w:rStyle w:val="18"/>
          <w:rFonts w:ascii="仿宋" w:hAnsi="仿宋" w:eastAsia="仿宋"/>
          <w:b w:val="0"/>
          <w:spacing w:val="-4"/>
          <w:sz w:val="32"/>
          <w:szCs w:val="32"/>
        </w:rPr>
      </w:pPr>
    </w:p>
    <w:p w14:paraId="5BFCEE84">
      <w:pPr>
        <w:spacing w:line="540" w:lineRule="exact"/>
        <w:ind w:firstLine="567"/>
        <w:rPr>
          <w:rStyle w:val="18"/>
          <w:rFonts w:ascii="仿宋" w:hAnsi="仿宋" w:eastAsia="仿宋"/>
          <w:b w:val="0"/>
          <w:spacing w:val="-4"/>
          <w:sz w:val="32"/>
          <w:szCs w:val="32"/>
        </w:rPr>
      </w:pPr>
    </w:p>
    <w:p w14:paraId="3292A39F">
      <w:pPr>
        <w:spacing w:line="540" w:lineRule="exact"/>
        <w:ind w:firstLine="567"/>
        <w:rPr>
          <w:rStyle w:val="18"/>
          <w:rFonts w:ascii="仿宋" w:hAnsi="仿宋" w:eastAsia="仿宋"/>
          <w:b w:val="0"/>
          <w:spacing w:val="-4"/>
          <w:sz w:val="32"/>
          <w:szCs w:val="32"/>
        </w:rPr>
      </w:pPr>
    </w:p>
    <w:p w14:paraId="5DBCD69F">
      <w:pPr>
        <w:spacing w:line="540" w:lineRule="exact"/>
        <w:ind w:firstLine="567"/>
        <w:rPr>
          <w:rStyle w:val="18"/>
          <w:rFonts w:ascii="仿宋" w:hAnsi="仿宋" w:eastAsia="仿宋"/>
          <w:b w:val="0"/>
          <w:spacing w:val="-4"/>
          <w:sz w:val="32"/>
          <w:szCs w:val="32"/>
        </w:rPr>
      </w:pPr>
    </w:p>
    <w:p w14:paraId="363221DA">
      <w:pPr>
        <w:spacing w:line="540" w:lineRule="exact"/>
        <w:ind w:firstLine="567"/>
        <w:rPr>
          <w:rStyle w:val="18"/>
          <w:rFonts w:ascii="仿宋" w:hAnsi="仿宋" w:eastAsia="仿宋"/>
          <w:b w:val="0"/>
          <w:spacing w:val="-4"/>
          <w:sz w:val="32"/>
          <w:szCs w:val="32"/>
        </w:rPr>
      </w:pPr>
    </w:p>
    <w:p w14:paraId="30D2089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787761D">
        <w:pPr>
          <w:pStyle w:val="12"/>
          <w:jc w:val="center"/>
        </w:pPr>
        <w:r>
          <w:fldChar w:fldCharType="begin"/>
        </w:r>
        <w:r>
          <w:instrText xml:space="preserve">PAGE   \* MERGEFORMAT</w:instrText>
        </w:r>
        <w:r>
          <w:fldChar w:fldCharType="separate"/>
        </w:r>
        <w:r>
          <w:rPr>
            <w:lang w:val="zh-CN"/>
          </w:rPr>
          <w:t>1</w:t>
        </w:r>
        <w:r>
          <w:fldChar w:fldCharType="end"/>
        </w:r>
      </w:p>
    </w:sdtContent>
  </w:sdt>
  <w:p w14:paraId="0EA9BAE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1F32BE6"/>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6240</Words>
  <Characters>6574</Characters>
  <Lines>5</Lines>
  <Paragraphs>1</Paragraphs>
  <TotalTime>85</TotalTime>
  <ScaleCrop>false</ScaleCrop>
  <LinksUpToDate>false</LinksUpToDate>
  <CharactersWithSpaces>6610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奔跑的菊子</cp:lastModifiedBy>
  <cp:lastPrinted>2018-12-31T10:56:00Z</cp:lastPrinted>
  <dcterms:modified xsi:type="dcterms:W3CDTF">2023-10-31T04:42:20Z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F869F64151ED4D64A1F415B790357734_12</vt:lpwstr>
  </property>
</Properties>
</file>