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楷体" w:hAnsi="楷体" w:eastAsia="楷体" w:cs="楷体"/>
          <w:b/>
          <w:bCs/>
          <w:color w:val="000000"/>
          <w:sz w:val="32"/>
          <w:szCs w:val="32"/>
        </w:rPr>
      </w:pPr>
    </w:p>
    <w:p>
      <w:pPr>
        <w:pStyle w:val="6"/>
        <w:keepNext/>
        <w:keepLines/>
        <w:spacing w:before="0" w:after="0" w:line="560" w:lineRule="exact"/>
        <w:rPr>
          <w:rFonts w:hint="eastAsia" w:ascii="仿宋_GB2312" w:hAnsi="仿宋_GB2312" w:eastAsia="仿宋_GB2312" w:cs="仿宋_GB2312"/>
          <w:b/>
          <w:bCs/>
          <w:sz w:val="48"/>
          <w:szCs w:val="48"/>
        </w:rPr>
      </w:pPr>
      <w:bookmarkStart w:id="0" w:name="_Toc22834"/>
    </w:p>
    <w:p>
      <w:pPr>
        <w:pStyle w:val="6"/>
        <w:keepNext/>
        <w:keepLines/>
        <w:spacing w:before="0" w:after="0" w:line="560" w:lineRule="exact"/>
        <w:rPr>
          <w:rFonts w:hint="eastAsia" w:ascii="仿宋_GB2312" w:hAnsi="仿宋_GB2312" w:eastAsia="仿宋_GB2312" w:cs="仿宋_GB2312"/>
          <w:b/>
          <w:bCs/>
          <w:sz w:val="48"/>
          <w:szCs w:val="48"/>
        </w:rPr>
      </w:pPr>
    </w:p>
    <w:p>
      <w:pPr>
        <w:ind w:firstLine="723" w:firstLineChars="200"/>
        <w:jc w:val="center"/>
        <w:rPr>
          <w:rFonts w:hint="eastAsia" w:ascii="楷体" w:hAnsi="楷体" w:eastAsia="楷体" w:cs="楷体"/>
          <w:b/>
          <w:bCs/>
          <w:color w:val="000000"/>
          <w:sz w:val="36"/>
          <w:szCs w:val="36"/>
        </w:rPr>
      </w:pPr>
      <w:r>
        <w:rPr>
          <w:rFonts w:hint="eastAsia" w:ascii="楷体" w:hAnsi="楷体" w:eastAsia="楷体" w:cs="楷体"/>
          <w:b/>
          <w:bCs/>
          <w:color w:val="000000"/>
          <w:sz w:val="36"/>
          <w:szCs w:val="36"/>
          <w:lang w:val="en-US" w:eastAsia="zh-CN"/>
        </w:rPr>
        <w:t>沙湾市乡村振兴局2022</w:t>
      </w:r>
      <w:r>
        <w:rPr>
          <w:rFonts w:hint="eastAsia" w:ascii="楷体" w:hAnsi="楷体" w:eastAsia="楷体" w:cs="楷体"/>
          <w:b/>
          <w:bCs/>
          <w:color w:val="000000"/>
          <w:sz w:val="36"/>
          <w:szCs w:val="36"/>
        </w:rPr>
        <w:t>年财政资金绩效</w:t>
      </w:r>
    </w:p>
    <w:p>
      <w:pPr>
        <w:ind w:firstLine="723" w:firstLineChars="200"/>
        <w:jc w:val="center"/>
        <w:rPr>
          <w:rFonts w:hint="eastAsia" w:ascii="楷体" w:hAnsi="楷体" w:eastAsia="楷体" w:cs="楷体"/>
          <w:b/>
          <w:bCs/>
          <w:color w:val="000000"/>
          <w:sz w:val="36"/>
          <w:szCs w:val="36"/>
        </w:rPr>
      </w:pPr>
      <w:r>
        <w:rPr>
          <w:rFonts w:hint="eastAsia" w:ascii="楷体" w:hAnsi="楷体" w:eastAsia="楷体" w:cs="楷体"/>
          <w:b/>
          <w:bCs/>
          <w:color w:val="000000"/>
          <w:sz w:val="36"/>
          <w:szCs w:val="36"/>
        </w:rPr>
        <w:t>自评报告</w:t>
      </w:r>
    </w:p>
    <w:p>
      <w:pPr>
        <w:pStyle w:val="6"/>
        <w:keepNext/>
        <w:keepLines/>
        <w:spacing w:before="0" w:after="0" w:line="560" w:lineRule="exact"/>
        <w:rPr>
          <w:rFonts w:hint="eastAsia" w:ascii="仿宋_GB2312" w:hAnsi="仿宋_GB2312" w:eastAsia="仿宋_GB2312" w:cs="仿宋_GB2312"/>
          <w:b/>
          <w:bCs/>
          <w:sz w:val="48"/>
          <w:szCs w:val="48"/>
        </w:rPr>
      </w:pPr>
    </w:p>
    <w:p>
      <w:pPr>
        <w:pStyle w:val="6"/>
        <w:keepNext/>
        <w:keepLines/>
        <w:spacing w:before="0" w:after="0" w:line="560" w:lineRule="exact"/>
        <w:rPr>
          <w:rFonts w:hint="eastAsia" w:ascii="仿宋_GB2312" w:hAnsi="仿宋_GB2312" w:eastAsia="仿宋_GB2312" w:cs="仿宋_GB2312"/>
          <w:b/>
          <w:bCs/>
          <w:sz w:val="48"/>
          <w:szCs w:val="48"/>
        </w:rPr>
      </w:pPr>
    </w:p>
    <w:bookmarkEnd w:id="0"/>
    <w:p>
      <w:pPr>
        <w:pStyle w:val="6"/>
        <w:keepNext/>
        <w:keepLines/>
        <w:spacing w:before="0" w:after="0" w:line="560" w:lineRule="exact"/>
        <w:jc w:val="both"/>
        <w:rPr>
          <w:rFonts w:eastAsia="PMingLiU"/>
        </w:rPr>
      </w:pPr>
    </w:p>
    <w:p>
      <w:pPr>
        <w:pStyle w:val="6"/>
        <w:keepNext/>
        <w:keepLines/>
        <w:spacing w:before="0" w:after="0" w:line="560" w:lineRule="exact"/>
        <w:rPr>
          <w:rFonts w:eastAsia="PMingLiU"/>
        </w:rPr>
      </w:pPr>
    </w:p>
    <w:p>
      <w:pPr>
        <w:pStyle w:val="6"/>
        <w:keepNext/>
        <w:keepLines/>
        <w:spacing w:before="0" w:after="0" w:line="560" w:lineRule="exact"/>
        <w:rPr>
          <w:rFonts w:eastAsia="PMingLiU"/>
        </w:rPr>
      </w:pPr>
    </w:p>
    <w:p>
      <w:pPr>
        <w:pStyle w:val="6"/>
        <w:keepNext/>
        <w:keepLines/>
        <w:spacing w:before="0" w:after="0" w:line="560" w:lineRule="exact"/>
        <w:rPr>
          <w:rFonts w:eastAsia="PMingLiU"/>
        </w:rPr>
      </w:pPr>
    </w:p>
    <w:p>
      <w:pPr>
        <w:pStyle w:val="6"/>
        <w:keepNext/>
        <w:keepLines/>
        <w:spacing w:before="0" w:after="0" w:line="560" w:lineRule="exact"/>
        <w:rPr>
          <w:rFonts w:eastAsia="PMingLiU"/>
        </w:rPr>
      </w:pPr>
    </w:p>
    <w:p>
      <w:pPr>
        <w:pStyle w:val="6"/>
        <w:keepNext/>
        <w:keepLines/>
        <w:spacing w:before="0" w:after="0" w:line="560" w:lineRule="exact"/>
        <w:rPr>
          <w:rFonts w:eastAsia="PMingLiU"/>
        </w:rPr>
      </w:pPr>
    </w:p>
    <w:p>
      <w:pPr>
        <w:pStyle w:val="6"/>
        <w:keepNext/>
        <w:keepLines/>
        <w:spacing w:before="0" w:after="0" w:line="560" w:lineRule="exact"/>
        <w:rPr>
          <w:rFonts w:eastAsia="PMingLiU"/>
        </w:rPr>
      </w:pPr>
    </w:p>
    <w:p>
      <w:pPr>
        <w:pStyle w:val="6"/>
        <w:keepNext/>
        <w:keepLines/>
        <w:spacing w:before="0" w:after="0" w:line="560" w:lineRule="exact"/>
        <w:rPr>
          <w:rFonts w:eastAsia="PMingLiU"/>
        </w:rPr>
      </w:pPr>
    </w:p>
    <w:p>
      <w:pPr>
        <w:pStyle w:val="6"/>
        <w:keepNext/>
        <w:keepLines/>
        <w:spacing w:before="0" w:after="0" w:line="560" w:lineRule="exact"/>
        <w:jc w:val="both"/>
        <w:rPr>
          <w:rFonts w:eastAsia="PMingLiU"/>
        </w:rPr>
      </w:pPr>
    </w:p>
    <w:p>
      <w:pPr>
        <w:pStyle w:val="6"/>
        <w:keepNext/>
        <w:keepLines/>
        <w:spacing w:before="0" w:after="0" w:line="560" w:lineRule="exact"/>
        <w:jc w:val="both"/>
        <w:rPr>
          <w:rFonts w:eastAsia="PMingLiU"/>
        </w:rPr>
      </w:pPr>
    </w:p>
    <w:p>
      <w:pPr>
        <w:pStyle w:val="6"/>
        <w:keepNext/>
        <w:keepLines/>
        <w:spacing w:before="0" w:after="0" w:line="560" w:lineRule="exact"/>
        <w:jc w:val="both"/>
        <w:rPr>
          <w:rFonts w:eastAsia="PMingLiU"/>
        </w:rPr>
      </w:pPr>
    </w:p>
    <w:p>
      <w:pPr>
        <w:pStyle w:val="6"/>
        <w:keepNext/>
        <w:keepLines/>
        <w:spacing w:before="0" w:after="0" w:line="560" w:lineRule="exact"/>
        <w:rPr>
          <w:rFonts w:eastAsia="PMingLiU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2244" w:leftChars="304" w:hanging="1606" w:hangingChars="5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项目名称：</w:t>
      </w:r>
      <w:r>
        <w:rPr>
          <w:rFonts w:hint="eastAsia" w:ascii="仿宋_GB2312" w:hAnsi="仿宋_GB2312" w:eastAsia="仿宋_GB2312" w:cs="仿宋_GB2312"/>
          <w:sz w:val="32"/>
          <w:szCs w:val="32"/>
        </w:rPr>
        <w:t>沙湾市2022年农村基础设施建设项目（一期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)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项目单位：</w:t>
      </w:r>
      <w:r>
        <w:rPr>
          <w:rFonts w:hint="eastAsia" w:ascii="仿宋_GB2312" w:hAnsi="仿宋_GB2312" w:eastAsia="仿宋_GB2312" w:cs="仿宋_GB2312"/>
          <w:sz w:val="32"/>
          <w:szCs w:val="32"/>
        </w:rPr>
        <w:t>沙湾市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乡村振兴局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2244" w:leftChars="304" w:hanging="1606" w:hangingChars="5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主管部门：</w:t>
      </w:r>
      <w:r>
        <w:rPr>
          <w:rFonts w:hint="eastAsia" w:ascii="仿宋_GB2312" w:hAnsi="仿宋_GB2312" w:eastAsia="仿宋_GB2312" w:cs="仿宋_GB2312"/>
          <w:sz w:val="32"/>
          <w:szCs w:val="32"/>
        </w:rPr>
        <w:t>沙湾市委农村工作领导小组暨乡村振兴领导小组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highlight w:val="none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</w:rPr>
        <w:t>财政专项扶贫资金下达预算及项目情况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24" w:firstLineChars="200"/>
        <w:jc w:val="left"/>
        <w:textAlignment w:val="auto"/>
        <w:rPr>
          <w:rStyle w:val="4"/>
          <w:rFonts w:hint="eastAsia" w:ascii="仿宋_GB2312" w:hAnsi="仿宋_GB2312" w:eastAsia="仿宋_GB2312" w:cs="仿宋_GB2312"/>
          <w:b w:val="0"/>
          <w:bCs w:val="0"/>
          <w:color w:val="0000FF"/>
          <w:spacing w:val="-4"/>
          <w:sz w:val="32"/>
          <w:szCs w:val="32"/>
          <w:highlight w:val="none"/>
          <w:lang w:val="en-US" w:eastAsia="zh-CN"/>
        </w:rPr>
      </w:pPr>
      <w:r>
        <w:rPr>
          <w:rStyle w:val="4"/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highlight w:val="none"/>
        </w:rPr>
        <w:t>根据塔城地区财政局《关于转发自治区财政厅下达2022年地方政府债券（</w:t>
      </w:r>
      <w:bookmarkStart w:id="9" w:name="_GoBack"/>
      <w:bookmarkEnd w:id="9"/>
      <w:r>
        <w:rPr>
          <w:rStyle w:val="4"/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highlight w:val="none"/>
          <w:lang w:eastAsia="zh-CN"/>
        </w:rPr>
        <w:t>巩固拓展脱贫攻坚成果同乡村振兴有效衔接</w:t>
      </w:r>
      <w:r>
        <w:rPr>
          <w:rStyle w:val="4"/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highlight w:val="none"/>
        </w:rPr>
        <w:t>任务）计划的通知》（塔地财振【2022】3号），</w:t>
      </w:r>
      <w:r>
        <w:rPr>
          <w:rStyle w:val="4"/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highlight w:val="none"/>
          <w:lang w:val="en-US" w:eastAsia="zh-CN"/>
        </w:rPr>
        <w:t>到位地债资金13000万元。沙湾市2022年农村基础设施建设项目（一期)，建设单位为沙湾市乡村振兴局，建设地点在沙湾市辖区乡镇村队，项目总投资16250万元，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建设内容涵盖</w:t>
      </w:r>
      <w:r>
        <w:rPr>
          <w:rStyle w:val="4"/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highlight w:val="none"/>
          <w:lang w:val="en-US" w:eastAsia="zh-CN"/>
        </w:rPr>
        <w:t>新建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排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水管网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95.344km、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供水管网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34.24km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；新建道路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13538.88m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vertAlign w:val="superscript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；沥青硬化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81712.1m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vertAlign w:val="superscript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人行步道103938m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vertAlign w:val="superscript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；垃圾桶1505个；巷道渠55.995km；供热站2座；公共厕所5座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</w:rPr>
        <w:t>财政专项扶贫资金项目绩效目标设定情况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24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</w:pPr>
      <w:r>
        <w:rPr>
          <w:rStyle w:val="4"/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highlight w:val="none"/>
          <w:lang w:val="en-US" w:eastAsia="zh-CN"/>
        </w:rPr>
        <w:t>沙湾市2022年农村基础设施建设项目（一期)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  <w:lang w:val="zh-TW" w:eastAsia="zh-TW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从项目产出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指标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、效益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指标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以及满意度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指标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三个大类对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衔接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资金制定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绩效目标。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并且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顺利完成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年初设定的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年度总体目标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本项目设置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年度总体目标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：（1）完善相关村巷道渠55.995千米、村组道路13538.88平方米等基础设施建设；（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）新建排水管网34.24千米，垃圾桶1505个，改善农村环卫、排污设施条件；（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）促进当地社会主义新农村的建设、提升当地产业结构 ；（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）构建和谐社会、稳步推进环境、经济、社会协调的发展。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highlight w:val="none"/>
        </w:rPr>
        <w:t>二、绩效自评工作开展情况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项目于2022年9月完工验收后，我单位于2022年10月开展项目自评工作，通过查阅项目档案资料、实地查验、等方式进行自评工作基础资料收集，梳理项目实施建设情况、资金拨付使用情况，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沙湾市2022年农村基础设施建设项目（一期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产出指标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效益指标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满意度指标3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个方面进行评价，分析项目实施过程中存在的问题及成因，及时总结经验，提出有效的改进措施，进一步改进和加强财政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专项扶贫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资金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管理，为以后项目实施管理提供指导，逐步树立以结果为导向，讲求绩效的观念，推动财政资金聚力增效。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highlight w:val="none"/>
        </w:rPr>
        <w:t>三、绩效目标自评完成情况分析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</w:rPr>
        <w:t>资金投入情况分析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</w:rPr>
        <w:t>项目资金到位情况分析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4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leftChars="0" w:firstLine="624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/>
        </w:rPr>
      </w:pPr>
      <w:r>
        <w:rPr>
          <w:rStyle w:val="4"/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highlight w:val="none"/>
        </w:rPr>
        <w:t>根据塔城地区财政局《关于</w:t>
      </w:r>
      <w:r>
        <w:rPr>
          <w:rStyle w:val="4"/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highlight w:val="none"/>
          <w:lang w:val="en-US" w:eastAsia="zh-CN"/>
        </w:rPr>
        <w:t>转发自治区财政厅</w:t>
      </w:r>
      <w:r>
        <w:rPr>
          <w:rStyle w:val="4"/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highlight w:val="none"/>
        </w:rPr>
        <w:t>下达202</w:t>
      </w:r>
      <w:r>
        <w:rPr>
          <w:rStyle w:val="4"/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highlight w:val="none"/>
          <w:lang w:val="en-US" w:eastAsia="zh-CN"/>
        </w:rPr>
        <w:t>2</w:t>
      </w:r>
      <w:r>
        <w:rPr>
          <w:rStyle w:val="4"/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highlight w:val="none"/>
        </w:rPr>
        <w:t>年</w:t>
      </w:r>
      <w:r>
        <w:rPr>
          <w:rStyle w:val="4"/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highlight w:val="none"/>
          <w:lang w:val="en-US" w:eastAsia="zh-CN"/>
        </w:rPr>
        <w:t>地方政府债券（巩固拓展脱贫攻坚成果同乡村振兴有效衔接任务）计划</w:t>
      </w:r>
      <w:r>
        <w:rPr>
          <w:rStyle w:val="4"/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highlight w:val="none"/>
        </w:rPr>
        <w:t>的通知》（塔地财</w:t>
      </w:r>
      <w:r>
        <w:rPr>
          <w:rStyle w:val="4"/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highlight w:val="none"/>
          <w:lang w:val="en-US" w:eastAsia="zh-CN"/>
        </w:rPr>
        <w:t>振</w:t>
      </w:r>
      <w:r>
        <w:rPr>
          <w:rStyle w:val="4"/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highlight w:val="none"/>
        </w:rPr>
        <w:t>【202</w:t>
      </w:r>
      <w:r>
        <w:rPr>
          <w:rStyle w:val="4"/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highlight w:val="none"/>
          <w:lang w:val="en-US" w:eastAsia="zh-CN"/>
        </w:rPr>
        <w:t>2</w:t>
      </w:r>
      <w:r>
        <w:rPr>
          <w:rStyle w:val="4"/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highlight w:val="none"/>
        </w:rPr>
        <w:t>】</w:t>
      </w:r>
      <w:r>
        <w:rPr>
          <w:rStyle w:val="4"/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highlight w:val="none"/>
          <w:lang w:val="en-US" w:eastAsia="zh-CN"/>
        </w:rPr>
        <w:t>3</w:t>
      </w:r>
      <w:r>
        <w:rPr>
          <w:rStyle w:val="4"/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highlight w:val="none"/>
        </w:rPr>
        <w:t>号），</w:t>
      </w:r>
      <w:r>
        <w:rPr>
          <w:rStyle w:val="4"/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highlight w:val="none"/>
          <w:lang w:val="en-US" w:eastAsia="zh-CN"/>
        </w:rPr>
        <w:t>到位地债资金13000万元.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</w:rPr>
        <w:t>项目资金执行情况分析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2022年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6月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自治区下达沙湾市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地方政府债券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资金1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4000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万元（全部到位），其中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地方政府债券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13000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用于</w:t>
      </w:r>
      <w:r>
        <w:rPr>
          <w:rStyle w:val="4"/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highlight w:val="none"/>
          <w:lang w:val="en-US" w:eastAsia="zh-CN"/>
        </w:rPr>
        <w:t>沙湾市2022年农村基础设施建设项目（一期)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  <w:lang w:val="zh-TW" w:eastAsia="zh-TW"/>
        </w:rPr>
        <w:t>项目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  <w:lang w:val="zh-TW" w:eastAsia="zh-CN"/>
        </w:rPr>
        <w:t>，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:highlight w:val="none"/>
          <w:lang w:val="en-US" w:eastAsia="zh-CN"/>
        </w:rPr>
        <w:t>已支出13000万元，支付执行率100%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</w:rPr>
        <w:t>项目资金管理情况分析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沙湾市建立严格的资金使用审批制度，规范支付审批程序；严格实行招投标制，实行合同管理制，进行资金源头控制；划拨资金必须依据合同，按工程进度分期拨付，由分管领导签发支付证书，经各级、各部门审核人员审核签字，报经市分管领导批准后，财务人员据以办理支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</w:rPr>
        <w:t>(二）绩效目标完成情况分析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排水管网（评价目标值：≥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95.344km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，业绩值：=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95.344km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）；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供水管网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（评价目标值：≥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34.24km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，业绩值：=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34.24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）；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新建道路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（评价目标值：≥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13538.88m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vertAlign w:val="superscript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，业绩值：=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13538.88m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vertAlign w:val="superscript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）；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沥青硬化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（评价目标值：≥81712.1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m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vertAlign w:val="superscript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，业绩值：=81712.1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m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vertAlign w:val="superscript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）；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人行步道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（评价目标值：≥1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03938m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vertAlign w:val="superscript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，业绩值：=1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03938m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vertAlign w:val="superscript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垃圾桶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（评价目标值：≥1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505个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，业绩值：=1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505个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巷道渠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（评价目标值：≥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55.995km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，业绩值：=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55.995km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供热站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（评价目标值：=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2座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，业绩值：=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2座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；公共厕所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（评价目标值：=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5座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，业绩值：=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5座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竣工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 xml:space="preserve">验收合格率（评价目标值:.=100%,业绩值：100%）；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项目完成及时率（评价目标值：=100%,业绩值：=100%）；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完成时间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（评价目标值:.=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2022年11月15日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,业绩值：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2022年11月15日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 xml:space="preserve"> 建筑工程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（评价目标值：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≤5000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万元，业绩值：=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5000万元）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安装工程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（评价目标值：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≤8000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万元，业绩值：=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8000万元）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长期保障平稳进行（评价目标值：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有效保障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，业绩值：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有效保障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受益人口数（评价目标值：=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14000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人，业绩值：=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14000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人）；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提高公共服务水平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（评价目标值：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显著提升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，业绩值：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显著提升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本项目的实施将改善各村的居住条件。能够促进整个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沙湾市各乡镇的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建设发展，加快新农村开发建设进程，对区域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群众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收入水平及结构、生活方式、思想观念、人口素质有正面的影响，能够推动区域配套和其它配套设施的完善，提高所在地区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群众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生活水平和生活质量。项目建成后可以改善未来该片区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群众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的生活环境以及配套的基础设施改善，增加就业机会， 未来将使当地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群众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直接享受到本项目带来的便利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</w:rPr>
        <w:t>满意度指标完成情况分析。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受益群众满意度（评价目标值：≥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90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%,业绩值：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=100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%）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通过发放群众满意度调查表等形式，对该项目的实施进行测评，调查结果表明，群众对该项目的实施满意度很高，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受益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群众满意度为100%。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highlight w:val="none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24" w:firstLineChars="200"/>
        <w:jc w:val="both"/>
        <w:textAlignment w:val="auto"/>
        <w:outlineLvl w:val="9"/>
        <w:rPr>
          <w:rStyle w:val="4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eastAsia="zh-CN"/>
        </w:rPr>
      </w:pPr>
      <w:r>
        <w:rPr>
          <w:rStyle w:val="4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eastAsia="zh-CN"/>
        </w:rPr>
        <w:t>（</w:t>
      </w:r>
      <w:r>
        <w:rPr>
          <w:rStyle w:val="4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一</w:t>
      </w:r>
      <w:r>
        <w:rPr>
          <w:rStyle w:val="4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eastAsia="zh-CN"/>
        </w:rPr>
        <w:t>）</w:t>
      </w:r>
      <w:r>
        <w:rPr>
          <w:rStyle w:val="4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</w:rPr>
        <w:t>偏离绩效目标的原因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24" w:firstLineChars="200"/>
        <w:jc w:val="both"/>
        <w:textAlignment w:val="auto"/>
        <w:outlineLvl w:val="9"/>
        <w:rPr>
          <w:rStyle w:val="4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eastAsia="zh-CN"/>
        </w:rPr>
      </w:pPr>
      <w:r>
        <w:rPr>
          <w:rStyle w:val="4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eastAsia="zh-CN"/>
        </w:rPr>
        <w:t>预算执行进度与绩效指标无偏差。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24" w:firstLineChars="200"/>
        <w:jc w:val="both"/>
        <w:textAlignment w:val="auto"/>
        <w:outlineLvl w:val="9"/>
        <w:rPr>
          <w:rStyle w:val="4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eastAsia="zh-CN"/>
        </w:rPr>
      </w:pPr>
      <w:r>
        <w:rPr>
          <w:rStyle w:val="4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eastAsia="zh-CN"/>
        </w:rPr>
        <w:t>（</w:t>
      </w:r>
      <w:r>
        <w:rPr>
          <w:rStyle w:val="4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二</w:t>
      </w:r>
      <w:r>
        <w:rPr>
          <w:rStyle w:val="4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eastAsia="zh-CN"/>
        </w:rPr>
        <w:t>）下一步改进措施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kern w:val="2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kern w:val="2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  <w:t>1、预算安排和执行方面改进措施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kern w:val="2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</w:pPr>
      <w:bookmarkStart w:id="1" w:name="bookmark45"/>
      <w:r>
        <w:rPr>
          <w:rFonts w:hint="eastAsia" w:ascii="仿宋_GB2312" w:hAnsi="仿宋_GB2312" w:eastAsia="仿宋_GB2312" w:cs="仿宋_GB2312"/>
          <w:color w:val="000000"/>
          <w:spacing w:val="0"/>
          <w:w w:val="100"/>
          <w:kern w:val="2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  <w:t>提</w:t>
      </w:r>
      <w:bookmarkEnd w:id="1"/>
      <w:r>
        <w:rPr>
          <w:rFonts w:hint="eastAsia" w:ascii="仿宋_GB2312" w:hAnsi="仿宋_GB2312" w:eastAsia="仿宋_GB2312" w:cs="仿宋_GB2312"/>
          <w:color w:val="000000"/>
          <w:spacing w:val="0"/>
          <w:w w:val="100"/>
          <w:kern w:val="2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  <w:t>高工作人员对预算执行的重视程度，加强预算执行分析，加建立部门预算编制环节的绩效计划和绩效审核制度；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kern w:val="2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kern w:val="2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  <w:t>2、制度建设方面改进措施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kern w:val="2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kern w:val="2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  <w:t>完善部门预算绩效运行键控制度；建立结构性预算绩效管理制度。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kern w:val="2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</w:pPr>
      <w:bookmarkStart w:id="2" w:name="bookmark48"/>
      <w:bookmarkEnd w:id="2"/>
      <w:bookmarkStart w:id="3" w:name="bookmark49"/>
      <w:bookmarkStart w:id="4" w:name="bookmark47"/>
      <w:bookmarkStart w:id="5" w:name="bookmark46"/>
      <w:r>
        <w:rPr>
          <w:rFonts w:hint="eastAsia" w:ascii="仿宋_GB2312" w:hAnsi="仿宋_GB2312" w:eastAsia="仿宋_GB2312" w:cs="仿宋_GB2312"/>
          <w:color w:val="000000"/>
          <w:spacing w:val="0"/>
          <w:w w:val="100"/>
          <w:kern w:val="2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  <w:t>3、项目管理方面</w:t>
      </w:r>
      <w:bookmarkEnd w:id="3"/>
      <w:bookmarkEnd w:id="4"/>
      <w:bookmarkEnd w:id="5"/>
      <w:r>
        <w:rPr>
          <w:rFonts w:hint="eastAsia" w:ascii="仿宋_GB2312" w:hAnsi="仿宋_GB2312" w:eastAsia="仿宋_GB2312" w:cs="仿宋_GB2312"/>
          <w:color w:val="000000"/>
          <w:spacing w:val="0"/>
          <w:w w:val="100"/>
          <w:kern w:val="2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  <w:t>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kern w:val="2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kern w:val="2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  <w:t>加强项目实施管理。一是抓落实。要求将任务落实到具体项目，明确责任主体。二是抓督查。经常到实地督查进度，并采取开展调研、中期评估等有效管理措施，促进各项目顺利实施。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kern w:val="2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</w:pPr>
      <w:bookmarkStart w:id="6" w:name="bookmark50"/>
      <w:bookmarkStart w:id="7" w:name="bookmark51"/>
      <w:bookmarkStart w:id="8" w:name="bookmark53"/>
      <w:r>
        <w:rPr>
          <w:rFonts w:hint="eastAsia" w:ascii="仿宋_GB2312" w:hAnsi="仿宋_GB2312" w:eastAsia="仿宋_GB2312" w:cs="仿宋_GB2312"/>
          <w:color w:val="000000"/>
          <w:spacing w:val="0"/>
          <w:w w:val="100"/>
          <w:kern w:val="2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  <w:t>4、资金管理方面</w:t>
      </w:r>
      <w:bookmarkEnd w:id="6"/>
      <w:bookmarkEnd w:id="7"/>
      <w:bookmarkEnd w:id="8"/>
      <w:r>
        <w:rPr>
          <w:rFonts w:hint="eastAsia" w:ascii="仿宋_GB2312" w:hAnsi="仿宋_GB2312" w:eastAsia="仿宋_GB2312" w:cs="仿宋_GB2312"/>
          <w:color w:val="000000"/>
          <w:spacing w:val="0"/>
          <w:w w:val="100"/>
          <w:kern w:val="2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  <w:t>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Style w:val="4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kern w:val="2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  <w:t>为提高建设资金使用效率，建设单位应成立专项资金管理小组，资金使用严格按照上级专项资金管理方法执行，政府有关部门和项目主管部门要进一步加强监督和检查，加强财务管理工作。要坚持先有预算，后有支出，严格按批准的预算执行，进一步细化预算编制，提高预算年初到位率，加强对预算执行的跟踪分析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highlight w:val="none"/>
        </w:rPr>
        <w:t>绩效自评结果拟应用和公开情况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自评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通过实地调研、数据分析等方式，全面了解该项目资金的使用效率和效果，项目管理过程规范，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是否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完成了预期绩效目标等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开展了自评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最终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绩效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评价应得分100分，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绩效自评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实际得分100分，自评报告完成后在沙湾市人民政府网站公示7天，无异议。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E308904"/>
    <w:multiLevelType w:val="singleLevel"/>
    <w:tmpl w:val="8E308904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8DCA637"/>
    <w:multiLevelType w:val="singleLevel"/>
    <w:tmpl w:val="D8DCA637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E78358ED"/>
    <w:multiLevelType w:val="singleLevel"/>
    <w:tmpl w:val="E78358ED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  <w:docVar w:name="KSO_WPS_MARK_KEY" w:val="cc5a20fa-5472-4c40-a80e-cc736df12777"/>
  </w:docVars>
  <w:rsids>
    <w:rsidRoot w:val="00F20A26"/>
    <w:rsid w:val="003E0379"/>
    <w:rsid w:val="0055176E"/>
    <w:rsid w:val="00F20A26"/>
    <w:rsid w:val="0125204F"/>
    <w:rsid w:val="014E288C"/>
    <w:rsid w:val="0165177A"/>
    <w:rsid w:val="01FF2B3A"/>
    <w:rsid w:val="0375036D"/>
    <w:rsid w:val="03A25531"/>
    <w:rsid w:val="04153FA5"/>
    <w:rsid w:val="043F0381"/>
    <w:rsid w:val="04BF588C"/>
    <w:rsid w:val="05E67EBB"/>
    <w:rsid w:val="063F673F"/>
    <w:rsid w:val="0687059C"/>
    <w:rsid w:val="08A74C30"/>
    <w:rsid w:val="0B0C6832"/>
    <w:rsid w:val="0B7A250D"/>
    <w:rsid w:val="0CB63D14"/>
    <w:rsid w:val="0E8C144F"/>
    <w:rsid w:val="0E9C0894"/>
    <w:rsid w:val="0F364B5D"/>
    <w:rsid w:val="108067D4"/>
    <w:rsid w:val="114F1032"/>
    <w:rsid w:val="115027E1"/>
    <w:rsid w:val="11994F51"/>
    <w:rsid w:val="11D504C3"/>
    <w:rsid w:val="120B18B9"/>
    <w:rsid w:val="124A041D"/>
    <w:rsid w:val="12727BCB"/>
    <w:rsid w:val="12CB3BF3"/>
    <w:rsid w:val="132945BE"/>
    <w:rsid w:val="13AD1E90"/>
    <w:rsid w:val="13B55B76"/>
    <w:rsid w:val="140366AE"/>
    <w:rsid w:val="142F7AD5"/>
    <w:rsid w:val="143973B2"/>
    <w:rsid w:val="149E2263"/>
    <w:rsid w:val="156C3C3F"/>
    <w:rsid w:val="15943557"/>
    <w:rsid w:val="16146C75"/>
    <w:rsid w:val="16F311BE"/>
    <w:rsid w:val="17C90116"/>
    <w:rsid w:val="180C2075"/>
    <w:rsid w:val="19537EBD"/>
    <w:rsid w:val="1A755C8D"/>
    <w:rsid w:val="1AD827A2"/>
    <w:rsid w:val="1BE0112D"/>
    <w:rsid w:val="1CB77BD8"/>
    <w:rsid w:val="1DBE33BD"/>
    <w:rsid w:val="1DE26619"/>
    <w:rsid w:val="20424113"/>
    <w:rsid w:val="210B3AA8"/>
    <w:rsid w:val="212C4A4A"/>
    <w:rsid w:val="25DA7F7C"/>
    <w:rsid w:val="26952422"/>
    <w:rsid w:val="271C4A6F"/>
    <w:rsid w:val="276958AC"/>
    <w:rsid w:val="28AD1DBA"/>
    <w:rsid w:val="28EF164C"/>
    <w:rsid w:val="2A5A75B9"/>
    <w:rsid w:val="2A863D0D"/>
    <w:rsid w:val="2AEF7C48"/>
    <w:rsid w:val="2B113226"/>
    <w:rsid w:val="2C66619E"/>
    <w:rsid w:val="2DB45EA9"/>
    <w:rsid w:val="2DF76900"/>
    <w:rsid w:val="2FC628D3"/>
    <w:rsid w:val="320B19DB"/>
    <w:rsid w:val="328C6B1E"/>
    <w:rsid w:val="32AF0AE9"/>
    <w:rsid w:val="34927897"/>
    <w:rsid w:val="3602278B"/>
    <w:rsid w:val="366A7840"/>
    <w:rsid w:val="372C72AE"/>
    <w:rsid w:val="37CC2C3A"/>
    <w:rsid w:val="38892201"/>
    <w:rsid w:val="3AD70871"/>
    <w:rsid w:val="3B20153C"/>
    <w:rsid w:val="3B912EB4"/>
    <w:rsid w:val="3C0F67B3"/>
    <w:rsid w:val="3D4D2A35"/>
    <w:rsid w:val="3DB03C7E"/>
    <w:rsid w:val="3DE12856"/>
    <w:rsid w:val="3E75350F"/>
    <w:rsid w:val="3EA2720F"/>
    <w:rsid w:val="3F346226"/>
    <w:rsid w:val="401C1010"/>
    <w:rsid w:val="40356C15"/>
    <w:rsid w:val="407B1006"/>
    <w:rsid w:val="40CC3DC6"/>
    <w:rsid w:val="412A45C2"/>
    <w:rsid w:val="4169799F"/>
    <w:rsid w:val="41BC7814"/>
    <w:rsid w:val="41C434C5"/>
    <w:rsid w:val="42F368A0"/>
    <w:rsid w:val="434E4EFE"/>
    <w:rsid w:val="4365665A"/>
    <w:rsid w:val="437D5FC1"/>
    <w:rsid w:val="43E872C3"/>
    <w:rsid w:val="457B1436"/>
    <w:rsid w:val="458E11F3"/>
    <w:rsid w:val="4839716E"/>
    <w:rsid w:val="48DF676B"/>
    <w:rsid w:val="4AE8484B"/>
    <w:rsid w:val="4B4243AE"/>
    <w:rsid w:val="4BE85713"/>
    <w:rsid w:val="4C5866CD"/>
    <w:rsid w:val="4D730476"/>
    <w:rsid w:val="4E341B08"/>
    <w:rsid w:val="4FAB74AA"/>
    <w:rsid w:val="5168048F"/>
    <w:rsid w:val="51B34C20"/>
    <w:rsid w:val="52496F55"/>
    <w:rsid w:val="52954E09"/>
    <w:rsid w:val="53382A1D"/>
    <w:rsid w:val="542B390C"/>
    <w:rsid w:val="543521B5"/>
    <w:rsid w:val="56783212"/>
    <w:rsid w:val="599D258F"/>
    <w:rsid w:val="5B12245A"/>
    <w:rsid w:val="5CCC7342"/>
    <w:rsid w:val="5CE92F0B"/>
    <w:rsid w:val="5D1739FF"/>
    <w:rsid w:val="5F0F38AD"/>
    <w:rsid w:val="623F0A40"/>
    <w:rsid w:val="6356485D"/>
    <w:rsid w:val="64A273B3"/>
    <w:rsid w:val="653307F5"/>
    <w:rsid w:val="660A7D52"/>
    <w:rsid w:val="66684DD4"/>
    <w:rsid w:val="66EF79CD"/>
    <w:rsid w:val="670567C9"/>
    <w:rsid w:val="68943DC0"/>
    <w:rsid w:val="694943B9"/>
    <w:rsid w:val="6A317F7B"/>
    <w:rsid w:val="6B602241"/>
    <w:rsid w:val="6CF00BFB"/>
    <w:rsid w:val="6D3870DC"/>
    <w:rsid w:val="6D581A15"/>
    <w:rsid w:val="6D623A71"/>
    <w:rsid w:val="6D83299D"/>
    <w:rsid w:val="6E6956FA"/>
    <w:rsid w:val="6E9558F5"/>
    <w:rsid w:val="6ED13AD6"/>
    <w:rsid w:val="6F1A00CB"/>
    <w:rsid w:val="7375655F"/>
    <w:rsid w:val="743A2810"/>
    <w:rsid w:val="7475267E"/>
    <w:rsid w:val="755F660E"/>
    <w:rsid w:val="757E1A81"/>
    <w:rsid w:val="75F60634"/>
    <w:rsid w:val="775F7611"/>
    <w:rsid w:val="77E26491"/>
    <w:rsid w:val="79294BA1"/>
    <w:rsid w:val="79B862D0"/>
    <w:rsid w:val="7A993D8E"/>
    <w:rsid w:val="7BB73495"/>
    <w:rsid w:val="7C41015C"/>
    <w:rsid w:val="7C4759F4"/>
    <w:rsid w:val="7D572E59"/>
    <w:rsid w:val="7E013850"/>
    <w:rsid w:val="7E1536A4"/>
    <w:rsid w:val="7ED22211"/>
    <w:rsid w:val="7F7E1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  <w:bCs/>
    </w:rPr>
  </w:style>
  <w:style w:type="paragraph" w:customStyle="1" w:styleId="5">
    <w:name w:val="Body text|1"/>
    <w:basedOn w:val="1"/>
    <w:qFormat/>
    <w:uiPriority w:val="0"/>
    <w:pPr>
      <w:spacing w:after="280" w:line="401" w:lineRule="auto"/>
      <w:ind w:firstLine="400"/>
    </w:pPr>
    <w:rPr>
      <w:rFonts w:ascii="宋体" w:hAnsi="宋体" w:eastAsia="宋体" w:cs="宋体"/>
      <w:sz w:val="26"/>
      <w:szCs w:val="26"/>
      <w:lang w:val="zh-TW" w:eastAsia="zh-TW" w:bidi="zh-TW"/>
    </w:rPr>
  </w:style>
  <w:style w:type="paragraph" w:customStyle="1" w:styleId="6">
    <w:name w:val="Heading #1|1"/>
    <w:basedOn w:val="1"/>
    <w:qFormat/>
    <w:uiPriority w:val="0"/>
    <w:pPr>
      <w:spacing w:before="3120" w:after="4720"/>
      <w:jc w:val="center"/>
      <w:outlineLvl w:val="0"/>
    </w:pPr>
    <w:rPr>
      <w:rFonts w:ascii="宋体" w:hAnsi="宋体" w:eastAsia="宋体" w:cs="宋体"/>
      <w:sz w:val="42"/>
      <w:szCs w:val="42"/>
      <w:lang w:val="zh-TW" w:eastAsia="zh-TW" w:bidi="zh-TW"/>
    </w:rPr>
  </w:style>
  <w:style w:type="paragraph" w:customStyle="1" w:styleId="7">
    <w:name w:val="Body text|2"/>
    <w:basedOn w:val="1"/>
    <w:qFormat/>
    <w:uiPriority w:val="0"/>
    <w:pPr>
      <w:spacing w:after="830"/>
      <w:ind w:firstLine="300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2351</Words>
  <Characters>2683</Characters>
  <Lines>2</Lines>
  <Paragraphs>1</Paragraphs>
  <TotalTime>1</TotalTime>
  <ScaleCrop>false</ScaleCrop>
  <LinksUpToDate>false</LinksUpToDate>
  <CharactersWithSpaces>2687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2019-10-08T05:02:00Z</dcterms:created>
  <dc:creator>姜波</dc:creator>
  <cp:lastModifiedBy>Administrator</cp:lastModifiedBy>
  <dcterms:modified xsi:type="dcterms:W3CDTF">2024-09-18T02:28:49Z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ICV">
    <vt:lpwstr>A6ED388AC2734AFF9329BBAFCD37739D</vt:lpwstr>
  </property>
</Properties>
</file>