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_GBK" w:hAnsi="方正小标宋_GBK" w:eastAsia="方正小标宋_GBK" w:cs="方正小标宋_GBK"/>
        </w:rPr>
      </w:pPr>
      <w:r>
        <w:rPr>
          <w:rFonts w:hint="eastAsia" w:ascii="方正小标宋简体" w:hAnsi="方正小标宋简体" w:eastAsia="方正小标宋简体" w:cs="方正小标宋简体"/>
          <w:b/>
          <w:bCs/>
          <w:sz w:val="36"/>
          <w:szCs w:val="36"/>
        </w:rPr>
        <w:t xml:space="preserve">沙 湾 </w:t>
      </w:r>
      <w:r>
        <w:rPr>
          <w:rFonts w:hint="eastAsia" w:ascii="方正小标宋简体" w:hAnsi="方正小标宋简体" w:eastAsia="方正小标宋简体" w:cs="方正小标宋简体"/>
          <w:sz w:val="36"/>
          <w:szCs w:val="36"/>
        </w:rPr>
        <w:t>市 政 务 服 务 中 心</w:t>
      </w:r>
    </w:p>
    <w:p>
      <w:pPr>
        <w:pStyle w:val="2"/>
        <w:spacing w:line="600" w:lineRule="exact"/>
        <w:ind w:firstLine="0" w:firstLineChars="0"/>
        <w:jc w:val="center"/>
        <w:rPr>
          <w:rFonts w:ascii="方正小标宋_GBK" w:hAnsi="方正小标宋_GBK" w:eastAsia="方正小标宋_GBK" w:cs="方正小标宋_GBK"/>
          <w:b w:val="0"/>
          <w:bCs/>
          <w:sz w:val="52"/>
          <w:szCs w:val="32"/>
        </w:rPr>
      </w:pPr>
      <w:r>
        <w:rPr>
          <w:rFonts w:hint="eastAsia" w:ascii="方正小标宋简体" w:hAnsi="方正小标宋简体" w:eastAsia="方正小标宋简体" w:cs="方正小标宋简体"/>
          <w:b w:val="0"/>
          <w:bCs/>
          <w:sz w:val="52"/>
          <w:szCs w:val="32"/>
        </w:rPr>
        <w:t>办 事 指 南</w:t>
      </w:r>
    </w:p>
    <w:p>
      <w:pPr>
        <w:spacing w:line="560" w:lineRule="exact"/>
        <w:ind w:firstLine="361" w:firstLineChars="100"/>
        <w:jc w:val="both"/>
        <w:rPr>
          <w:rFonts w:ascii="方正小标宋_GBK" w:hAnsi="方正小标宋_GBK" w:eastAsia="方正小标宋_GBK" w:cs="方正小标宋_GBK"/>
          <w:sz w:val="36"/>
          <w:szCs w:val="21"/>
          <w:u w:val="single"/>
        </w:rPr>
      </w:pPr>
      <w:r>
        <w:rPr>
          <w:rFonts w:hint="eastAsia" w:ascii="仿宋_GB2312" w:hAnsi="仿宋_GB2312" w:cs="仿宋_GB2312"/>
          <w:b/>
          <w:bCs/>
          <w:sz w:val="36"/>
          <w:szCs w:val="21"/>
        </w:rPr>
        <w:t>沙湾市文化广播电视和旅游局</w:t>
      </w:r>
    </w:p>
    <w:p>
      <w:pPr>
        <w:spacing w:line="300" w:lineRule="exact"/>
        <w:ind w:firstLine="0" w:firstLineChars="0"/>
        <w:rPr>
          <w:rFonts w:ascii="方正小标宋_GBK" w:hAnsi="方正小标宋_GBK" w:eastAsia="方正小标宋_GBK" w:cs="方正小标宋_GBK"/>
          <w:sz w:val="36"/>
          <w:szCs w:val="21"/>
          <w:u w:val="single"/>
        </w:rPr>
      </w:pPr>
      <w:r>
        <w:rPr>
          <w:rFonts w:hint="eastAsia" w:ascii="方正小标宋_GBK" w:hAnsi="方正小标宋_GBK" w:eastAsia="方正小标宋_GBK" w:cs="方正小标宋_GBK"/>
          <w:sz w:val="36"/>
          <w:szCs w:val="21"/>
          <w:u w:val="single"/>
        </w:rPr>
        <w:t xml:space="preserve">                             </w:t>
      </w:r>
    </w:p>
    <w:p>
      <w:pPr>
        <w:pStyle w:val="2"/>
        <w:spacing w:line="400" w:lineRule="exact"/>
        <w:ind w:firstLine="0" w:firstLineChars="0"/>
        <w:rPr>
          <w:rFonts w:ascii="方正小标宋_GBK" w:hAnsi="方正小标宋_GBK" w:eastAsia="方正小标宋_GBK" w:cs="方正小标宋_GBK"/>
          <w:b w:val="0"/>
          <w:sz w:val="36"/>
          <w:szCs w:val="21"/>
          <w:u w:val="single"/>
        </w:rPr>
      </w:pPr>
    </w:p>
    <w:p>
      <w:pPr>
        <w:ind w:firstLine="0" w:firstLineChars="0"/>
        <w:jc w:val="center"/>
        <w:rPr>
          <w:rFonts w:hint="eastAsia" w:ascii="方正小标宋简体" w:hAnsi="方正小标宋简体" w:eastAsia="方正小标宋简体" w:cs="方正小标宋简体"/>
          <w:b w:val="0"/>
          <w:bCs w:val="0"/>
          <w:color w:val="000000" w:themeColor="text1"/>
          <w:sz w:val="36"/>
          <w:szCs w:val="36"/>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auto"/>
          <w14:textFill>
            <w14:solidFill>
              <w14:schemeClr w14:val="tx1"/>
            </w14:solidFill>
          </w14:textFill>
        </w:rPr>
        <w:t>申请《广播电视视频点播业务许可证（乙种）》</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4"/>
          <w:szCs w:val="24"/>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4"/>
          <w:szCs w:val="24"/>
          <w:u w:val="none"/>
          <w:shd w:val="clear" w:color="auto" w:fill="auto"/>
          <w14:textFill>
            <w14:solidFill>
              <w14:schemeClr w14:val="tx1"/>
            </w14:solidFill>
          </w14:textFill>
        </w:rPr>
        <w:t>一、受理条件：</w:t>
      </w:r>
    </w:p>
    <w:p>
      <w:pPr>
        <w:pageBreakBefore w:val="0"/>
        <w:widowControl/>
        <w:wordWrap/>
        <w:overflowPunct/>
        <w:topLinePunct w:val="0"/>
        <w:bidi w:val="0"/>
        <w:spacing w:line="320" w:lineRule="exact"/>
        <w:ind w:left="0" w:leftChars="0" w:firstLine="0" w:firstLineChars="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申请人条件 :</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1.三星级以上或相当于三星级以上的宾馆饭店；</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 xml:space="preserve">2.具有同时为10家以上三星级或相当于三星级以上的宾馆饭店提供视频点播业务能力的机构。 </w:t>
      </w:r>
    </w:p>
    <w:p>
      <w:pPr>
        <w:pageBreakBefore w:val="0"/>
        <w:widowControl/>
        <w:wordWrap/>
        <w:overflowPunct/>
        <w:topLinePunct w:val="0"/>
        <w:bidi w:val="0"/>
        <w:spacing w:line="320" w:lineRule="exact"/>
        <w:ind w:left="0" w:leftChars="0" w:firstLine="0" w:firstLineChars="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应具备的条件:</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1.符合国家视频点播业务总体规划。</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2.有符合本办法规定的节目资源。</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3.具备与视频点播业务开办规模相适应的场所、技术、人员等条件。</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4.所使用的系统和设备符合国家和行业技术标准。</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5.有健全的节目内容审查制度、播出管理制度。</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6.有确定的传播范围。</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7.具备与开办业务相适应的信誉和服务能力。</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8.有与广播电视行政管理部门监控系统实现联网的方案</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9.其他法律、行政法规规定的条件。</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4"/>
          <w:szCs w:val="24"/>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4"/>
          <w:szCs w:val="24"/>
          <w:u w:val="none"/>
          <w:shd w:val="clear" w:color="auto" w:fill="auto"/>
          <w14:textFill>
            <w14:solidFill>
              <w14:schemeClr w14:val="tx1"/>
            </w14:solidFill>
          </w14:textFill>
        </w:rPr>
        <w:t>二、办理材料：</w:t>
      </w:r>
    </w:p>
    <w:p>
      <w:pPr>
        <w:pageBreakBefore w:val="0"/>
        <w:widowControl/>
        <w:wordWrap/>
        <w:overflowPunct/>
        <w:topLinePunct w:val="0"/>
        <w:bidi w:val="0"/>
        <w:spacing w:line="320" w:lineRule="exact"/>
        <w:ind w:left="0" w:leftChars="0" w:firstLine="420" w:firstLineChars="200"/>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1、</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Style w:val="12"/>
          <w:rFonts w:hint="eastAsia" w:ascii="仿宋_GB2312" w:hAnsi="仿宋_GB2312" w:eastAsia="仿宋_GB2312" w:cs="仿宋_GB2312"/>
          <w:color w:val="000000" w:themeColor="text1"/>
          <w:sz w:val="20"/>
          <w:u w:val="none"/>
          <w:shd w:val="clear" w:color="auto" w:fill="auto"/>
          <w14:textFill>
            <w14:solidFill>
              <w14:schemeClr w14:val="tx1"/>
            </w14:solidFill>
          </w14:textFill>
        </w:rPr>
        <w:t>广播电视视频点播业务（乙种）申请报告</w:t>
      </w:r>
      <w:r>
        <w:rPr>
          <w:rStyle w:val="12"/>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left="0" w:leftChars="0" w:firstLine="420" w:firstLineChars="200"/>
        <w:rPr>
          <w:rStyle w:val="12"/>
          <w:rFonts w:hint="eastAsia" w:ascii="仿宋_GB2312" w:hAnsi="仿宋_GB2312" w:eastAsia="仿宋_GB2312" w:cs="仿宋_GB2312"/>
          <w:color w:val="000000" w:themeColor="text1"/>
          <w:sz w:val="20"/>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2、</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Style w:val="12"/>
          <w:rFonts w:hint="eastAsia" w:ascii="仿宋_GB2312" w:hAnsi="仿宋_GB2312" w:eastAsia="仿宋_GB2312" w:cs="仿宋_GB2312"/>
          <w:color w:val="000000" w:themeColor="text1"/>
          <w:sz w:val="20"/>
          <w:u w:val="none"/>
          <w:shd w:val="clear" w:color="auto" w:fill="auto"/>
          <w14:textFill>
            <w14:solidFill>
              <w14:schemeClr w14:val="tx1"/>
            </w14:solidFill>
          </w14:textFill>
        </w:rPr>
        <w:t>《广播电视视频点播业务许可证（乙种）》申请表</w:t>
      </w:r>
      <w:r>
        <w:rPr>
          <w:rStyle w:val="12"/>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left="0" w:leftChars="0" w:firstLine="420" w:firstLineChars="2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3、</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从事广播电视视频点播业务的节目开办方案、技术方案、运营方案、管理制度</w:t>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firstLine="420" w:firstLineChars="2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4、</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向政府监管部门提供监控信号的监控方案</w:t>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firstLine="420" w:firstLineChars="2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5、</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主管人员简要情况介绍和设备、场所的证明材料</w:t>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firstLine="420" w:firstLineChars="2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6、</w: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u w:val="none"/>
          <w:shd w:val="clear" w:color="auto" w:fill="auto"/>
          <w14:textFill>
            <w14:solidFill>
              <w14:schemeClr w14:val="tx1"/>
            </w14:solidFill>
          </w14:textFill>
        </w:rPr>
        <w:instrText xml:space="preserve"> HYPERLINK "javascript:;" </w:instrText>
      </w:r>
      <w:r>
        <w:rPr>
          <w:rFonts w:hint="eastAsia" w:ascii="仿宋_GB2312" w:hAnsi="仿宋_GB2312" w:eastAsia="仿宋_GB2312" w:cs="仿宋_GB2312"/>
          <w:color w:val="000000" w:themeColor="text1"/>
          <w:u w:val="none"/>
          <w:shd w:val="clear" w:color="auto" w:fill="auto"/>
          <w14:textFill>
            <w14:solidFill>
              <w14:schemeClr w14:val="tx1"/>
            </w14:solidFill>
          </w14:textFill>
        </w:rPr>
        <w:fldChar w:fldCharType="separate"/>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t>宾馆饭店以外的机构申请</w:t>
      </w:r>
      <w:r>
        <w:rPr>
          <w:rFonts w:hint="eastAsia" w:ascii="仿宋_GB2312" w:hAnsi="仿宋_GB2312" w:eastAsia="仿宋_GB2312" w:cs="仿宋_GB2312"/>
          <w:color w:val="000000" w:themeColor="text1"/>
          <w:sz w:val="20"/>
          <w:u w:val="none"/>
          <w:shd w:val="clear" w:color="auto" w:fill="auto"/>
          <w14:textFill>
            <w14:solidFill>
              <w14:schemeClr w14:val="tx1"/>
            </w14:solidFill>
          </w14:textFill>
        </w:rPr>
        <w:fldChar w:fldCharType="end"/>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三、办理方式：</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窗口办理、网上办理</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 xml:space="preserve">四、办理时限： </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法定时限：</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20个工作日</w:t>
      </w:r>
    </w:p>
    <w:p>
      <w:pPr>
        <w:pStyle w:val="2"/>
        <w:pageBreakBefore w:val="0"/>
        <w:widowControl/>
        <w:wordWrap/>
        <w:overflowPunct/>
        <w:topLinePunct w:val="0"/>
        <w:bidi w:val="0"/>
        <w:spacing w:line="320" w:lineRule="exact"/>
        <w:ind w:firstLine="420"/>
        <w:rPr>
          <w:rFonts w:hint="eastAsia" w:ascii="仿宋_GB2312" w:hAnsi="仿宋_GB2312" w:eastAsia="仿宋_GB2312" w:cs="仿宋_GB2312"/>
          <w:b w:val="0"/>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Cs/>
          <w:color w:val="000000" w:themeColor="text1"/>
          <w:sz w:val="21"/>
          <w:szCs w:val="21"/>
          <w:u w:val="none"/>
          <w:shd w:val="clear" w:color="auto" w:fill="auto"/>
          <w14:textFill>
            <w14:solidFill>
              <w14:schemeClr w14:val="tx1"/>
            </w14:solidFill>
          </w14:textFill>
        </w:rPr>
        <w:t>承诺时间：</w:t>
      </w:r>
      <w:r>
        <w:rPr>
          <w:rFonts w:hint="eastAsia" w:ascii="仿宋_GB2312" w:hAnsi="仿宋_GB2312" w:eastAsia="仿宋_GB2312" w:cs="仿宋_GB2312"/>
          <w:b w:val="0"/>
          <w:color w:val="000000" w:themeColor="text1"/>
          <w:sz w:val="21"/>
          <w:szCs w:val="21"/>
          <w:u w:val="none"/>
          <w:shd w:val="clear" w:color="auto" w:fill="auto"/>
          <w14:textFill>
            <w14:solidFill>
              <w14:schemeClr w14:val="tx1"/>
            </w14:solidFill>
          </w14:textFill>
        </w:rPr>
        <w:t>10个工作日</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五、收费依据及标准：</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不收费</w:t>
      </w:r>
    </w:p>
    <w:p>
      <w:pPr>
        <w:pStyle w:val="2"/>
        <w:pageBreakBefore w:val="0"/>
        <w:widowControl/>
        <w:wordWrap/>
        <w:overflowPunct/>
        <w:topLinePunct w:val="0"/>
        <w:bidi w:val="0"/>
        <w:spacing w:line="320" w:lineRule="exact"/>
        <w:ind w:firstLine="0" w:firstLineChars="0"/>
        <w:rPr>
          <w:rFonts w:hint="eastAsia" w:ascii="仿宋_GB2312" w:hAnsi="仿宋_GB2312" w:eastAsia="仿宋_GB2312" w:cs="仿宋_GB2312"/>
          <w:b w:val="0"/>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Cs/>
          <w:color w:val="000000" w:themeColor="text1"/>
          <w:sz w:val="21"/>
          <w:szCs w:val="21"/>
          <w:u w:val="none"/>
          <w:shd w:val="clear" w:color="auto" w:fill="auto"/>
          <w14:textFill>
            <w14:solidFill>
              <w14:schemeClr w14:val="tx1"/>
            </w14:solidFill>
          </w14:textFill>
        </w:rPr>
        <w:t>六、办事时间：</w:t>
      </w:r>
      <w:r>
        <w:rPr>
          <w:rFonts w:hint="eastAsia" w:ascii="仿宋_GB2312" w:hAnsi="仿宋_GB2312" w:eastAsia="仿宋_GB2312" w:cs="仿宋_GB2312"/>
          <w:b w:val="0"/>
          <w:color w:val="000000" w:themeColor="text1"/>
          <w:sz w:val="21"/>
          <w:szCs w:val="21"/>
          <w:u w:val="none"/>
          <w:shd w:val="clear" w:color="auto" w:fill="auto"/>
          <w14:textFill>
            <w14:solidFill>
              <w14:schemeClr w14:val="tx1"/>
            </w14:solidFill>
          </w14:textFill>
        </w:rPr>
        <w:t>周一至周五</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夏季 10:00:00至14:00:00</w:t>
      </w:r>
    </w:p>
    <w:p>
      <w:pPr>
        <w:pageBreakBefore w:val="0"/>
        <w:widowControl/>
        <w:wordWrap/>
        <w:overflowPunct/>
        <w:topLinePunct w:val="0"/>
        <w:bidi w:val="0"/>
        <w:spacing w:line="320" w:lineRule="exact"/>
        <w:ind w:firstLine="840" w:firstLineChars="4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 xml:space="preserve"> 16:00:00至20:00:00 </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 xml:space="preserve">冬季 10:00:00至14:00:00 </w:t>
      </w:r>
    </w:p>
    <w:p>
      <w:pPr>
        <w:pageBreakBefore w:val="0"/>
        <w:widowControl/>
        <w:wordWrap/>
        <w:overflowPunct/>
        <w:topLinePunct w:val="0"/>
        <w:bidi w:val="0"/>
        <w:spacing w:line="320" w:lineRule="exact"/>
        <w:ind w:firstLine="840" w:firstLineChars="4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 xml:space="preserve"> 16:00:00至20:00:00</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双休日和国家法定节假日除外</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七、办理机构及地点：</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新疆维吾尔自治区塔城地区沙湾市书香街道智慧大道东路105号政务服务中心1楼B13文旅局窗口</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八、咨询查询途径：</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手机：18109934566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座机：0993-6028556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新疆政务服务网： 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九、监督投诉渠道：</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投诉电话：0993-6023092</w:t>
      </w:r>
    </w:p>
    <w:p>
      <w:pPr>
        <w:pageBreakBefore w:val="0"/>
        <w:widowControl/>
        <w:wordWrap/>
        <w:overflowPunct/>
        <w:topLinePunct w:val="0"/>
        <w:bidi w:val="0"/>
        <w:spacing w:line="320" w:lineRule="exact"/>
        <w:ind w:left="480" w:leftChars="150" w:firstLine="1050" w:firstLineChars="500"/>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0901-12345</w:t>
      </w:r>
    </w:p>
    <w:p>
      <w:pPr>
        <w:pageBreakBefore w:val="0"/>
        <w:widowControl/>
        <w:kinsoku/>
        <w:wordWrap/>
        <w:overflowPunct/>
        <w:topLinePunct w:val="0"/>
        <w:autoSpaceDE/>
        <w:autoSpaceDN/>
        <w:bidi w:val="0"/>
        <w:adjustRightInd/>
        <w:snapToGrid/>
        <w:spacing w:line="320" w:lineRule="exact"/>
        <w:ind w:left="1110" w:leftChars="150" w:hanging="630" w:hangingChars="300"/>
        <w:textAlignment w:val="auto"/>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地址：新疆维吾尔自治区塔城地区沙湾市书香街道智慧大道东路105号A座407室</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新疆政务服务网：https//zwfw.xinjiang.gov.cn/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pPr>
      <w:r>
        <w:rPr>
          <w:rFonts w:hint="eastAsia" w:ascii="仿宋_GB2312" w:hAnsi="仿宋_GB2312" w:cs="仿宋_GB2312"/>
          <w:b/>
          <w:bCs/>
          <w:color w:val="000000" w:themeColor="text1"/>
          <w:sz w:val="21"/>
          <w:szCs w:val="21"/>
          <w:u w:val="none"/>
          <w:shd w:val="clear" w:color="auto" w:fill="auto"/>
          <w:lang w:eastAsia="zh-CN"/>
          <w14:textFill>
            <w14:solidFill>
              <w14:schemeClr w14:val="tx1"/>
            </w14:solidFill>
          </w14:textFill>
        </w:rPr>
        <w:t>十、</w:t>
      </w:r>
      <w:r>
        <w:rPr>
          <w:rFonts w:hint="eastAsia" w:ascii="仿宋_GB2312" w:hAnsi="仿宋_GB2312" w:eastAsia="仿宋_GB2312" w:cs="仿宋_GB2312"/>
          <w:b/>
          <w:bCs/>
          <w:color w:val="000000" w:themeColor="text1"/>
          <w:sz w:val="21"/>
          <w:szCs w:val="21"/>
          <w:u w:val="none"/>
          <w:shd w:val="clear" w:color="auto" w:fill="auto"/>
          <w14:textFill>
            <w14:solidFill>
              <w14:schemeClr w14:val="tx1"/>
            </w14:solidFill>
          </w14:textFill>
        </w:rPr>
        <w:t>办理流程：</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1</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受理（2个工作日）窗口经办人员对申请人提供的申请材料进行初步审核。经审核，申请材料齐全、符合法定形式的，决定予以受理。申请材料提供不齐全、不完备的，一次性告知申请人补正补齐</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2</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审查（3个工作日）: 责任科室负责人对所有材料内容的真实有效性进行复核，看提交的材料是否齐全，是否符合法定形式，提出审查意见。</w:t>
      </w:r>
    </w:p>
    <w:p>
      <w:pPr>
        <w:pageBreakBefore w:val="0"/>
        <w:widowControl/>
        <w:wordWrap/>
        <w:overflowPunct/>
        <w:topLinePunct w:val="0"/>
        <w:bidi w:val="0"/>
        <w:spacing w:line="320" w:lineRule="exact"/>
        <w:rPr>
          <w:rFonts w:hint="eastAsia" w:ascii="仿宋_GB2312" w:hAnsi="仿宋_GB2312" w:eastAsia="仿宋_GB2312" w:cs="仿宋_GB2312"/>
          <w:color w:val="000000" w:themeColor="text1"/>
          <w:sz w:val="21"/>
          <w:szCs w:val="21"/>
          <w:u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3</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审批:（3个工作）日，负责审批的领导对审核意见作出</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审批</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决定</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p>
    <w:p>
      <w:pPr>
        <w:pageBreakBefore w:val="0"/>
        <w:widowControl/>
        <w:wordWrap/>
        <w:overflowPunct/>
        <w:topLinePunct w:val="0"/>
        <w:bidi w:val="0"/>
        <w:spacing w:line="320" w:lineRule="exact"/>
        <w:ind w:left="0" w:leftChars="0" w:firstLine="420" w:firstLineChars="200"/>
        <w:rPr>
          <w:rFonts w:ascii="仿宋_GB2312" w:hAnsi="仿宋_GB2312" w:cs="仿宋_GB2312"/>
          <w:sz w:val="21"/>
          <w:szCs w:val="21"/>
          <w:u w:val="none"/>
        </w:rPr>
      </w:pP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4</w:t>
      </w:r>
      <w:r>
        <w:rPr>
          <w:rFonts w:hint="eastAsia" w:ascii="仿宋_GB2312" w:hAnsi="仿宋_GB2312" w:cs="仿宋_GB2312"/>
          <w:color w:val="000000" w:themeColor="text1"/>
          <w:sz w:val="21"/>
          <w:szCs w:val="21"/>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21"/>
          <w:szCs w:val="21"/>
          <w:u w:val="none"/>
          <w:shd w:val="clear" w:color="auto" w:fill="auto"/>
          <w14:textFill>
            <w14:solidFill>
              <w14:schemeClr w14:val="tx1"/>
            </w14:solidFill>
          </w14:textFill>
        </w:rPr>
        <w:t>办结:（2个工作日）窗口工作人员根据审批结果情况，结束办理过程，将办理结果通知申请人。</w:t>
      </w:r>
    </w:p>
    <w:p>
      <w:pPr>
        <w:pStyle w:val="2"/>
        <w:ind w:firstLine="640"/>
        <w:rPr>
          <w:rFonts w:ascii="方正仿宋_GB2312" w:hAnsi="方正仿宋_GB2312" w:eastAsia="方正仿宋_GB2312" w:cs="方正仿宋_GB2312"/>
          <w:b w:val="0"/>
        </w:rPr>
      </w:pPr>
      <w:r>
        <w:rPr>
          <w:rFonts w:hint="eastAsia" w:ascii="仿宋_GB2312" w:hAnsi="仿宋_GB2312" w:eastAsia="仿宋_GB2312" w:cs="仿宋_GB2312"/>
          <w:snapToGrid/>
          <w:color w:val="000000" w:themeColor="text1"/>
          <w:u w:val="none"/>
          <w:shd w:val="clear" w:color="auto" w:fill="auto"/>
          <w14:textFill>
            <w14:solidFill>
              <w14:schemeClr w14:val="tx1"/>
            </w14:solidFill>
          </w14:textFill>
        </w:rPr>
        <w:drawing>
          <wp:anchor distT="0" distB="0" distL="114300" distR="114300" simplePos="0" relativeHeight="251659264" behindDoc="0" locked="0" layoutInCell="1" allowOverlap="1">
            <wp:simplePos x="0" y="0"/>
            <wp:positionH relativeFrom="column">
              <wp:posOffset>486410</wp:posOffset>
            </wp:positionH>
            <wp:positionV relativeFrom="paragraph">
              <wp:posOffset>27940</wp:posOffset>
            </wp:positionV>
            <wp:extent cx="2389505" cy="3354070"/>
            <wp:effectExtent l="0" t="0" r="0" b="0"/>
            <wp:wrapSquare wrapText="bothSides"/>
            <wp:docPr id="2" name="图片 2" descr="http://59.222.246.138/sxbzh/rest/frame/base/attach/attachAction/getContent?isCommondto=true&amp;attachGuid=05888bda-3316-445d-addf-18f8ad900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59.222.246.138/sxbzh/rest/frame/base/attach/attachAction/getContent?isCommondto=true&amp;attachGuid=05888bda-3316-445d-addf-18f8ad9000f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9505" cy="3354070"/>
                    </a:xfrm>
                    <a:prstGeom prst="rect">
                      <a:avLst/>
                    </a:prstGeom>
                    <a:noFill/>
                    <a:ln>
                      <a:noFill/>
                    </a:ln>
                  </pic:spPr>
                </pic:pic>
              </a:graphicData>
            </a:graphic>
          </wp:anchor>
        </w:drawing>
      </w:r>
    </w:p>
    <w:p>
      <w:pPr>
        <w:ind w:firstLine="640"/>
        <w:rPr>
          <w:rFonts w:ascii="方正仿宋_GB2312" w:hAnsi="方正仿宋_GB2312" w:eastAsia="方正仿宋_GB2312" w:cs="方正仿宋_GB2312"/>
        </w:rPr>
      </w:pPr>
    </w:p>
    <w:p>
      <w:pPr>
        <w:pStyle w:val="2"/>
        <w:ind w:firstLine="640"/>
        <w:rPr>
          <w:rFonts w:ascii="方正仿宋_GB2312" w:hAnsi="方正仿宋_GB2312" w:eastAsia="方正仿宋_GB2312" w:cs="方正仿宋_GB2312"/>
          <w:b w:val="0"/>
        </w:rPr>
      </w:pPr>
    </w:p>
    <w:p>
      <w:pPr>
        <w:pStyle w:val="2"/>
        <w:ind w:firstLine="0" w:firstLineChars="0"/>
      </w:pPr>
    </w:p>
    <w:sectPr>
      <w:type w:val="continuous"/>
      <w:pgSz w:w="16838" w:h="11906" w:orient="landscape"/>
      <w:pgMar w:top="850" w:right="283" w:bottom="850" w:left="283" w:header="851" w:footer="992" w:gutter="0"/>
      <w:cols w:equalWidth="0" w:num="3">
        <w:col w:w="5235" w:space="425"/>
        <w:col w:w="4951" w:space="425"/>
        <w:col w:w="5235"/>
      </w:cols>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6733BE93-BEBC-4377-94F9-1C9EA5FD4E7C}"/>
  </w:font>
  <w:font w:name="方正小标宋简体">
    <w:panose1 w:val="02000000000000000000"/>
    <w:charset w:val="86"/>
    <w:family w:val="auto"/>
    <w:pitch w:val="default"/>
    <w:sig w:usb0="A00002BF" w:usb1="184F6CFA" w:usb2="00000012" w:usb3="00000000" w:csb0="00040001" w:csb1="00000000"/>
    <w:embedRegular r:id="rId2" w:fontKey="{3C19D9E0-A057-45CD-995A-E5510B59E694}"/>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3E4CE9A7-E8A9-4DFD-97F9-D44A7792C9E8}"/>
  </w:font>
  <w:font w:name="方正仿宋_GB2312">
    <w:altName w:val="仿宋"/>
    <w:panose1 w:val="00000000000000000000"/>
    <w:charset w:val="86"/>
    <w:family w:val="auto"/>
    <w:pitch w:val="default"/>
    <w:sig w:usb0="00000000" w:usb1="00000000" w:usb2="00000012" w:usb3="00000000" w:csb0="00040001" w:csb1="00000000"/>
    <w:embedRegular r:id="rId4" w:fontKey="{733DFC9D-F753-422C-90E1-8B9F3C77657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F6911"/>
    <w:rsid w:val="00417A32"/>
    <w:rsid w:val="004925E2"/>
    <w:rsid w:val="006D07A2"/>
    <w:rsid w:val="00796397"/>
    <w:rsid w:val="00AC714F"/>
    <w:rsid w:val="00BF66E1"/>
    <w:rsid w:val="00CC5492"/>
    <w:rsid w:val="00CD15AD"/>
    <w:rsid w:val="00E41606"/>
    <w:rsid w:val="00E521FD"/>
    <w:rsid w:val="00F332B7"/>
    <w:rsid w:val="01610698"/>
    <w:rsid w:val="01902A0A"/>
    <w:rsid w:val="02C87280"/>
    <w:rsid w:val="02E3417E"/>
    <w:rsid w:val="036A76D5"/>
    <w:rsid w:val="037B7501"/>
    <w:rsid w:val="042C1A95"/>
    <w:rsid w:val="04C0668E"/>
    <w:rsid w:val="04FF3EA7"/>
    <w:rsid w:val="06731FD5"/>
    <w:rsid w:val="06EA5F78"/>
    <w:rsid w:val="071321F1"/>
    <w:rsid w:val="09047DDC"/>
    <w:rsid w:val="09771A17"/>
    <w:rsid w:val="0A9548E2"/>
    <w:rsid w:val="0ADD1FFB"/>
    <w:rsid w:val="0B4B1D7C"/>
    <w:rsid w:val="0B625E6C"/>
    <w:rsid w:val="0B8E5A9E"/>
    <w:rsid w:val="0BAF092B"/>
    <w:rsid w:val="0C0D033F"/>
    <w:rsid w:val="0C3C269F"/>
    <w:rsid w:val="0D295AF4"/>
    <w:rsid w:val="0D714D0D"/>
    <w:rsid w:val="0DA62523"/>
    <w:rsid w:val="0DBF548E"/>
    <w:rsid w:val="0E462BA7"/>
    <w:rsid w:val="0E5C1B0B"/>
    <w:rsid w:val="0FC17644"/>
    <w:rsid w:val="0FF2793E"/>
    <w:rsid w:val="100B4E4B"/>
    <w:rsid w:val="119B6355"/>
    <w:rsid w:val="12CF1778"/>
    <w:rsid w:val="152142E1"/>
    <w:rsid w:val="16391F72"/>
    <w:rsid w:val="18674730"/>
    <w:rsid w:val="195B4077"/>
    <w:rsid w:val="19E81F80"/>
    <w:rsid w:val="1A377862"/>
    <w:rsid w:val="1A7002BF"/>
    <w:rsid w:val="1A955637"/>
    <w:rsid w:val="1B474B4B"/>
    <w:rsid w:val="1B743DF1"/>
    <w:rsid w:val="1C993D3B"/>
    <w:rsid w:val="1CE036FF"/>
    <w:rsid w:val="1D4B0350"/>
    <w:rsid w:val="1DB42A40"/>
    <w:rsid w:val="1F4B62CC"/>
    <w:rsid w:val="211362E9"/>
    <w:rsid w:val="2178611F"/>
    <w:rsid w:val="21950B12"/>
    <w:rsid w:val="22A81F71"/>
    <w:rsid w:val="24CD03D6"/>
    <w:rsid w:val="25B85522"/>
    <w:rsid w:val="25CB5D07"/>
    <w:rsid w:val="29EC728B"/>
    <w:rsid w:val="2A257860"/>
    <w:rsid w:val="2A5F6911"/>
    <w:rsid w:val="2B1013E6"/>
    <w:rsid w:val="2B1225D2"/>
    <w:rsid w:val="2CFF45C1"/>
    <w:rsid w:val="2DEA2363"/>
    <w:rsid w:val="2EAB1AC3"/>
    <w:rsid w:val="2EFF09CC"/>
    <w:rsid w:val="2F0D6F6C"/>
    <w:rsid w:val="2F8026FA"/>
    <w:rsid w:val="302731DB"/>
    <w:rsid w:val="307136EB"/>
    <w:rsid w:val="32D06A16"/>
    <w:rsid w:val="341666A9"/>
    <w:rsid w:val="3482262D"/>
    <w:rsid w:val="349D1FCD"/>
    <w:rsid w:val="36CE6275"/>
    <w:rsid w:val="37A47147"/>
    <w:rsid w:val="38C14E33"/>
    <w:rsid w:val="39FC7BA1"/>
    <w:rsid w:val="3A15379A"/>
    <w:rsid w:val="3AAF50A5"/>
    <w:rsid w:val="3AC952D4"/>
    <w:rsid w:val="3AE97A51"/>
    <w:rsid w:val="3B731336"/>
    <w:rsid w:val="3C760D85"/>
    <w:rsid w:val="3DC35888"/>
    <w:rsid w:val="3DFB6996"/>
    <w:rsid w:val="3E9C6A06"/>
    <w:rsid w:val="3EDF5541"/>
    <w:rsid w:val="410A4F10"/>
    <w:rsid w:val="41905F01"/>
    <w:rsid w:val="41BE0090"/>
    <w:rsid w:val="43651CF4"/>
    <w:rsid w:val="436A7FB0"/>
    <w:rsid w:val="43C7405A"/>
    <w:rsid w:val="450B1B19"/>
    <w:rsid w:val="46175B18"/>
    <w:rsid w:val="47EA0F51"/>
    <w:rsid w:val="491F75EA"/>
    <w:rsid w:val="4950408C"/>
    <w:rsid w:val="49C51E00"/>
    <w:rsid w:val="4B632B7A"/>
    <w:rsid w:val="4D093D2B"/>
    <w:rsid w:val="4ED475CE"/>
    <w:rsid w:val="532077A8"/>
    <w:rsid w:val="532C5415"/>
    <w:rsid w:val="55284534"/>
    <w:rsid w:val="555508CB"/>
    <w:rsid w:val="575007FF"/>
    <w:rsid w:val="59FA061D"/>
    <w:rsid w:val="5A8A07CB"/>
    <w:rsid w:val="5CC85BBF"/>
    <w:rsid w:val="5DB02987"/>
    <w:rsid w:val="5EDB6B99"/>
    <w:rsid w:val="5F6048C3"/>
    <w:rsid w:val="61904F46"/>
    <w:rsid w:val="61A25DDE"/>
    <w:rsid w:val="61E80990"/>
    <w:rsid w:val="61F6229C"/>
    <w:rsid w:val="62BA0D8D"/>
    <w:rsid w:val="62E84F18"/>
    <w:rsid w:val="6343260F"/>
    <w:rsid w:val="63A22B78"/>
    <w:rsid w:val="650E6875"/>
    <w:rsid w:val="65CE67F5"/>
    <w:rsid w:val="66340AF4"/>
    <w:rsid w:val="666D6223"/>
    <w:rsid w:val="67722C8C"/>
    <w:rsid w:val="67E122F6"/>
    <w:rsid w:val="6A7F14F1"/>
    <w:rsid w:val="6B2537E8"/>
    <w:rsid w:val="6BD07BAD"/>
    <w:rsid w:val="6D19034B"/>
    <w:rsid w:val="6DB92EB5"/>
    <w:rsid w:val="6DF7490A"/>
    <w:rsid w:val="6F1C3BBB"/>
    <w:rsid w:val="6F262639"/>
    <w:rsid w:val="70BE1C09"/>
    <w:rsid w:val="71E40F3B"/>
    <w:rsid w:val="732173B9"/>
    <w:rsid w:val="74363621"/>
    <w:rsid w:val="751B6142"/>
    <w:rsid w:val="75303B1D"/>
    <w:rsid w:val="75894543"/>
    <w:rsid w:val="76A44D3C"/>
    <w:rsid w:val="76B10F9B"/>
    <w:rsid w:val="76E73A32"/>
    <w:rsid w:val="78F17E96"/>
    <w:rsid w:val="79832DAC"/>
    <w:rsid w:val="79985FC0"/>
    <w:rsid w:val="7AB62FDB"/>
    <w:rsid w:val="7CFD548F"/>
    <w:rsid w:val="7D3B38AD"/>
    <w:rsid w:val="7D89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20" w:lineRule="exact"/>
      <w:ind w:firstLine="420" w:firstLineChars="200"/>
      <w:textAlignment w:val="baseline"/>
    </w:pPr>
    <w:rPr>
      <w:rFonts w:ascii="Times New Roman" w:hAnsi="Times New Roman" w:eastAsia="仿宋_GB2312" w:cstheme="minorBidi"/>
      <w:snapToGrid w:val="0"/>
      <w:color w:val="000000"/>
      <w:sz w:val="32"/>
      <w:lang w:val="en-US" w:eastAsia="zh-CN" w:bidi="ar-SA"/>
    </w:rPr>
  </w:style>
  <w:style w:type="paragraph" w:styleId="3">
    <w:name w:val="heading 1"/>
    <w:basedOn w:val="1"/>
    <w:next w:val="1"/>
    <w:link w:val="14"/>
    <w:qFormat/>
    <w:uiPriority w:val="0"/>
    <w:pPr>
      <w:keepNext/>
      <w:keepLines/>
      <w:spacing w:before="100" w:after="100"/>
      <w:ind w:firstLine="0" w:firstLineChars="0"/>
      <w:jc w:val="center"/>
      <w:outlineLvl w:val="0"/>
    </w:pPr>
    <w:rPr>
      <w:rFonts w:eastAsia="方正小标宋简体"/>
      <w:kern w:val="44"/>
      <w:sz w:val="44"/>
    </w:rPr>
  </w:style>
  <w:style w:type="paragraph" w:styleId="4">
    <w:name w:val="heading 2"/>
    <w:basedOn w:val="1"/>
    <w:next w:val="1"/>
    <w:link w:val="13"/>
    <w:semiHidden/>
    <w:unhideWhenUsed/>
    <w:qFormat/>
    <w:uiPriority w:val="0"/>
    <w:pPr>
      <w:spacing w:before="50" w:beforeLines="50" w:after="50" w:afterLines="50"/>
      <w:ind w:firstLine="723"/>
      <w:outlineLvl w:val="1"/>
    </w:pPr>
    <w:rPr>
      <w:rFonts w:hint="eastAsia" w:eastAsia="黑体" w:cs="Times New Roman"/>
      <w:szCs w:val="36"/>
    </w:rPr>
  </w:style>
  <w:style w:type="paragraph" w:styleId="2">
    <w:name w:val="heading 3"/>
    <w:basedOn w:val="1"/>
    <w:next w:val="1"/>
    <w:link w:val="15"/>
    <w:semiHidden/>
    <w:unhideWhenUsed/>
    <w:qFormat/>
    <w:uiPriority w:val="0"/>
    <w:pPr>
      <w:keepNext/>
      <w:keepLines/>
      <w:spacing w:before="100" w:after="100"/>
      <w:ind w:firstLine="936"/>
      <w:outlineLvl w:val="2"/>
    </w:pPr>
    <w:rPr>
      <w:rFonts w:eastAsia="楷体_GB2312"/>
      <w:b/>
    </w:rPr>
  </w:style>
  <w:style w:type="paragraph" w:styleId="5">
    <w:name w:val="heading 4"/>
    <w:basedOn w:val="1"/>
    <w:next w:val="1"/>
    <w:semiHidden/>
    <w:unhideWhenUsed/>
    <w:qFormat/>
    <w:uiPriority w:val="0"/>
    <w:pPr>
      <w:keepNext/>
      <w:keepLines/>
      <w:spacing w:before="10" w:after="10"/>
      <w:outlineLvl w:val="3"/>
    </w:pPr>
    <w:rPr>
      <w:rFonts w:ascii="Arial" w:hAnsi="Arial"/>
      <w:b/>
      <w:sz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lock Text"/>
    <w:basedOn w:val="1"/>
    <w:qFormat/>
    <w:uiPriority w:val="0"/>
    <w:pPr>
      <w:spacing w:after="120"/>
      <w:ind w:left="1440" w:leftChars="700" w:right="700" w:rightChars="700"/>
    </w:pPr>
  </w:style>
  <w:style w:type="paragraph" w:styleId="8">
    <w:name w:val="Balloon Text"/>
    <w:basedOn w:val="1"/>
    <w:link w:val="17"/>
    <w:qFormat/>
    <w:uiPriority w:val="0"/>
    <w:pPr>
      <w:spacing w:line="240" w:lineRule="auto"/>
    </w:pPr>
    <w:rPr>
      <w:sz w:val="18"/>
      <w:szCs w:val="18"/>
    </w:rPr>
  </w:style>
  <w:style w:type="paragraph" w:styleId="9">
    <w:name w:val="Body Text First Indent"/>
    <w:basedOn w:val="6"/>
    <w:qFormat/>
    <w:uiPriority w:val="0"/>
    <w:pPr>
      <w:ind w:firstLine="100" w:firstLineChars="100"/>
    </w:pPr>
  </w:style>
  <w:style w:type="character" w:styleId="12">
    <w:name w:val="Hyperlink"/>
    <w:basedOn w:val="11"/>
    <w:qFormat/>
    <w:uiPriority w:val="0"/>
    <w:rPr>
      <w:color w:val="0000FF"/>
      <w:u w:val="single"/>
    </w:rPr>
  </w:style>
  <w:style w:type="character" w:customStyle="1" w:styleId="13">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4">
    <w:name w:val="标题 1 Char"/>
    <w:link w:val="3"/>
    <w:qFormat/>
    <w:uiPriority w:val="0"/>
    <w:rPr>
      <w:rFonts w:ascii="Times New Roman" w:hAnsi="Times New Roman" w:eastAsia="方正小标宋简体" w:cstheme="minorBidi"/>
      <w:kern w:val="44"/>
      <w:sz w:val="44"/>
    </w:rPr>
  </w:style>
  <w:style w:type="character" w:customStyle="1" w:styleId="15">
    <w:name w:val="标题 3 Char"/>
    <w:link w:val="2"/>
    <w:qFormat/>
    <w:uiPriority w:val="0"/>
    <w:rPr>
      <w:rFonts w:eastAsia="楷体_GB2312"/>
      <w:b/>
    </w:rPr>
  </w:style>
  <w:style w:type="paragraph" w:customStyle="1" w:styleId="16">
    <w:name w:val="文章标题"/>
    <w:basedOn w:val="3"/>
    <w:next w:val="1"/>
    <w:qFormat/>
    <w:uiPriority w:val="0"/>
    <w:pPr>
      <w:spacing w:before="200" w:after="200"/>
    </w:pPr>
  </w:style>
  <w:style w:type="character" w:customStyle="1" w:styleId="17">
    <w:name w:val="批注框文本 Char"/>
    <w:basedOn w:val="11"/>
    <w:link w:val="8"/>
    <w:qFormat/>
    <w:uiPriority w:val="0"/>
    <w:rPr>
      <w:rFonts w:eastAsia="仿宋_GB2312" w:cstheme="minorBidi"/>
      <w:snapToGrid w:val="0"/>
      <w:color w:val="000000"/>
      <w:sz w:val="18"/>
      <w:szCs w:val="18"/>
    </w:rPr>
  </w:style>
  <w:style w:type="paragraph" w:styleId="18">
    <w:name w:val="List Paragraph"/>
    <w:basedOn w:val="1"/>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206</Words>
  <Characters>1180</Characters>
  <Lines>9</Lines>
  <Paragraphs>2</Paragraphs>
  <TotalTime>0</TotalTime>
  <ScaleCrop>false</ScaleCrop>
  <LinksUpToDate>false</LinksUpToDate>
  <CharactersWithSpaces>1384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2024-10-31T17:44:00Z</dcterms:created>
  <dc:creator>Zauren</dc:creator>
  <cp:lastModifiedBy>Administrator</cp:lastModifiedBy>
  <cp:lastPrinted>2024-11-01T12:10:00Z</cp:lastPrinted>
  <dcterms:modified xsi:type="dcterms:W3CDTF">2025-03-05T02:10:41Z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A2A63F0F531A419E90B92A02E0F1F542</vt:lpwstr>
  </property>
</Properties>
</file>