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color w:val="auto"/>
          <w:lang w:val="en-US" w:eastAsia="zh-CN"/>
        </w:rPr>
      </w:pPr>
      <w:r>
        <w:rPr>
          <w:rFonts w:hint="eastAsia" w:ascii="方正小标宋_GBK" w:hAnsi="方正小标宋_GBK" w:eastAsia="方正小标宋_GBK" w:cs="方正小标宋_GBK"/>
          <w:color w:val="FF0000"/>
          <w:lang w:val="en-US" w:eastAsia="zh-CN"/>
        </w:rPr>
        <w:t xml:space="preserve">沙 湾 市 </w:t>
      </w:r>
      <w:r>
        <w:rPr>
          <w:rFonts w:hint="eastAsia" w:ascii="方正小标宋_GBK" w:hAnsi="方正小标宋_GBK" w:eastAsia="方正小标宋_GBK" w:cs="方正小标宋_GBK"/>
          <w:color w:val="auto"/>
          <w:lang w:val="en-US" w:eastAsia="zh-CN"/>
        </w:rPr>
        <w:t>政 务 服 务 中 心</w:t>
      </w:r>
    </w:p>
    <w:p>
      <w:pPr>
        <w:pStyle w:val="2"/>
        <w:keepNext/>
        <w:keepLines/>
        <w:pageBreakBefore w:val="0"/>
        <w:widowControl/>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方正小标宋_GBK" w:hAnsi="方正小标宋_GBK" w:eastAsia="方正小标宋_GBK" w:cs="方正小标宋_GBK"/>
          <w:b w:val="0"/>
          <w:bCs/>
          <w:color w:val="auto"/>
          <w:sz w:val="52"/>
          <w:szCs w:val="32"/>
          <w:lang w:val="en-US" w:eastAsia="zh-CN"/>
        </w:rPr>
      </w:pPr>
      <w:r>
        <w:rPr>
          <w:rFonts w:hint="eastAsia" w:ascii="方正小标宋_GBK" w:hAnsi="方正小标宋_GBK" w:eastAsia="方正小标宋_GBK" w:cs="方正小标宋_GBK"/>
          <w:b w:val="0"/>
          <w:bCs/>
          <w:color w:val="auto"/>
          <w:sz w:val="52"/>
          <w:szCs w:val="32"/>
          <w:lang w:val="en-US" w:eastAsia="zh-CN"/>
        </w:rPr>
        <w:t>办 事 指 南</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auto"/>
          <w:sz w:val="32"/>
          <w:szCs w:val="32"/>
          <w:lang w:val="en-US" w:eastAsia="zh-CN"/>
        </w:rPr>
        <w:t>塔城地区住房公积金管理中心</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600" w:firstLineChars="500"/>
        <w:jc w:val="both"/>
        <w:textAlignment w:val="baseline"/>
        <w:rPr>
          <w:rFonts w:hint="eastAsia" w:ascii="方正小标宋_GBK" w:hAnsi="方正小标宋_GBK" w:eastAsia="方正小标宋_GBK" w:cs="方正小标宋_GBK"/>
          <w:b w:val="0"/>
          <w:bCs w:val="0"/>
          <w:color w:val="auto"/>
          <w:sz w:val="32"/>
          <w:szCs w:val="32"/>
          <w:lang w:val="en-US" w:eastAsia="zh-CN"/>
        </w:rPr>
      </w:pPr>
      <w:r>
        <w:rPr>
          <w:rFonts w:hint="eastAsia" w:ascii="方正小标宋_GBK" w:hAnsi="方正小标宋_GBK" w:eastAsia="方正小标宋_GBK" w:cs="方正小标宋_GBK"/>
          <w:b w:val="0"/>
          <w:bCs w:val="0"/>
          <w:color w:val="FF0000"/>
          <w:sz w:val="32"/>
          <w:szCs w:val="32"/>
          <w:lang w:val="en-US" w:eastAsia="zh-CN"/>
        </w:rPr>
        <w:t>沙湾市</w:t>
      </w:r>
      <w:r>
        <w:rPr>
          <w:rFonts w:hint="eastAsia" w:ascii="方正小标宋_GBK" w:hAnsi="方正小标宋_GBK" w:eastAsia="方正小标宋_GBK" w:cs="方正小标宋_GBK"/>
          <w:b w:val="0"/>
          <w:bCs w:val="0"/>
          <w:color w:val="auto"/>
          <w:sz w:val="32"/>
          <w:szCs w:val="32"/>
          <w:lang w:val="en-US" w:eastAsia="zh-CN"/>
        </w:rPr>
        <w:t>管理部</w:t>
      </w:r>
    </w:p>
    <w:p>
      <w:pPr>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eastAsia" w:ascii="方正小标宋_GBK" w:hAnsi="方正小标宋_GBK" w:eastAsia="方正小标宋_GBK" w:cs="方正小标宋_GBK"/>
          <w:b w:val="0"/>
          <w:bCs w:val="0"/>
          <w:color w:val="auto"/>
          <w:sz w:val="36"/>
          <w:szCs w:val="21"/>
          <w:u w:val="single"/>
          <w:lang w:val="en-US" w:eastAsia="zh-CN"/>
        </w:rPr>
      </w:pPr>
      <w:r>
        <w:rPr>
          <w:rFonts w:hint="eastAsia" w:ascii="方正小标宋_GBK" w:hAnsi="方正小标宋_GBK" w:eastAsia="方正小标宋_GBK" w:cs="方正小标宋_GBK"/>
          <w:b w:val="0"/>
          <w:bCs w:val="0"/>
          <w:color w:val="auto"/>
          <w:sz w:val="36"/>
          <w:szCs w:val="21"/>
          <w:u w:val="single"/>
          <w:lang w:val="en-US" w:eastAsia="zh-CN"/>
        </w:rPr>
        <w:t xml:space="preserve">                             </w:t>
      </w:r>
    </w:p>
    <w:p>
      <w:pPr>
        <w:ind w:firstLine="1175" w:firstLineChars="300"/>
        <w:rPr>
          <w:rFonts w:hint="eastAsia" w:ascii="方正小标宋_GBK" w:hAnsi="方正小标宋_GBK" w:eastAsia="方正小标宋_GBK" w:cs="方正小标宋_GBK"/>
          <w:b w:val="0"/>
          <w:bCs w:val="0"/>
          <w:color w:val="auto"/>
          <w:sz w:val="32"/>
          <w:szCs w:val="20"/>
          <w:u w:val="none"/>
          <w:lang w:val="en-US" w:eastAsia="zh-CN"/>
        </w:rPr>
      </w:pPr>
      <w:r>
        <w:rPr>
          <w:rFonts w:hint="eastAsia" w:ascii="方正小标宋_GBK" w:hAnsi="方正小标宋_GBK" w:eastAsia="方正小标宋_GBK" w:cs="方正小标宋_GBK"/>
          <w:b/>
          <w:i w:val="0"/>
          <w:caps w:val="0"/>
          <w:color w:val="auto"/>
          <w:spacing w:val="0"/>
          <w:sz w:val="39"/>
          <w:szCs w:val="39"/>
          <w:shd w:val="clear" w:fill="FFFFFF"/>
          <w:lang w:val="en-US" w:eastAsia="zh-CN"/>
        </w:rPr>
        <w:t>建造自住住房贷款</w:t>
      </w:r>
    </w:p>
    <w:p>
      <w:pPr>
        <w:numPr>
          <w:ilvl w:val="0"/>
          <w:numId w:val="1"/>
        </w:numPr>
        <w:ind w:left="0" w:leftChars="0" w:firstLine="0" w:firstLine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受理条件</w:t>
      </w:r>
    </w:p>
    <w:p>
      <w:pPr>
        <w:numPr>
          <w:ilvl w:val="0"/>
          <w:numId w:val="0"/>
        </w:numPr>
        <w:ind w:firstLine="440" w:firstLineChars="200"/>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eastAsia="仿宋_GB2312" w:cs="仿宋_GB2312"/>
          <w:b w:val="0"/>
          <w:bCs/>
          <w:i w:val="0"/>
          <w:caps w:val="0"/>
          <w:snapToGrid w:val="0"/>
          <w:color w:val="auto"/>
          <w:spacing w:val="0"/>
          <w:sz w:val="22"/>
          <w:szCs w:val="22"/>
          <w:shd w:val="clear" w:fill="FFFFFF"/>
        </w:rPr>
        <w:t>缴存人建</w:t>
      </w:r>
      <w:r>
        <w:rPr>
          <w:rFonts w:hint="eastAsia" w:ascii="仿宋_GB2312" w:hAnsi="仿宋_GB2312" w:eastAsia="仿宋_GB2312" w:cs="仿宋_GB2312"/>
          <w:b w:val="0"/>
          <w:bCs/>
          <w:i w:val="0"/>
          <w:caps w:val="0"/>
          <w:snapToGrid w:val="0"/>
          <w:color w:val="auto"/>
          <w:spacing w:val="0"/>
          <w:sz w:val="22"/>
          <w:szCs w:val="22"/>
          <w:shd w:val="clear" w:fill="FFFFFF"/>
          <w:lang w:eastAsia="zh-CN"/>
        </w:rPr>
        <w:t>造</w:t>
      </w:r>
      <w:r>
        <w:rPr>
          <w:rFonts w:hint="eastAsia" w:ascii="仿宋_GB2312" w:hAnsi="仿宋_GB2312" w:eastAsia="仿宋_GB2312" w:cs="仿宋_GB2312"/>
          <w:b w:val="0"/>
          <w:bCs/>
          <w:i w:val="0"/>
          <w:caps w:val="0"/>
          <w:snapToGrid w:val="0"/>
          <w:color w:val="auto"/>
          <w:spacing w:val="0"/>
          <w:sz w:val="22"/>
          <w:szCs w:val="22"/>
          <w:shd w:val="clear" w:fill="FFFFFF"/>
        </w:rPr>
        <w:t>自住住房，向住房公积金管理中心申请住房公积金个人住房贷款。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eastAsia="zh-CN"/>
        </w:rPr>
      </w:pPr>
      <w:r>
        <w:rPr>
          <w:rFonts w:hint="eastAsia" w:ascii="仿宋_GB2312" w:hAnsi="仿宋_GB2312" w:cs="仿宋_GB2312"/>
          <w:b w:val="0"/>
          <w:bCs/>
          <w:i w:val="0"/>
          <w:caps w:val="0"/>
          <w:snapToGrid w:val="0"/>
          <w:color w:val="auto"/>
          <w:spacing w:val="0"/>
          <w:sz w:val="22"/>
          <w:szCs w:val="22"/>
          <w:shd w:val="clear" w:fill="FFFFFF"/>
          <w:lang w:val="en-US" w:eastAsia="zh-CN"/>
        </w:rPr>
        <w:t>1.</w:t>
      </w:r>
      <w:r>
        <w:rPr>
          <w:rFonts w:hint="eastAsia" w:ascii="仿宋_GB2312" w:hAnsi="仿宋_GB2312" w:eastAsia="仿宋_GB2312" w:cs="仿宋_GB2312"/>
          <w:b w:val="0"/>
          <w:bCs/>
          <w:i w:val="0"/>
          <w:caps w:val="0"/>
          <w:snapToGrid w:val="0"/>
          <w:color w:val="auto"/>
          <w:spacing w:val="0"/>
          <w:sz w:val="22"/>
          <w:szCs w:val="22"/>
          <w:shd w:val="clear" w:fill="FFFFFF"/>
        </w:rPr>
        <w:t>具有完全民事行为能力，信用良好、收入稳定，有偿还贷款本息的能力</w:t>
      </w:r>
      <w:r>
        <w:rPr>
          <w:rFonts w:hint="eastAsia" w:ascii="仿宋_GB2312" w:hAnsi="仿宋_GB2312" w:eastAsia="仿宋_GB2312" w:cs="仿宋_GB2312"/>
          <w:b w:val="0"/>
          <w:bCs/>
          <w:i w:val="0"/>
          <w:caps w:val="0"/>
          <w:snapToGrid w:val="0"/>
          <w:color w:val="auto"/>
          <w:spacing w:val="0"/>
          <w:sz w:val="22"/>
          <w:szCs w:val="22"/>
          <w:shd w:val="clear" w:fill="FFFFFF"/>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2</w:t>
      </w:r>
      <w:r>
        <w:rPr>
          <w:rFonts w:hint="eastAsia" w:ascii="仿宋_GB2312" w:hAnsi="仿宋_GB2312" w:eastAsia="仿宋_GB2312" w:cs="仿宋_GB2312"/>
          <w:b w:val="0"/>
          <w:bCs/>
          <w:i w:val="0"/>
          <w:caps w:val="0"/>
          <w:snapToGrid w:val="0"/>
          <w:color w:val="auto"/>
          <w:spacing w:val="0"/>
          <w:sz w:val="22"/>
          <w:szCs w:val="22"/>
          <w:shd w:val="clear" w:fill="FFFFFF"/>
        </w:rPr>
        <w:t>.至少在申请贷款前6个月连续逐月足额正常缴存住房公积金，异地缴存时间应合并计算。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3</w:t>
      </w:r>
      <w:r>
        <w:rPr>
          <w:rFonts w:hint="eastAsia" w:ascii="仿宋_GB2312" w:hAnsi="仿宋_GB2312" w:eastAsia="仿宋_GB2312" w:cs="仿宋_GB2312"/>
          <w:b w:val="0"/>
          <w:bCs/>
          <w:i w:val="0"/>
          <w:caps w:val="0"/>
          <w:snapToGrid w:val="0"/>
          <w:color w:val="auto"/>
          <w:spacing w:val="0"/>
          <w:sz w:val="22"/>
          <w:szCs w:val="22"/>
          <w:shd w:val="clear" w:fill="FFFFFF"/>
        </w:rPr>
        <w:t>.借款申请人为购房人。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4</w:t>
      </w:r>
      <w:r>
        <w:rPr>
          <w:rFonts w:hint="eastAsia" w:ascii="仿宋_GB2312" w:hAnsi="仿宋_GB2312" w:eastAsia="仿宋_GB2312" w:cs="仿宋_GB2312"/>
          <w:b w:val="0"/>
          <w:bCs/>
          <w:i w:val="0"/>
          <w:caps w:val="0"/>
          <w:snapToGrid w:val="0"/>
          <w:color w:val="auto"/>
          <w:spacing w:val="0"/>
          <w:sz w:val="22"/>
          <w:szCs w:val="22"/>
          <w:shd w:val="clear" w:fill="FFFFFF"/>
        </w:rPr>
        <w:t>.没有尚未还清的数额较大、可能影响贷款偿还能力的债务。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5</w:t>
      </w:r>
      <w:r>
        <w:rPr>
          <w:rFonts w:hint="eastAsia" w:ascii="仿宋_GB2312" w:hAnsi="仿宋_GB2312" w:eastAsia="仿宋_GB2312" w:cs="仿宋_GB2312"/>
          <w:b w:val="0"/>
          <w:bCs/>
          <w:i w:val="0"/>
          <w:caps w:val="0"/>
          <w:snapToGrid w:val="0"/>
          <w:color w:val="auto"/>
          <w:spacing w:val="0"/>
          <w:sz w:val="22"/>
          <w:szCs w:val="22"/>
          <w:shd w:val="clear" w:fill="FFFFFF"/>
        </w:rPr>
        <w:t>.未超过法定退休年龄。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6</w:t>
      </w:r>
      <w:r>
        <w:rPr>
          <w:rFonts w:hint="eastAsia" w:ascii="仿宋_GB2312" w:hAnsi="仿宋_GB2312" w:eastAsia="仿宋_GB2312" w:cs="仿宋_GB2312"/>
          <w:b w:val="0"/>
          <w:bCs/>
          <w:i w:val="0"/>
          <w:caps w:val="0"/>
          <w:snapToGrid w:val="0"/>
          <w:color w:val="auto"/>
          <w:spacing w:val="0"/>
          <w:sz w:val="22"/>
          <w:szCs w:val="22"/>
          <w:shd w:val="clear" w:fill="FFFFFF"/>
        </w:rPr>
        <w:t>.有合法的建造住房合同、协议以及有关部门批准的证明文件。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7</w:t>
      </w:r>
      <w:r>
        <w:rPr>
          <w:rFonts w:hint="eastAsia" w:ascii="仿宋_GB2312" w:hAnsi="仿宋_GB2312" w:eastAsia="仿宋_GB2312" w:cs="仿宋_GB2312"/>
          <w:b w:val="0"/>
          <w:bCs/>
          <w:i w:val="0"/>
          <w:caps w:val="0"/>
          <w:snapToGrid w:val="0"/>
          <w:color w:val="auto"/>
          <w:spacing w:val="0"/>
          <w:sz w:val="22"/>
          <w:szCs w:val="22"/>
          <w:shd w:val="clear" w:fill="FFFFFF"/>
        </w:rPr>
        <w:t>.建造住房的，应已支付不低于建造住房所需费用规定比例的首期付款或自筹资金。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8</w:t>
      </w:r>
      <w:r>
        <w:rPr>
          <w:rFonts w:hint="eastAsia" w:ascii="仿宋_GB2312" w:hAnsi="仿宋_GB2312" w:eastAsia="仿宋_GB2312" w:cs="仿宋_GB2312"/>
          <w:b w:val="0"/>
          <w:bCs/>
          <w:i w:val="0"/>
          <w:caps w:val="0"/>
          <w:snapToGrid w:val="0"/>
          <w:color w:val="auto"/>
          <w:spacing w:val="0"/>
          <w:sz w:val="22"/>
          <w:szCs w:val="22"/>
          <w:shd w:val="clear" w:fill="FFFFFF"/>
        </w:rPr>
        <w:t>.建造普通自住住房原则上在建设行政主管部门批准之日起一年内提出申请。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rPr>
      </w:pPr>
      <w:r>
        <w:rPr>
          <w:rFonts w:hint="eastAsia" w:ascii="仿宋_GB2312" w:hAnsi="仿宋_GB2312" w:cs="仿宋_GB2312"/>
          <w:b w:val="0"/>
          <w:bCs/>
          <w:i w:val="0"/>
          <w:caps w:val="0"/>
          <w:snapToGrid w:val="0"/>
          <w:color w:val="auto"/>
          <w:spacing w:val="0"/>
          <w:sz w:val="22"/>
          <w:szCs w:val="22"/>
          <w:shd w:val="clear" w:fill="FFFFFF"/>
          <w:lang w:val="en-US" w:eastAsia="zh-CN"/>
        </w:rPr>
        <w:t>9.</w:t>
      </w:r>
      <w:r>
        <w:rPr>
          <w:rFonts w:hint="eastAsia" w:ascii="仿宋_GB2312" w:hAnsi="仿宋_GB2312" w:eastAsia="仿宋_GB2312" w:cs="仿宋_GB2312"/>
          <w:b w:val="0"/>
          <w:bCs/>
          <w:i w:val="0"/>
          <w:caps w:val="0"/>
          <w:snapToGrid w:val="0"/>
          <w:color w:val="auto"/>
          <w:spacing w:val="0"/>
          <w:sz w:val="22"/>
          <w:szCs w:val="22"/>
          <w:shd w:val="clear" w:fill="FFFFFF"/>
        </w:rPr>
        <w:t>具有管理中心认可的担保方式，同意管理中心规定的贷款偿还方式。</w:t>
      </w:r>
    </w:p>
    <w:p>
      <w:pPr>
        <w:pStyle w:val="2"/>
        <w:numPr>
          <w:ilvl w:val="0"/>
          <w:numId w:val="0"/>
        </w:numPr>
        <w:ind w:firstLine="440" w:firstLineChars="200"/>
        <w:rPr>
          <w:rFonts w:hint="eastAsia"/>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rPr>
        <w:t>1</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0</w:t>
      </w:r>
      <w:r>
        <w:rPr>
          <w:rFonts w:hint="eastAsia" w:ascii="仿宋_GB2312" w:hAnsi="仿宋_GB2312" w:eastAsia="仿宋_GB2312" w:cs="仿宋_GB2312"/>
          <w:b w:val="0"/>
          <w:bCs/>
          <w:i w:val="0"/>
          <w:caps w:val="0"/>
          <w:snapToGrid w:val="0"/>
          <w:color w:val="auto"/>
          <w:spacing w:val="0"/>
          <w:sz w:val="22"/>
          <w:szCs w:val="22"/>
          <w:shd w:val="clear" w:fill="FFFFFF"/>
        </w:rPr>
        <w:t>.自结清首次住房公积金个人住房贷款的次月起，可再次申请住房公积金个人住房贷款。</w:t>
      </w:r>
    </w:p>
    <w:p>
      <w:pPr>
        <w:pStyle w:val="2"/>
        <w:numPr>
          <w:ilvl w:val="0"/>
          <w:numId w:val="0"/>
        </w:numPr>
        <w:rPr>
          <w:rFonts w:hint="eastAsia"/>
          <w:lang w:val="en-US" w:eastAsia="zh-CN"/>
        </w:rPr>
      </w:pPr>
    </w:p>
    <w:p>
      <w:pPr>
        <w:numPr>
          <w:ilvl w:val="0"/>
          <w:numId w:val="1"/>
        </w:numPr>
        <w:ind w:left="0" w:leftChars="0" w:firstLine="0" w:firstLine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办理材料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1.借款人夫妻双方身份证原件</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2.婚姻状况证明原件</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3.借款人工资卡原件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4.</w:t>
      </w:r>
      <w:r>
        <w:rPr>
          <w:rFonts w:hint="eastAsia" w:ascii="仿宋_GB2312" w:hAnsi="仿宋_GB2312" w:eastAsia="仿宋_GB2312" w:cs="仿宋_GB2312"/>
          <w:b w:val="0"/>
          <w:bCs/>
          <w:i w:val="0"/>
          <w:caps w:val="0"/>
          <w:snapToGrid w:val="0"/>
          <w:color w:val="auto"/>
          <w:spacing w:val="0"/>
          <w:sz w:val="22"/>
          <w:szCs w:val="22"/>
          <w:shd w:val="clear" w:fill="FFFFFF"/>
        </w:rPr>
        <w:t>在异地管理中心缴存的借款人</w:t>
      </w:r>
      <w:r>
        <w:rPr>
          <w:rFonts w:hint="eastAsia" w:ascii="仿宋_GB2312" w:hAnsi="仿宋_GB2312" w:eastAsia="仿宋_GB2312" w:cs="仿宋_GB2312"/>
          <w:b w:val="0"/>
          <w:bCs/>
          <w:i w:val="0"/>
          <w:caps w:val="0"/>
          <w:snapToGrid w:val="0"/>
          <w:color w:val="auto"/>
          <w:spacing w:val="0"/>
          <w:sz w:val="22"/>
          <w:szCs w:val="22"/>
          <w:shd w:val="clear" w:fill="FFFFFF"/>
          <w:lang w:eastAsia="zh-CN"/>
        </w:rPr>
        <w:t>或借款人</w:t>
      </w:r>
      <w:r>
        <w:rPr>
          <w:rFonts w:hint="eastAsia" w:ascii="仿宋_GB2312" w:hAnsi="仿宋_GB2312" w:eastAsia="仿宋_GB2312" w:cs="仿宋_GB2312"/>
          <w:b w:val="0"/>
          <w:bCs/>
          <w:i w:val="0"/>
          <w:caps w:val="0"/>
          <w:snapToGrid w:val="0"/>
          <w:color w:val="auto"/>
          <w:spacing w:val="0"/>
          <w:sz w:val="22"/>
          <w:szCs w:val="22"/>
          <w:shd w:val="clear" w:fill="FFFFFF"/>
        </w:rPr>
        <w:t>配偶应提供近6个月缴存流水</w:t>
      </w:r>
      <w:r>
        <w:rPr>
          <w:rFonts w:hint="eastAsia" w:ascii="仿宋_GB2312" w:hAnsi="仿宋_GB2312" w:eastAsia="仿宋_GB2312" w:cs="仿宋_GB2312"/>
          <w:b w:val="0"/>
          <w:bCs/>
          <w:i w:val="0"/>
          <w:caps w:val="0"/>
          <w:snapToGrid w:val="0"/>
          <w:color w:val="auto"/>
          <w:spacing w:val="0"/>
          <w:sz w:val="22"/>
          <w:szCs w:val="22"/>
          <w:shd w:val="clear" w:fill="FFFFFF"/>
          <w:lang w:eastAsia="zh-CN"/>
        </w:rPr>
        <w:t>和</w:t>
      </w:r>
      <w:r>
        <w:rPr>
          <w:rFonts w:hint="eastAsia" w:ascii="仿宋_GB2312" w:hAnsi="仿宋_GB2312" w:eastAsia="仿宋_GB2312" w:cs="仿宋_GB2312"/>
          <w:b w:val="0"/>
          <w:bCs/>
          <w:i w:val="0"/>
          <w:caps w:val="0"/>
          <w:snapToGrid w:val="0"/>
          <w:color w:val="auto"/>
          <w:spacing w:val="0"/>
          <w:sz w:val="22"/>
          <w:szCs w:val="22"/>
          <w:shd w:val="clear" w:fill="FFFFFF"/>
        </w:rPr>
        <w:t>异地贷款</w:t>
      </w:r>
      <w:r>
        <w:rPr>
          <w:rFonts w:hint="eastAsia" w:ascii="仿宋_GB2312" w:hAnsi="仿宋_GB2312" w:cs="仿宋_GB2312"/>
          <w:color w:val="auto"/>
          <w:spacing w:val="6"/>
          <w:sz w:val="22"/>
          <w:szCs w:val="22"/>
          <w:highlight w:val="none"/>
          <w:lang w:eastAsia="zh-CN"/>
        </w:rPr>
        <w:t>情况</w:t>
      </w:r>
      <w:r>
        <w:rPr>
          <w:rFonts w:hint="eastAsia" w:ascii="仿宋_GB2312" w:hAnsi="仿宋_GB2312" w:eastAsia="仿宋_GB2312" w:cs="仿宋_GB2312"/>
          <w:b w:val="0"/>
          <w:bCs/>
          <w:i w:val="0"/>
          <w:caps w:val="0"/>
          <w:snapToGrid w:val="0"/>
          <w:color w:val="auto"/>
          <w:spacing w:val="0"/>
          <w:sz w:val="22"/>
          <w:szCs w:val="22"/>
          <w:shd w:val="clear" w:fill="FFFFFF"/>
        </w:rPr>
        <w:t>证明</w:t>
      </w:r>
      <w:r>
        <w:rPr>
          <w:rFonts w:hint="eastAsia" w:ascii="仿宋_GB2312" w:hAnsi="仿宋_GB2312" w:eastAsia="仿宋_GB2312" w:cs="仿宋_GB2312"/>
          <w:b w:val="0"/>
          <w:bCs/>
          <w:i w:val="0"/>
          <w:caps w:val="0"/>
          <w:snapToGrid w:val="0"/>
          <w:color w:val="auto"/>
          <w:spacing w:val="0"/>
          <w:sz w:val="22"/>
          <w:szCs w:val="22"/>
          <w:shd w:val="clear" w:fill="FFFFFF"/>
          <w:lang w:eastAsia="zh-CN"/>
        </w:rPr>
        <w:t>，</w:t>
      </w:r>
      <w:r>
        <w:rPr>
          <w:rFonts w:hint="eastAsia" w:ascii="仿宋_GB2312" w:hAnsi="仿宋_GB2312" w:eastAsia="仿宋_GB2312" w:cs="仿宋_GB2312"/>
          <w:b w:val="0"/>
          <w:bCs/>
          <w:i w:val="0"/>
          <w:caps w:val="0"/>
          <w:snapToGrid w:val="0"/>
          <w:color w:val="auto"/>
          <w:spacing w:val="0"/>
          <w:sz w:val="22"/>
          <w:szCs w:val="22"/>
          <w:shd w:val="clear" w:fill="FFFFFF"/>
        </w:rPr>
        <w:t>通过</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公积金综合业务系统能够</w:t>
      </w:r>
      <w:r>
        <w:rPr>
          <w:rFonts w:hint="eastAsia" w:ascii="仿宋_GB2312" w:hAnsi="仿宋_GB2312" w:eastAsia="仿宋_GB2312" w:cs="仿宋_GB2312"/>
          <w:b w:val="0"/>
          <w:bCs/>
          <w:i w:val="0"/>
          <w:caps w:val="0"/>
          <w:snapToGrid w:val="0"/>
          <w:color w:val="auto"/>
          <w:spacing w:val="0"/>
          <w:sz w:val="22"/>
          <w:szCs w:val="22"/>
          <w:shd w:val="clear" w:fill="FFFFFF"/>
        </w:rPr>
        <w:t>直接查询到的可不提供；</w:t>
      </w:r>
      <w:r>
        <w:rPr>
          <w:rFonts w:hint="eastAsia" w:ascii="仿宋_GB2312" w:hAnsi="仿宋_GB2312" w:eastAsia="仿宋_GB2312" w:cs="仿宋_GB2312"/>
          <w:b w:val="0"/>
          <w:bCs/>
          <w:i w:val="0"/>
          <w:caps w:val="0"/>
          <w:snapToGrid w:val="0"/>
          <w:color w:val="auto"/>
          <w:spacing w:val="0"/>
          <w:sz w:val="22"/>
          <w:szCs w:val="22"/>
          <w:shd w:val="clear" w:fill="FFFFFF"/>
          <w:lang w:eastAsia="zh-CN"/>
        </w:rPr>
        <w:t>借款人</w:t>
      </w:r>
      <w:r>
        <w:rPr>
          <w:rFonts w:hint="eastAsia" w:ascii="仿宋_GB2312" w:hAnsi="仿宋_GB2312" w:eastAsia="仿宋_GB2312" w:cs="仿宋_GB2312"/>
          <w:b w:val="0"/>
          <w:bCs/>
          <w:i w:val="0"/>
          <w:caps w:val="0"/>
          <w:snapToGrid w:val="0"/>
          <w:color w:val="auto"/>
          <w:spacing w:val="0"/>
          <w:sz w:val="22"/>
          <w:szCs w:val="22"/>
          <w:shd w:val="clear" w:fill="FFFFFF"/>
        </w:rPr>
        <w:t>配偶未缴存住房公积金的，</w:t>
      </w:r>
      <w:r>
        <w:rPr>
          <w:rFonts w:hint="eastAsia" w:ascii="仿宋_GB2312" w:hAnsi="仿宋_GB2312" w:eastAsia="仿宋_GB2312" w:cs="仿宋_GB2312"/>
          <w:b w:val="0"/>
          <w:bCs/>
          <w:i w:val="0"/>
          <w:caps w:val="0"/>
          <w:snapToGrid w:val="0"/>
          <w:color w:val="auto"/>
          <w:spacing w:val="0"/>
          <w:sz w:val="22"/>
          <w:szCs w:val="22"/>
          <w:shd w:val="clear" w:fill="FFFFFF"/>
          <w:lang w:eastAsia="zh-CN"/>
        </w:rPr>
        <w:t>提供能够反映其真实收入的有效证明材料</w:t>
      </w:r>
      <w:r>
        <w:rPr>
          <w:rFonts w:hint="eastAsia" w:ascii="仿宋_GB2312" w:hAnsi="仿宋_GB2312" w:cs="仿宋_GB2312"/>
          <w:b w:val="0"/>
          <w:bCs/>
          <w:i w:val="0"/>
          <w:caps w:val="0"/>
          <w:snapToGrid w:val="0"/>
          <w:color w:val="auto"/>
          <w:spacing w:val="0"/>
          <w:sz w:val="22"/>
          <w:szCs w:val="22"/>
          <w:shd w:val="clear" w:fill="FFFFFF"/>
          <w:lang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5.国有土地建造、翻建住房资料:房屋主体完工后，提供建设工程规划许可证、工程（预）决算报告原件及复印件，（当地县（市）建设或土地行政主管部门另有规定的从其规定）</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6.集体土地建造、翻建住房资料:房屋主体完工后，提供当地村委会批准建房的证明、乡村建设规划许可证、工程（预）决算报告原件及复印件，（当地县（市）建设或土地行政主管部门另有规定的从其规定）</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7.本地抵押房产不动产权证书原件及复印件，用第三人房产抵押，还需提供抵押人及配偶身份证、结婚证原件;抵押房产评估报告原件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40" w:firstLineChars="20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8.建造自住住房施工方出具的收款收据原件</w:t>
      </w:r>
      <w:r>
        <w:rPr>
          <w:rFonts w:hint="eastAsia" w:ascii="仿宋_GB2312" w:hAnsi="仿宋_GB2312" w:cs="仿宋_GB2312"/>
          <w:b w:val="0"/>
          <w:bCs/>
          <w:i w:val="0"/>
          <w:caps w:val="0"/>
          <w:snapToGrid w:val="0"/>
          <w:color w:val="auto"/>
          <w:spacing w:val="0"/>
          <w:sz w:val="22"/>
          <w:szCs w:val="22"/>
          <w:shd w:val="clear" w:fill="FFFFFF"/>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435" w:leftChars="136" w:firstLine="0" w:firstLineChars="0"/>
        <w:textAlignment w:val="baseline"/>
        <w:rPr>
          <w:rFonts w:hint="eastAsia" w:ascii="仿宋_GB2312" w:hAnsi="仿宋_GB2312" w:eastAsia="仿宋_GB2312" w:cs="仿宋_GB2312"/>
          <w:b w:val="0"/>
          <w:bCs/>
          <w:i w:val="0"/>
          <w:caps w:val="0"/>
          <w:snapToGrid w:val="0"/>
          <w:color w:val="auto"/>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9.借款人及配偶近一个月内的个人征信报告</w:t>
      </w:r>
      <w:r>
        <w:rPr>
          <w:rFonts w:hint="eastAsia" w:ascii="仿宋_GB2312" w:hAnsi="仿宋_GB2312" w:cs="仿宋_GB2312"/>
          <w:b w:val="0"/>
          <w:bCs/>
          <w:i w:val="0"/>
          <w:caps w:val="0"/>
          <w:snapToGrid w:val="0"/>
          <w:color w:val="auto"/>
          <w:spacing w:val="0"/>
          <w:sz w:val="22"/>
          <w:szCs w:val="22"/>
          <w:shd w:val="clear" w:fill="FFFFFF"/>
          <w:lang w:val="en-US" w:eastAsia="zh-CN"/>
        </w:rPr>
        <w:t>。</w:t>
      </w:r>
      <w:r>
        <w:rPr>
          <w:rFonts w:hint="eastAsia" w:ascii="仿宋_GB2312" w:hAnsi="仿宋_GB2312" w:eastAsia="仿宋_GB2312" w:cs="仿宋_GB2312"/>
          <w:b w:val="0"/>
          <w:bCs/>
          <w:i w:val="0"/>
          <w:caps w:val="0"/>
          <w:snapToGrid w:val="0"/>
          <w:color w:val="auto"/>
          <w:spacing w:val="0"/>
          <w:sz w:val="22"/>
          <w:szCs w:val="22"/>
          <w:shd w:val="clear" w:fill="FFFFFF"/>
          <w:lang w:val="en-US" w:eastAsia="zh-CN"/>
        </w:rPr>
        <w:t xml:space="preserve">                                                                                                                                 10.住房公积金中心要求提供的其他资料。</w:t>
      </w:r>
    </w:p>
    <w:p>
      <w:pPr>
        <w:pStyle w:val="2"/>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三、办理方式</w:t>
      </w:r>
    </w:p>
    <w:p>
      <w:pPr>
        <w:numPr>
          <w:ilvl w:val="0"/>
          <w:numId w:val="0"/>
        </w:numPr>
        <w:ind w:leftChars="0" w:firstLine="220" w:firstLineChars="100"/>
        <w:rPr>
          <w:rFonts w:hint="eastAsia" w:ascii="仿宋_GB2312" w:hAnsi="仿宋_GB2312" w:eastAsia="仿宋_GB2312" w:cs="仿宋_GB2312"/>
          <w:i w:val="0"/>
          <w:caps w:val="0"/>
          <w:color w:val="333333"/>
          <w:spacing w:val="0"/>
          <w:sz w:val="22"/>
          <w:szCs w:val="22"/>
          <w:shd w:val="clear" w:fill="FFFFFF"/>
        </w:rPr>
      </w:pPr>
      <w:r>
        <w:rPr>
          <w:rFonts w:hint="eastAsia" w:ascii="仿宋_GB2312" w:hAnsi="仿宋_GB2312" w:eastAsia="仿宋_GB2312" w:cs="仿宋_GB2312"/>
          <w:i w:val="0"/>
          <w:caps w:val="0"/>
          <w:color w:val="auto"/>
          <w:spacing w:val="0"/>
          <w:sz w:val="22"/>
          <w:szCs w:val="22"/>
          <w:shd w:val="clear" w:fill="FFFFFF"/>
        </w:rPr>
        <w:t>窗口办理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auto"/>
          <w:spacing w:val="0"/>
          <w:sz w:val="22"/>
          <w:szCs w:val="22"/>
          <w:shd w:val="clear" w:fill="FFFFFF"/>
        </w:rPr>
        <w:t>网上办理</w:t>
      </w:r>
      <w:r>
        <w:rPr>
          <w:rFonts w:hint="eastAsia" w:ascii="仿宋_GB2312" w:hAnsi="仿宋_GB2312" w:cs="仿宋_GB2312"/>
          <w:i w:val="0"/>
          <w:caps w:val="0"/>
          <w:color w:val="auto"/>
          <w:spacing w:val="0"/>
          <w:sz w:val="22"/>
          <w:szCs w:val="22"/>
          <w:shd w:val="clear" w:fill="FFFFFF"/>
          <w:lang w:eastAsia="zh-CN"/>
        </w:rPr>
        <w:t>、</w:t>
      </w:r>
      <w:r>
        <w:rPr>
          <w:rFonts w:hint="eastAsia" w:ascii="仿宋_GB2312" w:hAnsi="仿宋_GB2312" w:eastAsia="仿宋_GB2312" w:cs="仿宋_GB2312"/>
          <w:i w:val="0"/>
          <w:caps w:val="0"/>
          <w:color w:val="333333"/>
          <w:spacing w:val="0"/>
          <w:sz w:val="22"/>
          <w:szCs w:val="22"/>
          <w:shd w:val="clear" w:fill="FFFFFF"/>
        </w:rPr>
        <w:t>快递申请</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四、办理时限</w:t>
      </w:r>
    </w:p>
    <w:p>
      <w:pPr>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法定时限：15</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pStyle w:val="2"/>
        <w:ind w:left="0" w:leftChars="0" w:firstLine="440" w:firstLineChars="200"/>
        <w:rPr>
          <w:rFonts w:hint="eastAsia" w:ascii="仿宋_GB2312" w:hAnsi="仿宋_GB2312" w:eastAsia="仿宋_GB2312" w:cs="仿宋_GB2312"/>
          <w:b w:val="0"/>
          <w:bCs w:val="0"/>
          <w:color w:val="auto"/>
          <w:sz w:val="22"/>
          <w:szCs w:val="22"/>
          <w:u w:val="none"/>
          <w:lang w:val="en-US" w:eastAsia="zh-CN"/>
        </w:rPr>
      </w:pPr>
      <w:r>
        <w:rPr>
          <w:rFonts w:hint="eastAsia" w:ascii="仿宋_GB2312" w:hAnsi="仿宋_GB2312" w:eastAsia="仿宋_GB2312" w:cs="仿宋_GB2312"/>
          <w:b w:val="0"/>
          <w:bCs w:val="0"/>
          <w:color w:val="auto"/>
          <w:sz w:val="22"/>
          <w:szCs w:val="22"/>
          <w:u w:val="none"/>
          <w:lang w:val="en-US" w:eastAsia="zh-CN"/>
        </w:rPr>
        <w:t xml:space="preserve">承诺时间：8 </w:t>
      </w:r>
      <w:r>
        <w:rPr>
          <w:rFonts w:hint="eastAsia" w:ascii="仿宋_GB2312" w:hAnsi="仿宋_GB2312" w:cs="仿宋_GB2312"/>
          <w:b w:val="0"/>
          <w:bCs/>
          <w:i w:val="0"/>
          <w:caps w:val="0"/>
          <w:snapToGrid w:val="0"/>
          <w:color w:val="FF0000"/>
          <w:spacing w:val="6"/>
          <w:sz w:val="22"/>
          <w:szCs w:val="22"/>
          <w:shd w:val="clear" w:fill="FFFFFF"/>
          <w:lang w:val="en-US" w:eastAsia="zh-CN"/>
        </w:rPr>
        <w:t>（工作日）</w:t>
      </w:r>
    </w:p>
    <w:p>
      <w:pPr>
        <w:numPr>
          <w:ilvl w:val="0"/>
          <w:numId w:val="0"/>
        </w:numPr>
        <w:ind w:leftChars="0"/>
        <w:rPr>
          <w:rFonts w:hint="eastAsia" w:ascii="仿宋_GB2312" w:hAnsi="仿宋_GB2312" w:eastAsia="仿宋_GB2312" w:cs="仿宋_GB2312"/>
          <w:b/>
          <w:bCs/>
          <w:snapToGrid w:val="0"/>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五、收费依据及标准</w:t>
      </w:r>
    </w:p>
    <w:p>
      <w:pPr>
        <w:pStyle w:val="2"/>
        <w:numPr>
          <w:ilvl w:val="0"/>
          <w:numId w:val="0"/>
        </w:numPr>
        <w:ind w:firstLine="440" w:firstLineChars="200"/>
        <w:rPr>
          <w:rFonts w:hint="eastAsia" w:ascii="仿宋_GB2312" w:hAnsi="仿宋_GB2312" w:eastAsia="仿宋_GB2312" w:cs="仿宋_GB2312"/>
          <w:b w:val="0"/>
          <w:bCs/>
          <w:color w:val="auto"/>
          <w:sz w:val="22"/>
          <w:szCs w:val="22"/>
          <w:lang w:val="en-US" w:eastAsia="zh-CN"/>
        </w:rPr>
      </w:pPr>
      <w:r>
        <w:rPr>
          <w:rFonts w:hint="eastAsia" w:ascii="仿宋_GB2312" w:hAnsi="仿宋_GB2312" w:eastAsia="仿宋_GB2312" w:cs="仿宋_GB2312"/>
          <w:b w:val="0"/>
          <w:bCs/>
          <w:color w:val="auto"/>
          <w:sz w:val="22"/>
          <w:szCs w:val="22"/>
          <w:lang w:val="en-US" w:eastAsia="zh-CN"/>
        </w:rPr>
        <w:t>不收费</w:t>
      </w:r>
    </w:p>
    <w:p>
      <w:pPr>
        <w:rPr>
          <w:rFonts w:hint="eastAsia" w:ascii="仿宋_GB2312" w:hAnsi="仿宋_GB2312" w:eastAsia="仿宋_GB2312" w:cs="仿宋_GB2312"/>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六、办事时间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周一至周五 双休日及法定节假日除外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夏季</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10:00至14:00</w:t>
      </w:r>
      <w:r>
        <w:rPr>
          <w:rFonts w:hint="eastAsia" w:ascii="仿宋_GB2312" w:hAnsi="仿宋_GB2312" w:cs="仿宋_GB2312"/>
          <w:b w:val="0"/>
          <w:bCs/>
          <w:i w:val="0"/>
          <w:caps w:val="0"/>
          <w:snapToGrid w:val="0"/>
          <w:color w:val="333333"/>
          <w:spacing w:val="6"/>
          <w:sz w:val="22"/>
          <w:szCs w:val="22"/>
          <w:shd w:val="clear" w:fill="FFFFFF"/>
          <w:lang w:val="en-US" w:eastAsia="zh-CN"/>
        </w:rPr>
        <w:t xml:space="preserve"> ;</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16:00至20:00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冬季</w:t>
      </w:r>
      <w:r>
        <w:rPr>
          <w:rFonts w:hint="eastAsia" w:ascii="仿宋_GB2312" w:hAnsi="仿宋_GB2312" w:cs="仿宋_GB2312"/>
          <w:b w:val="0"/>
          <w:bCs/>
          <w:i w:val="0"/>
          <w:caps w:val="0"/>
          <w:snapToGrid w:val="0"/>
          <w:color w:val="333333"/>
          <w:spacing w:val="6"/>
          <w:sz w:val="22"/>
          <w:szCs w:val="22"/>
          <w:shd w:val="clear" w:fill="FFFFFF"/>
          <w:lang w:val="en-US" w:eastAsia="zh-CN"/>
        </w:rPr>
        <w:t>：</w:t>
      </w:r>
      <w:bookmarkStart w:id="0" w:name="_GoBack"/>
      <w:bookmarkEnd w:id="0"/>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10:00至14:00 </w:t>
      </w:r>
      <w:r>
        <w:rPr>
          <w:rFonts w:hint="eastAsia" w:ascii="仿宋_GB2312" w:hAnsi="仿宋_GB2312" w:cs="仿宋_GB2312"/>
          <w:b w:val="0"/>
          <w:bCs/>
          <w:i w:val="0"/>
          <w:caps w:val="0"/>
          <w:snapToGrid w:val="0"/>
          <w:color w:val="333333"/>
          <w:spacing w:val="6"/>
          <w:sz w:val="22"/>
          <w:szCs w:val="22"/>
          <w:shd w:val="clear" w:fill="FFFFFF"/>
          <w:lang w:val="en-US" w:eastAsia="zh-CN"/>
        </w:rPr>
        <w:t>;</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16:00至20:00</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七、办理机构及地点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办理机构：塔城地区住房公积金管理中心</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市管理部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办理地点：新疆维吾尔自治区塔城地区</w:t>
      </w:r>
      <w:r>
        <w:rPr>
          <w:rFonts w:hint="eastAsia" w:ascii="仿宋_GB2312" w:hAnsi="仿宋_GB2312" w:cs="仿宋_GB2312"/>
          <w:b w:val="0"/>
          <w:bCs/>
          <w:i w:val="0"/>
          <w:caps w:val="0"/>
          <w:snapToGrid w:val="0"/>
          <w:color w:val="FF0000"/>
          <w:spacing w:val="6"/>
          <w:sz w:val="22"/>
          <w:szCs w:val="22"/>
          <w:shd w:val="clear" w:fill="FFFFFF"/>
          <w:lang w:val="en-US" w:eastAsia="zh-CN"/>
        </w:rPr>
        <w:t>沙湾</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市</w:t>
      </w:r>
      <w:r>
        <w:rPr>
          <w:rFonts w:hint="eastAsia" w:ascii="仿宋_GB2312" w:hAnsi="仿宋_GB2312" w:cs="仿宋_GB2312"/>
          <w:b w:val="0"/>
          <w:bCs/>
          <w:i w:val="0"/>
          <w:caps w:val="0"/>
          <w:snapToGrid w:val="0"/>
          <w:color w:val="FF0000"/>
          <w:spacing w:val="6"/>
          <w:sz w:val="22"/>
          <w:szCs w:val="22"/>
          <w:shd w:val="clear" w:fill="FFFFFF"/>
          <w:lang w:val="en-US" w:eastAsia="zh-CN"/>
        </w:rPr>
        <w:t>书香街道</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城</w:t>
      </w:r>
      <w:r>
        <w:rPr>
          <w:rFonts w:hint="eastAsia" w:ascii="仿宋_GB2312" w:hAnsi="仿宋_GB2312" w:cs="仿宋_GB2312"/>
          <w:b w:val="0"/>
          <w:bCs/>
          <w:i w:val="0"/>
          <w:caps w:val="0"/>
          <w:snapToGrid w:val="0"/>
          <w:color w:val="FF0000"/>
          <w:spacing w:val="6"/>
          <w:sz w:val="22"/>
          <w:szCs w:val="22"/>
          <w:shd w:val="clear" w:fill="FFFFFF"/>
          <w:lang w:val="en-US" w:eastAsia="zh-CN"/>
        </w:rPr>
        <w:t>东社区智慧</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大道东路1</w:t>
      </w:r>
      <w:r>
        <w:rPr>
          <w:rFonts w:hint="eastAsia" w:ascii="仿宋_GB2312" w:hAnsi="仿宋_GB2312" w:cs="仿宋_GB2312"/>
          <w:b w:val="0"/>
          <w:bCs/>
          <w:i w:val="0"/>
          <w:caps w:val="0"/>
          <w:snapToGrid w:val="0"/>
          <w:color w:val="FF0000"/>
          <w:spacing w:val="6"/>
          <w:sz w:val="22"/>
          <w:szCs w:val="22"/>
          <w:shd w:val="clear" w:fill="FFFFFF"/>
          <w:lang w:val="en-US" w:eastAsia="zh-CN"/>
        </w:rPr>
        <w:t>05</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号政服务</w:t>
      </w:r>
      <w:r>
        <w:rPr>
          <w:rFonts w:hint="eastAsia" w:ascii="仿宋_GB2312" w:hAnsi="仿宋_GB2312" w:cs="仿宋_GB2312"/>
          <w:b w:val="0"/>
          <w:bCs/>
          <w:i w:val="0"/>
          <w:caps w:val="0"/>
          <w:snapToGrid w:val="0"/>
          <w:color w:val="FF0000"/>
          <w:spacing w:val="6"/>
          <w:sz w:val="22"/>
          <w:szCs w:val="22"/>
          <w:shd w:val="clear" w:fill="FFFFFF"/>
          <w:lang w:val="en-US" w:eastAsia="zh-CN"/>
        </w:rPr>
        <w:t>中心一楼C01-C04住房</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公积金窗口</w:t>
      </w:r>
      <w:r>
        <w:rPr>
          <w:rFonts w:hint="eastAsia" w:ascii="仿宋_GB2312" w:hAnsi="仿宋_GB2312" w:cs="仿宋_GB2312"/>
          <w:b w:val="0"/>
          <w:bCs/>
          <w:i w:val="0"/>
          <w:caps w:val="0"/>
          <w:snapToGrid w:val="0"/>
          <w:color w:val="FF0000"/>
          <w:spacing w:val="6"/>
          <w:sz w:val="22"/>
          <w:szCs w:val="22"/>
          <w:shd w:val="clear" w:fill="FFFFFF"/>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464" w:firstLineChars="200"/>
        <w:jc w:val="both"/>
        <w:textAlignment w:val="baseline"/>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八、咨询查询途径</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eastAsia="zh-CN"/>
        </w:rPr>
        <w:t>咨询电话：</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12329</w:t>
      </w:r>
    </w:p>
    <w:p>
      <w:pPr>
        <w:pStyle w:val="2"/>
        <w:numPr>
          <w:ilvl w:val="0"/>
          <w:numId w:val="0"/>
        </w:numPr>
        <w:ind w:firstLine="1540" w:firstLineChars="7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rPr>
        <w:t>09</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93</w:t>
      </w:r>
      <w:r>
        <w:rPr>
          <w:rFonts w:hint="eastAsia" w:ascii="仿宋_GB2312" w:hAnsi="仿宋_GB2312" w:eastAsia="仿宋_GB2312" w:cs="仿宋_GB2312"/>
          <w:b w:val="0"/>
          <w:bCs/>
          <w:i w:val="0"/>
          <w:caps w:val="0"/>
          <w:snapToGrid w:val="0"/>
          <w:color w:val="FF0000"/>
          <w:spacing w:val="0"/>
          <w:sz w:val="22"/>
          <w:szCs w:val="22"/>
          <w:shd w:val="clear" w:fill="FFFFFF"/>
        </w:rPr>
        <w:t>-</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 xml:space="preserve">6011415 </w:t>
      </w:r>
    </w:p>
    <w:p>
      <w:pPr>
        <w:pStyle w:val="2"/>
        <w:numPr>
          <w:ilvl w:val="0"/>
          <w:numId w:val="0"/>
        </w:numPr>
        <w:ind w:firstLine="1540" w:firstLineChars="700"/>
        <w:rPr>
          <w:rFonts w:hint="default"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0993-6021002</w:t>
      </w:r>
    </w:p>
    <w:p>
      <w:pPr>
        <w:pStyle w:val="2"/>
        <w:numPr>
          <w:ilvl w:val="0"/>
          <w:numId w:val="0"/>
        </w:numPr>
        <w:ind w:firstLine="440" w:firstLineChars="200"/>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咨询网址：</w:t>
      </w:r>
    </w:p>
    <w:p>
      <w:pPr>
        <w:pStyle w:val="2"/>
        <w:numPr>
          <w:ilvl w:val="0"/>
          <w:numId w:val="0"/>
        </w:numP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新疆政务服务网（https://zwfw.xinjiang.gov.cn）</w:t>
      </w:r>
    </w:p>
    <w:p>
      <w:pPr>
        <w:ind w:left="0" w:leftChars="0" w:firstLine="0" w:firstLineChars="0"/>
        <w:rPr>
          <w:rFonts w:hint="eastAsia"/>
          <w:lang w:val="en-US" w:eastAsia="zh-CN"/>
        </w:rPr>
      </w:pPr>
    </w:p>
    <w:p>
      <w:pPr>
        <w:numPr>
          <w:ilvl w:val="0"/>
          <w:numId w:val="0"/>
        </w:numPr>
        <w:ind w:leftChars="0"/>
        <w:rPr>
          <w:rFonts w:hint="eastAsia" w:ascii="楷体_GB2312" w:hAnsi="楷体_GB2312" w:eastAsia="楷体_GB2312" w:cs="楷体_GB2312"/>
          <w:b/>
          <w:bCs/>
          <w:color w:val="auto"/>
          <w:sz w:val="28"/>
          <w:szCs w:val="18"/>
          <w:u w:val="none"/>
          <w:lang w:val="en-US" w:eastAsia="zh-CN"/>
        </w:rPr>
      </w:pPr>
      <w:r>
        <w:rPr>
          <w:rFonts w:hint="eastAsia" w:ascii="楷体_GB2312" w:hAnsi="楷体_GB2312" w:eastAsia="楷体_GB2312" w:cs="楷体_GB2312"/>
          <w:b/>
          <w:bCs/>
          <w:color w:val="auto"/>
          <w:sz w:val="28"/>
          <w:szCs w:val="18"/>
          <w:u w:val="none"/>
          <w:lang w:val="en-US" w:eastAsia="zh-CN"/>
        </w:rPr>
        <w:t>九、监督投诉渠道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6"/>
          <w:sz w:val="22"/>
          <w:szCs w:val="22"/>
          <w:shd w:val="clear" w:fill="FFFFFF"/>
          <w:lang w:val="en-US" w:eastAsia="zh-CN"/>
        </w:rPr>
      </w:pP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投诉电话：</w:t>
      </w:r>
      <w:r>
        <w:rPr>
          <w:rFonts w:hint="eastAsia" w:ascii="仿宋_GB2312" w:hAnsi="仿宋_GB2312" w:cs="仿宋_GB2312"/>
          <w:b w:val="0"/>
          <w:bCs/>
          <w:i w:val="0"/>
          <w:caps w:val="0"/>
          <w:snapToGrid w:val="0"/>
          <w:color w:val="FF0000"/>
          <w:spacing w:val="6"/>
          <w:sz w:val="22"/>
          <w:szCs w:val="22"/>
          <w:shd w:val="clear" w:fill="FFFFFF"/>
          <w:lang w:val="en-US" w:eastAsia="zh-CN"/>
        </w:rPr>
        <w:t>12329</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64" w:firstLineChars="200"/>
        <w:textAlignment w:val="baseline"/>
        <w:rPr>
          <w:rFonts w:hint="eastAsia" w:ascii="仿宋_GB2312" w:hAnsi="仿宋_GB2312" w:cs="仿宋_GB2312"/>
          <w:b w:val="0"/>
          <w:bCs/>
          <w:i w:val="0"/>
          <w:caps w:val="0"/>
          <w:snapToGrid w:val="0"/>
          <w:color w:val="FF0000"/>
          <w:spacing w:val="0"/>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管理部座机：</w:t>
      </w:r>
      <w:r>
        <w:rPr>
          <w:rFonts w:hint="eastAsia" w:ascii="仿宋_GB2312" w:hAnsi="仿宋_GB2312" w:eastAsia="仿宋_GB2312" w:cs="仿宋_GB2312"/>
          <w:b w:val="0"/>
          <w:bCs/>
          <w:i w:val="0"/>
          <w:caps w:val="0"/>
          <w:snapToGrid w:val="0"/>
          <w:color w:val="FF0000"/>
          <w:spacing w:val="0"/>
          <w:sz w:val="22"/>
          <w:szCs w:val="22"/>
          <w:shd w:val="clear" w:fill="FFFFFF"/>
          <w:lang w:val="en-US" w:eastAsia="zh-CN"/>
        </w:rPr>
        <w:t>0993-6011416</w:t>
      </w:r>
    </w:p>
    <w:p>
      <w:pPr>
        <w:numPr>
          <w:ilvl w:val="0"/>
          <w:numId w:val="0"/>
        </w:numPr>
        <w:ind w:firstLine="464" w:firstLineChars="200"/>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pPr>
      <w:r>
        <w:rPr>
          <w:rFonts w:hint="eastAsia" w:ascii="仿宋_GB2312" w:hAnsi="仿宋_GB2312" w:cs="仿宋_GB2312"/>
          <w:b w:val="0"/>
          <w:bCs/>
          <w:i w:val="0"/>
          <w:caps w:val="0"/>
          <w:snapToGrid w:val="0"/>
          <w:color w:val="FF0000"/>
          <w:spacing w:val="6"/>
          <w:sz w:val="22"/>
          <w:szCs w:val="22"/>
          <w:shd w:val="clear" w:fill="FFFFFF"/>
          <w:lang w:val="en-US" w:eastAsia="zh-CN"/>
        </w:rPr>
        <w:t>政务服务监督投诉电话：</w:t>
      </w:r>
      <w:r>
        <w:rPr>
          <w:rFonts w:hint="eastAsia" w:ascii="仿宋_GB2312" w:hAnsi="仿宋_GB2312" w:eastAsia="仿宋_GB2312" w:cs="仿宋_GB2312"/>
          <w:b w:val="0"/>
          <w:bCs/>
          <w:i w:val="0"/>
          <w:caps w:val="0"/>
          <w:snapToGrid w:val="0"/>
          <w:color w:val="FF0000"/>
          <w:spacing w:val="6"/>
          <w:sz w:val="22"/>
          <w:szCs w:val="22"/>
          <w:shd w:val="clear" w:fill="FFFFFF"/>
          <w:lang w:val="en-US" w:eastAsia="zh-CN"/>
        </w:rPr>
        <w:t>12345</w:t>
      </w:r>
    </w:p>
    <w:p>
      <w:pPr>
        <w:pStyle w:val="2"/>
        <w:rPr>
          <w:rFonts w:hint="eastAsia"/>
          <w:lang w:val="en-US" w:eastAsia="zh-CN"/>
        </w:rPr>
      </w:pP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楷体_GB2312" w:hAnsi="楷体_GB2312" w:eastAsia="楷体_GB2312" w:cs="楷体_GB2312"/>
          <w:b/>
          <w:bCs/>
          <w:color w:val="auto"/>
          <w:sz w:val="28"/>
          <w:szCs w:val="18"/>
          <w:u w:val="none"/>
          <w:lang w:val="en-US" w:eastAsia="zh-CN"/>
        </w:rPr>
        <w:t>十、办理流程</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 </w:t>
      </w: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   受理→审批→签约→抵押→发放</w:t>
      </w:r>
    </w:p>
    <w:p>
      <w:pPr>
        <w:numPr>
          <w:ilvl w:val="0"/>
          <w:numId w:val="0"/>
        </w:numPr>
        <w:ind w:leftChars="0"/>
        <w:rPr>
          <w:rFonts w:hint="eastAsia" w:ascii="楷体_GB2312" w:hAnsi="楷体_GB2312" w:eastAsia="楷体_GB2312" w:cs="楷体_GB2312"/>
          <w:b/>
          <w:bCs/>
          <w:color w:val="auto"/>
          <w:sz w:val="28"/>
          <w:szCs w:val="18"/>
          <w:u w:val="none"/>
          <w:lang w:val="en-US" w:eastAsia="zh-CN"/>
        </w:rPr>
      </w:pPr>
    </w:p>
    <w:p>
      <w:pPr>
        <w:pStyle w:val="2"/>
        <w:ind w:left="0" w:leftChars="0" w:firstLine="0" w:firstLineChars="0"/>
        <w:rPr>
          <w:rFonts w:hint="default"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val="en-US" w:eastAsia="zh-CN"/>
        </w:rPr>
        <w:t xml:space="preserve">    </w:t>
      </w:r>
      <w:r>
        <w:rPr>
          <w:rFonts w:hint="eastAsia" w:ascii="仿宋_GB2312" w:hAnsi="仿宋_GB2312" w:eastAsia="仿宋_GB2312" w:cs="仿宋_GB2312"/>
          <w:b w:val="0"/>
          <w:bCs/>
          <w:i w:val="0"/>
          <w:caps w:val="0"/>
          <w:snapToGrid w:val="0"/>
          <w:color w:val="333333"/>
          <w:spacing w:val="6"/>
          <w:sz w:val="22"/>
          <w:szCs w:val="22"/>
          <w:shd w:val="clear" w:fill="FFFFFF"/>
          <w:lang w:val="en-US" w:eastAsia="zh-CN"/>
        </w:rPr>
        <w:t xml:space="preserve">   </w:t>
      </w:r>
    </w:p>
    <w:p>
      <w:pPr>
        <w:spacing w:line="240" w:lineRule="auto"/>
        <w:ind w:left="0" w:leftChars="0" w:firstLine="0" w:firstLineChars="0"/>
        <w:rPr>
          <w:rFonts w:hint="eastAsia" w:ascii="方正仿宋_GB2312" w:hAnsi="方正仿宋_GB2312" w:eastAsia="方正仿宋_GB2312" w:cs="方正仿宋_GB2312"/>
          <w:b w:val="0"/>
          <w:bCs w:val="0"/>
          <w:color w:val="auto"/>
          <w:sz w:val="32"/>
          <w:szCs w:val="20"/>
          <w:u w:val="none"/>
          <w:lang w:val="en-US" w:eastAsia="zh-CN"/>
        </w:rPr>
      </w:pPr>
      <w:r>
        <w:rPr>
          <w:rFonts w:hint="eastAsia" w:ascii="方正仿宋_GB2312" w:hAnsi="方正仿宋_GB2312" w:eastAsia="方正仿宋_GB2312" w:cs="方正仿宋_GB2312"/>
          <w:b w:val="0"/>
          <w:bCs w:val="0"/>
          <w:color w:val="auto"/>
          <w:sz w:val="32"/>
          <w:szCs w:val="20"/>
          <w:u w:val="none"/>
          <w:lang w:val="en-US" w:eastAsia="zh-CN"/>
        </w:rPr>
        <w:drawing>
          <wp:inline distT="0" distB="0" distL="114300" distR="114300">
            <wp:extent cx="3319780" cy="5028565"/>
            <wp:effectExtent l="0" t="0" r="13970" b="635"/>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6"/>
                    <a:stretch>
                      <a:fillRect/>
                    </a:stretch>
                  </pic:blipFill>
                  <pic:spPr>
                    <a:xfrm>
                      <a:off x="0" y="0"/>
                      <a:ext cx="3319780" cy="5028565"/>
                    </a:xfrm>
                    <a:prstGeom prst="rect">
                      <a:avLst/>
                    </a:prstGeom>
                  </pic:spPr>
                </pic:pic>
              </a:graphicData>
            </a:graphic>
          </wp:inline>
        </w:drawing>
      </w:r>
    </w:p>
    <w:p>
      <w:pPr>
        <w:pStyle w:val="2"/>
        <w:ind w:left="0" w:leftChars="0" w:firstLine="0" w:firstLineChars="0"/>
        <w:rPr>
          <w:rFonts w:hint="eastAsia"/>
          <w:color w:val="auto"/>
          <w:lang w:val="en-US" w:eastAsia="zh-CN"/>
        </w:rPr>
      </w:pPr>
    </w:p>
    <w:p>
      <w:pPr>
        <w:pStyle w:val="2"/>
        <w:ind w:left="0" w:leftChars="0" w:firstLine="0" w:firstLineChars="0"/>
        <w:rPr>
          <w:color w:val="auto"/>
        </w:rPr>
      </w:pPr>
    </w:p>
    <w:sectPr>
      <w:type w:val="continuous"/>
      <w:pgSz w:w="16838" w:h="11906" w:orient="landscape"/>
      <w:pgMar w:top="850" w:right="283" w:bottom="850" w:left="283" w:header="851" w:footer="992" w:gutter="0"/>
      <w:pgNumType w:fmt="decimal"/>
      <w:cols w:equalWidth="0" w:num="3">
        <w:col w:w="5235" w:space="425"/>
        <w:col w:w="4951" w:space="425"/>
        <w:col w:w="5235"/>
      </w:cols>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927BBB4D-7E0C-4986-932C-F46C6027D2BE}"/>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embedRegular r:id="rId2" w:fontKey="{027F2A33-6322-4463-A3CB-1241800855DC}"/>
  </w:font>
  <w:font w:name="方正小标宋_GBK">
    <w:panose1 w:val="02000000000000000000"/>
    <w:charset w:val="86"/>
    <w:family w:val="auto"/>
    <w:pitch w:val="default"/>
    <w:sig w:usb0="A00002BF" w:usb1="38CF7CFA" w:usb2="00082016" w:usb3="00000000" w:csb0="00040001" w:csb1="00000000"/>
    <w:embedRegular r:id="rId3" w:fontKey="{623256DF-66A2-41BC-ACE0-5FA6CF7F841D}"/>
  </w:font>
  <w:font w:name="方正仿宋_GB2312">
    <w:altName w:val="仿宋"/>
    <w:panose1 w:val="02000000000000000000"/>
    <w:charset w:val="86"/>
    <w:family w:val="auto"/>
    <w:pitch w:val="default"/>
    <w:sig w:usb0="00000000" w:usb1="00000000" w:usb2="00000000" w:usb3="00000000" w:csb0="00000000" w:csb1="00000000"/>
    <w:embedRegular r:id="rId4" w:fontKey="{43644220-8BD7-4F61-A230-EE2723950569}"/>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2F5FC"/>
    <w:multiLevelType w:val="singleLevel"/>
    <w:tmpl w:val="9B52F5F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1610698"/>
    <w:rsid w:val="01902A0A"/>
    <w:rsid w:val="02EB2F36"/>
    <w:rsid w:val="035502A5"/>
    <w:rsid w:val="036A76D5"/>
    <w:rsid w:val="037B7501"/>
    <w:rsid w:val="03FE2149"/>
    <w:rsid w:val="042C1A95"/>
    <w:rsid w:val="04B019A1"/>
    <w:rsid w:val="04C0668E"/>
    <w:rsid w:val="04FF3EA7"/>
    <w:rsid w:val="06731FD5"/>
    <w:rsid w:val="06EA5F78"/>
    <w:rsid w:val="071321F1"/>
    <w:rsid w:val="09047DDC"/>
    <w:rsid w:val="09771A17"/>
    <w:rsid w:val="0A9548E2"/>
    <w:rsid w:val="0B016571"/>
    <w:rsid w:val="0B4B1D7C"/>
    <w:rsid w:val="0B625E6C"/>
    <w:rsid w:val="0B8E5A9E"/>
    <w:rsid w:val="0BA66989"/>
    <w:rsid w:val="0BAF092B"/>
    <w:rsid w:val="0C3C269F"/>
    <w:rsid w:val="0CBC605D"/>
    <w:rsid w:val="0D295AF4"/>
    <w:rsid w:val="0D714D0D"/>
    <w:rsid w:val="0DA4085F"/>
    <w:rsid w:val="0DBF548E"/>
    <w:rsid w:val="0FC17644"/>
    <w:rsid w:val="0FF2793E"/>
    <w:rsid w:val="16391F72"/>
    <w:rsid w:val="18674730"/>
    <w:rsid w:val="18E24BAA"/>
    <w:rsid w:val="195B4077"/>
    <w:rsid w:val="1A377862"/>
    <w:rsid w:val="1A7002BF"/>
    <w:rsid w:val="1A955637"/>
    <w:rsid w:val="1B474B4B"/>
    <w:rsid w:val="1B743DF1"/>
    <w:rsid w:val="1CE036FF"/>
    <w:rsid w:val="1F4B62CC"/>
    <w:rsid w:val="1F732547"/>
    <w:rsid w:val="211362E9"/>
    <w:rsid w:val="216E7141"/>
    <w:rsid w:val="21950B12"/>
    <w:rsid w:val="22BE6C29"/>
    <w:rsid w:val="24CD03D6"/>
    <w:rsid w:val="270B1670"/>
    <w:rsid w:val="28971923"/>
    <w:rsid w:val="29EC728B"/>
    <w:rsid w:val="2A5F6911"/>
    <w:rsid w:val="2A7B3B29"/>
    <w:rsid w:val="2B1225D2"/>
    <w:rsid w:val="2CFF45C1"/>
    <w:rsid w:val="2DD16B9A"/>
    <w:rsid w:val="2DEA2363"/>
    <w:rsid w:val="2EAB1AC3"/>
    <w:rsid w:val="30F07A60"/>
    <w:rsid w:val="341666A9"/>
    <w:rsid w:val="3482262D"/>
    <w:rsid w:val="349D1FCD"/>
    <w:rsid w:val="37353A20"/>
    <w:rsid w:val="37A47147"/>
    <w:rsid w:val="37AA3609"/>
    <w:rsid w:val="382C325A"/>
    <w:rsid w:val="39FC7BA1"/>
    <w:rsid w:val="3AC952D4"/>
    <w:rsid w:val="3AE97A51"/>
    <w:rsid w:val="3B731336"/>
    <w:rsid w:val="3C760D85"/>
    <w:rsid w:val="3DC35888"/>
    <w:rsid w:val="3DFB6996"/>
    <w:rsid w:val="3E5165E6"/>
    <w:rsid w:val="40C22AE4"/>
    <w:rsid w:val="41905F01"/>
    <w:rsid w:val="41BE0090"/>
    <w:rsid w:val="42765B61"/>
    <w:rsid w:val="436A7FB0"/>
    <w:rsid w:val="43C7405A"/>
    <w:rsid w:val="450B1B19"/>
    <w:rsid w:val="469F1207"/>
    <w:rsid w:val="47EA0F51"/>
    <w:rsid w:val="4950408C"/>
    <w:rsid w:val="4B632B7A"/>
    <w:rsid w:val="4DF6037D"/>
    <w:rsid w:val="4EF76905"/>
    <w:rsid w:val="514316B2"/>
    <w:rsid w:val="530F779F"/>
    <w:rsid w:val="532077A8"/>
    <w:rsid w:val="53436408"/>
    <w:rsid w:val="55072A22"/>
    <w:rsid w:val="55284534"/>
    <w:rsid w:val="555508CB"/>
    <w:rsid w:val="575007FF"/>
    <w:rsid w:val="583A6FD5"/>
    <w:rsid w:val="590062A6"/>
    <w:rsid w:val="59FA061D"/>
    <w:rsid w:val="5A9C6E49"/>
    <w:rsid w:val="5CC85BBF"/>
    <w:rsid w:val="5DB02987"/>
    <w:rsid w:val="5EDB6B99"/>
    <w:rsid w:val="5F6048C3"/>
    <w:rsid w:val="60145EC4"/>
    <w:rsid w:val="61A25DDE"/>
    <w:rsid w:val="61E80990"/>
    <w:rsid w:val="61F6229C"/>
    <w:rsid w:val="62BA0D8D"/>
    <w:rsid w:val="63A22B78"/>
    <w:rsid w:val="650E6875"/>
    <w:rsid w:val="65AE38EA"/>
    <w:rsid w:val="65CE67F5"/>
    <w:rsid w:val="66340AF4"/>
    <w:rsid w:val="666D6223"/>
    <w:rsid w:val="67722C8C"/>
    <w:rsid w:val="6A7F14F1"/>
    <w:rsid w:val="6AFF42F1"/>
    <w:rsid w:val="6BD07BAD"/>
    <w:rsid w:val="6DB92EB5"/>
    <w:rsid w:val="6E1D4C5A"/>
    <w:rsid w:val="6E7A4FCC"/>
    <w:rsid w:val="6F1C3BBB"/>
    <w:rsid w:val="6F262639"/>
    <w:rsid w:val="6FE62372"/>
    <w:rsid w:val="70BE1C09"/>
    <w:rsid w:val="732173B9"/>
    <w:rsid w:val="74363621"/>
    <w:rsid w:val="751B6142"/>
    <w:rsid w:val="76A44D3C"/>
    <w:rsid w:val="76B10F9B"/>
    <w:rsid w:val="78F17E96"/>
    <w:rsid w:val="79832DAC"/>
    <w:rsid w:val="7A951B3B"/>
    <w:rsid w:val="7AB41145"/>
    <w:rsid w:val="7AB62FDB"/>
    <w:rsid w:val="7C3453A8"/>
    <w:rsid w:val="7C7317CF"/>
    <w:rsid w:val="7D3B38AD"/>
    <w:rsid w:val="7D897C4D"/>
    <w:rsid w:val="7DA0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beforeLines="0" w:afterLines="0" w:line="520" w:lineRule="exact"/>
      <w:ind w:firstLine="420" w:firstLineChars="200"/>
      <w:textAlignment w:val="baseline"/>
    </w:pPr>
    <w:rPr>
      <w:rFonts w:hint="default" w:ascii="Times New Roman" w:hAnsi="Times New Roman" w:eastAsia="仿宋_GB2312" w:cstheme="minorBidi"/>
      <w:snapToGrid w:val="0"/>
      <w:color w:val="000000"/>
      <w:sz w:val="32"/>
    </w:rPr>
  </w:style>
  <w:style w:type="paragraph" w:styleId="3">
    <w:name w:val="heading 1"/>
    <w:basedOn w:val="1"/>
    <w:next w:val="1"/>
    <w:link w:val="12"/>
    <w:qFormat/>
    <w:uiPriority w:val="0"/>
    <w:pPr>
      <w:keepNext/>
      <w:keepLines/>
      <w:spacing w:before="100" w:beforeLines="0" w:beforeAutospacing="0" w:after="100" w:afterLines="0" w:afterAutospacing="0" w:line="520" w:lineRule="exact"/>
      <w:ind w:firstLine="0" w:firstLineChars="0"/>
      <w:jc w:val="center"/>
      <w:outlineLvl w:val="0"/>
    </w:pPr>
    <w:rPr>
      <w:rFonts w:ascii="Times New Roman" w:hAnsi="Times New Roman" w:eastAsia="方正小标宋简体" w:cstheme="minorBidi"/>
      <w:kern w:val="44"/>
      <w:sz w:val="44"/>
    </w:rPr>
  </w:style>
  <w:style w:type="paragraph" w:styleId="4">
    <w:name w:val="heading 2"/>
    <w:basedOn w:val="1"/>
    <w:next w:val="1"/>
    <w:link w:val="11"/>
    <w:semiHidden/>
    <w:unhideWhenUsed/>
    <w:qFormat/>
    <w:uiPriority w:val="0"/>
    <w:pPr>
      <w:spacing w:before="50" w:beforeLines="50" w:beforeAutospacing="0" w:after="50" w:afterLines="50" w:afterAutospacing="0" w:line="520" w:lineRule="exact"/>
      <w:ind w:firstLine="723" w:firstLineChars="200"/>
      <w:jc w:val="left"/>
      <w:outlineLvl w:val="1"/>
    </w:pPr>
    <w:rPr>
      <w:rFonts w:hint="eastAsia" w:ascii="Times New Roman" w:hAnsi="Times New Roman" w:eastAsia="黑体" w:cs="宋体"/>
      <w:sz w:val="32"/>
      <w:szCs w:val="36"/>
      <w:lang w:val="en-US" w:eastAsia="zh-CN" w:bidi="ar"/>
    </w:rPr>
  </w:style>
  <w:style w:type="paragraph" w:styleId="2">
    <w:name w:val="heading 3"/>
    <w:basedOn w:val="1"/>
    <w:next w:val="1"/>
    <w:link w:val="13"/>
    <w:semiHidden/>
    <w:unhideWhenUsed/>
    <w:qFormat/>
    <w:uiPriority w:val="0"/>
    <w:pPr>
      <w:keepNext/>
      <w:keepLines/>
      <w:spacing w:before="100" w:beforeLines="0" w:beforeAutospacing="0" w:after="100" w:afterLines="0" w:afterAutospacing="0" w:line="520" w:lineRule="exact"/>
      <w:ind w:firstLine="936" w:firstLineChars="200"/>
      <w:outlineLvl w:val="2"/>
    </w:pPr>
    <w:rPr>
      <w:rFonts w:eastAsia="楷体_GB2312"/>
      <w:b/>
    </w:rPr>
  </w:style>
  <w:style w:type="paragraph" w:styleId="5">
    <w:name w:val="heading 4"/>
    <w:basedOn w:val="1"/>
    <w:next w:val="1"/>
    <w:semiHidden/>
    <w:unhideWhenUsed/>
    <w:qFormat/>
    <w:uiPriority w:val="0"/>
    <w:pPr>
      <w:keepNext/>
      <w:keepLines/>
      <w:spacing w:before="10" w:beforeLines="0" w:beforeAutospacing="0" w:after="10" w:afterLines="0" w:afterAutospacing="0" w:line="520" w:lineRule="exact"/>
      <w:outlineLvl w:val="3"/>
    </w:pPr>
    <w:rPr>
      <w:rFonts w:ascii="Arial" w:hAnsi="Arial"/>
      <w:b/>
      <w:sz w:val="3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lock Text"/>
    <w:basedOn w:val="1"/>
    <w:qFormat/>
    <w:uiPriority w:val="0"/>
    <w:pPr>
      <w:spacing w:after="120" w:afterLines="0" w:afterAutospacing="0"/>
      <w:ind w:left="1440" w:leftChars="700" w:rightChars="700"/>
    </w:pPr>
  </w:style>
  <w:style w:type="paragraph" w:styleId="8">
    <w:name w:val="Body Text First Indent"/>
    <w:basedOn w:val="6"/>
    <w:qFormat/>
    <w:uiPriority w:val="0"/>
    <w:pPr>
      <w:ind w:firstLine="420" w:firstLineChars="100"/>
    </w:pPr>
  </w:style>
  <w:style w:type="character" w:customStyle="1" w:styleId="11">
    <w:name w:val="标题 2 Char"/>
    <w:link w:val="4"/>
    <w:qFormat/>
    <w:uiPriority w:val="0"/>
    <w:rPr>
      <w:rFonts w:hint="eastAsia" w:ascii="Times New Roman" w:hAnsi="Times New Roman" w:eastAsia="黑体" w:cs="宋体"/>
      <w:kern w:val="0"/>
      <w:sz w:val="32"/>
      <w:szCs w:val="36"/>
      <w:lang w:val="en-US" w:eastAsia="zh-CN" w:bidi="ar"/>
    </w:rPr>
  </w:style>
  <w:style w:type="character" w:customStyle="1" w:styleId="12">
    <w:name w:val="标题 1 Char"/>
    <w:link w:val="3"/>
    <w:qFormat/>
    <w:uiPriority w:val="0"/>
    <w:rPr>
      <w:rFonts w:ascii="Times New Roman" w:hAnsi="Times New Roman" w:eastAsia="方正小标宋简体" w:cstheme="minorBidi"/>
      <w:kern w:val="44"/>
      <w:sz w:val="44"/>
    </w:rPr>
  </w:style>
  <w:style w:type="character" w:customStyle="1" w:styleId="13">
    <w:name w:val="标题 3 Char"/>
    <w:link w:val="2"/>
    <w:qFormat/>
    <w:uiPriority w:val="0"/>
    <w:rPr>
      <w:rFonts w:eastAsia="楷体_GB2312"/>
      <w:b/>
    </w:rPr>
  </w:style>
  <w:style w:type="paragraph" w:customStyle="1" w:styleId="14">
    <w:name w:val="文章标题"/>
    <w:basedOn w:val="3"/>
    <w:next w:val="1"/>
    <w:qFormat/>
    <w:uiPriority w:val="0"/>
    <w:pPr>
      <w:spacing w:before="200" w:after="200" w:line="520" w:lineRule="exact"/>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2023-03-03T05:07:00Z</cp:lastPrinted>
  <dcterms:modified xsi:type="dcterms:W3CDTF">2025-03-04T03:53:19Z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FE69241447BC4DB6843450BC4DB68F8D</vt:lpwstr>
  </property>
</Properties>
</file>