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  <w:u w:val="none"/>
          <w:lang w:val="en-US" w:eastAsia="zh-CN"/>
        </w:rPr>
        <w:t>农民专业合作社（联合社）变更登记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Chars="0"/>
        <w:textAlignment w:val="baseline"/>
        <w:rPr>
          <w:rFonts w:ascii="微软雅黑" w:hAnsi="微软雅黑" w:eastAsia="微软雅黑" w:cs="微软雅黑"/>
          <w:i w:val="0"/>
          <w:caps w:val="0"/>
          <w:color w:val="3D4B64"/>
          <w:spacing w:val="0"/>
          <w:sz w:val="19"/>
          <w:szCs w:val="19"/>
          <w:shd w:val="clear" w:fill="F7F7F7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16"/>
          <w:u w:val="none"/>
          <w:lang w:val="en-US" w:eastAsia="zh-CN"/>
        </w:rPr>
        <w:t>受理条件：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（一）《 中华人民共和国农民专业合作社法》2017年12月27日主席令第83号修订第十六条第一款等条款。【法律】《中华人民共和国农民专业合作社法》（2006年10月31日主席令第五十七号，2017年12月27日主席令第83号修订） 第十六条第一款：设立农民专业合作社，应当向工商行政管理部门提交下列文件，申请设立登记：（一）登记申请书；（二）全体设立人签名、盖章的设立大会纪要；（三）全体设立人签名、盖章的章程；（四）法定代表人、理事的任职文件及身份证明；（五）出资成员签名、盖章的出资清单；（六）住所使用证明；（七）法律、行政法规规定的其他文件。第三款：农民专业合作社法定登记事项变更的，应当申请变更登记。 第十九条第二款：农民专业合作社应当置备成员名册，并报登记机关。 第四十九条：清算组自成立之日起接管农民专业合作社，负责处理与清算有关未了结业务，清理财产和债权、债务，分配清偿债务后的剩余财产，代表农民专业合作社参与诉讼、仲裁或者其他法律程序，并在清算结束时办理注销登记。 【法规】《中华人民共和国市场主体登记管理条例》（中华人民共和国国务院令第746号） 第三条　市场主体应当依照本条例办理登记。未经登记，不得以市场主体名义从事经营活动。法律、行政法规规定无需办理登记的除外。 市场主体登记包括设立登记、变更登记和注销登记。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ind w:left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1.《农民专业合作社登记（备案）申请书》。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2.变更登记事项涉及合作社（联合社）章程修改的，提交修改章程的决议。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3.修改后的章程或者章程修正案（由法定代表人签署）。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4.变更事项相关证明文件。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5.法律、行政法规和国务院决定规定合作社（联合社）变更事项必须报经批准的，提交有关的批准文件或者许可证件复印件。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6.已领取纸质版营业执照的缴回营业执照正、副本。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三、办理方式：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窗口办理，网上办理，快递申请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法定时限：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6（工作日）</w:t>
      </w:r>
    </w:p>
    <w:p>
      <w:pPr>
        <w:pStyle w:val="5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承诺时间：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1（工作日）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五、收费依据及标准：不收费</w:t>
      </w:r>
    </w:p>
    <w:p>
      <w:pPr>
        <w:pStyle w:val="5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上午 10:00:00至14:00:00 下午 16:00:00至20:00:00 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冬季 上午 10:00:00至14:00:00 下午 16:00:00至20:00:00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新疆维吾尔自治区 塔城地区 沙湾市 书香街道 城东社区 智慧大道东路105号政务服务中心 一层 C28号市监局窗口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咨询电话座机：0993-6028527</w:t>
      </w:r>
      <w:bookmarkStart w:id="0" w:name="_GoBack"/>
      <w:bookmarkEnd w:id="0"/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新疆政务服务网（https：//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/)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pStyle w:val="5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监督电话：0993-7273203、监督地址：沙湾市人民路22号市场监督管理局二楼书记办公室、监督网址：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https：//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firstLine="0" w:firstLineChars="0"/>
        <w:textAlignment w:val="baseline"/>
        <w:rPr>
          <w:rFonts w:hint="default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十、办理流程</w:t>
      </w:r>
    </w:p>
    <w:p>
      <w:pPr>
        <w:pStyle w:val="5"/>
        <w:spacing w:line="240" w:lineRule="auto"/>
        <w:ind w:left="0" w:leftChars="0" w:firstLine="0" w:firstLineChars="0"/>
        <w:rPr>
          <w:rFonts w:hint="eastAsia" w:eastAsia="楷体_GB2312"/>
          <w:lang w:eastAsia="zh-CN"/>
        </w:rPr>
      </w:pPr>
      <w:r>
        <w:rPr>
          <w:rFonts w:hint="eastAsia" w:eastAsia="楷体_GB2312"/>
          <w:lang w:eastAsia="zh-CN"/>
        </w:rPr>
        <w:drawing>
          <wp:inline distT="0" distB="0" distL="114300" distR="114300">
            <wp:extent cx="3321050" cy="3582670"/>
            <wp:effectExtent l="0" t="0" r="12700" b="177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5300A73-6E5D-4B97-93F3-939C286B1E1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995FFF-1D16-4C21-80EF-63101690D1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EC00A8E-0054-45EB-9EAB-CFD32F8BA8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3F991B4A-FF0C-4A9D-962C-74F6C7ECA2F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4EC2DBB0-4F54-4D46-81C9-9585C2C1754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9D83EB5"/>
    <w:rsid w:val="0A9548E2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4823469"/>
    <w:rsid w:val="16391F72"/>
    <w:rsid w:val="18674730"/>
    <w:rsid w:val="195B4077"/>
    <w:rsid w:val="1A377862"/>
    <w:rsid w:val="1A7002BF"/>
    <w:rsid w:val="1A955637"/>
    <w:rsid w:val="1B474B4B"/>
    <w:rsid w:val="1B743DF1"/>
    <w:rsid w:val="1CE036FF"/>
    <w:rsid w:val="1D4571D1"/>
    <w:rsid w:val="1F4B62CC"/>
    <w:rsid w:val="1F673ED6"/>
    <w:rsid w:val="211362E9"/>
    <w:rsid w:val="21950B12"/>
    <w:rsid w:val="24CD03D6"/>
    <w:rsid w:val="250B45A1"/>
    <w:rsid w:val="29EC728B"/>
    <w:rsid w:val="2A5F6911"/>
    <w:rsid w:val="2B1225D2"/>
    <w:rsid w:val="2CFF45C1"/>
    <w:rsid w:val="2DEA2363"/>
    <w:rsid w:val="2DFC3A18"/>
    <w:rsid w:val="2EAB1AC3"/>
    <w:rsid w:val="341666A9"/>
    <w:rsid w:val="345F16A8"/>
    <w:rsid w:val="3482262D"/>
    <w:rsid w:val="349D1FCD"/>
    <w:rsid w:val="377A4B1C"/>
    <w:rsid w:val="37A47147"/>
    <w:rsid w:val="39FC7BA1"/>
    <w:rsid w:val="3AC952D4"/>
    <w:rsid w:val="3AE97A51"/>
    <w:rsid w:val="3B731336"/>
    <w:rsid w:val="3C760D85"/>
    <w:rsid w:val="3DC35888"/>
    <w:rsid w:val="3DD221BE"/>
    <w:rsid w:val="3DFB6996"/>
    <w:rsid w:val="40380D07"/>
    <w:rsid w:val="41905F01"/>
    <w:rsid w:val="41BE0090"/>
    <w:rsid w:val="436A7FB0"/>
    <w:rsid w:val="43C7405A"/>
    <w:rsid w:val="450B1B19"/>
    <w:rsid w:val="46124431"/>
    <w:rsid w:val="47EA0F51"/>
    <w:rsid w:val="494C6276"/>
    <w:rsid w:val="4950408C"/>
    <w:rsid w:val="4AA65867"/>
    <w:rsid w:val="4B632B7A"/>
    <w:rsid w:val="4FA61183"/>
    <w:rsid w:val="518A1671"/>
    <w:rsid w:val="532077A8"/>
    <w:rsid w:val="55284534"/>
    <w:rsid w:val="555508CB"/>
    <w:rsid w:val="575007FF"/>
    <w:rsid w:val="576B549A"/>
    <w:rsid w:val="59FA061D"/>
    <w:rsid w:val="5CC85BBF"/>
    <w:rsid w:val="5DB02987"/>
    <w:rsid w:val="5EDB6B99"/>
    <w:rsid w:val="5F6048C3"/>
    <w:rsid w:val="6158197C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1FC5366"/>
    <w:rsid w:val="732173B9"/>
    <w:rsid w:val="74363621"/>
    <w:rsid w:val="751B6142"/>
    <w:rsid w:val="76A44D3C"/>
    <w:rsid w:val="76B10F9B"/>
    <w:rsid w:val="78F17E96"/>
    <w:rsid w:val="79832DAC"/>
    <w:rsid w:val="7AB62FDB"/>
    <w:rsid w:val="7C116763"/>
    <w:rsid w:val="7D3B38AD"/>
    <w:rsid w:val="7D897C4D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9">
    <w:name w:val="Body Text First Indent"/>
    <w:basedOn w:val="7"/>
    <w:qFormat/>
    <w:uiPriority w:val="0"/>
    <w:pPr>
      <w:ind w:firstLine="420" w:firstLineChars="100"/>
    </w:pPr>
  </w:style>
  <w:style w:type="character" w:customStyle="1" w:styleId="12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3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4">
    <w:name w:val="标题 3 Char"/>
    <w:link w:val="5"/>
    <w:qFormat/>
    <w:uiPriority w:val="0"/>
    <w:rPr>
      <w:rFonts w:eastAsia="楷体_GB2312"/>
      <w:b/>
    </w:rPr>
  </w:style>
  <w:style w:type="paragraph" w:customStyle="1" w:styleId="15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2023-02-27T04:24:00Z</cp:lastPrinted>
  <dcterms:modified xsi:type="dcterms:W3CDTF">2025-02-28T02:40:02Z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4E1152253A2B4874A648D3FE63EEEF13</vt:lpwstr>
  </property>
</Properties>
</file>