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沙湾市政务服务中心2024年政府信息公开</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工作年度报告</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b w:val="0"/>
          <w:bCs/>
          <w:i w:val="0"/>
          <w:iCs w:val="0"/>
          <w:color w:val="auto"/>
          <w:sz w:val="32"/>
          <w:szCs w:val="32"/>
          <w:lang w:val="en-US" w:eastAsia="zh-CN"/>
        </w:rPr>
      </w:pPr>
      <w:r>
        <w:rPr>
          <w:rFonts w:hint="eastAsia" w:ascii="仿宋_GB2312" w:hAnsi="仿宋_GB2312" w:eastAsia="仿宋_GB2312" w:cs="仿宋_GB2312"/>
          <w:b w:val="0"/>
          <w:bCs/>
          <w:i w:val="0"/>
          <w:iCs w:val="0"/>
          <w:color w:val="auto"/>
          <w:sz w:val="32"/>
          <w:szCs w:val="32"/>
          <w:lang w:val="en-US" w:eastAsia="zh-CN"/>
        </w:rPr>
        <w:t>按照自治区《关于做好政府信息公开工作年度报告编制工作的函》及地区、市委工作要求，为保障公民、法人和其他组织依法获取政府信息，沙湾市政务服务中心本着公开、全面、准确、及时的原则，大力推进政府信息公开工作，充分发挥了政府信息的服务和监督作用。现将沙湾市政务服务中心2024年政府信息公开工作年度报告予以公布，所列数据统计期限为2024年1月1日至2024年12月31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i w:val="0"/>
          <w:iCs w:val="0"/>
          <w:color w:val="auto"/>
          <w:sz w:val="32"/>
          <w:szCs w:val="32"/>
          <w:lang w:val="en-US" w:eastAsia="zh-CN"/>
        </w:rPr>
      </w:pPr>
      <w:r>
        <w:rPr>
          <w:rFonts w:hint="eastAsia" w:ascii="黑体" w:hAnsi="黑体" w:eastAsia="黑体" w:cs="黑体"/>
          <w:b w:val="0"/>
          <w:bCs/>
          <w:i w:val="0"/>
          <w:iCs w:val="0"/>
          <w:color w:val="auto"/>
          <w:sz w:val="32"/>
          <w:szCs w:val="32"/>
          <w:lang w:val="en-US" w:eastAsia="zh-CN"/>
        </w:rPr>
        <w:t>一、总体情况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b w:val="0"/>
          <w:bCs/>
          <w:i w:val="0"/>
          <w:iCs w:val="0"/>
          <w:color w:val="auto"/>
          <w:sz w:val="32"/>
          <w:szCs w:val="32"/>
          <w:lang w:val="en-US" w:eastAsia="zh-CN"/>
        </w:rPr>
      </w:pPr>
      <w:r>
        <w:rPr>
          <w:rFonts w:hint="eastAsia" w:ascii="仿宋_GB2312" w:hAnsi="仿宋_GB2312" w:eastAsia="仿宋_GB2312" w:cs="仿宋_GB2312"/>
          <w:b w:val="0"/>
          <w:bCs/>
          <w:i w:val="0"/>
          <w:iCs w:val="0"/>
          <w:color w:val="auto"/>
          <w:sz w:val="32"/>
          <w:szCs w:val="32"/>
          <w:lang w:val="en-US" w:eastAsia="zh-CN"/>
        </w:rPr>
        <w:t>2024年，</w:t>
      </w:r>
      <w:r>
        <w:rPr>
          <w:rFonts w:hint="eastAsia" w:ascii="仿宋_GB2312" w:hAnsi="仿宋_GB2312" w:eastAsia="仿宋_GB2312" w:cs="仿宋_GB2312"/>
          <w:b w:val="0"/>
          <w:bCs w:val="0"/>
          <w:color w:val="auto"/>
          <w:sz w:val="32"/>
          <w:szCs w:val="32"/>
          <w:highlight w:val="none"/>
          <w:lang w:val="en-US" w:eastAsia="zh-CN"/>
        </w:rPr>
        <w:t>在</w:t>
      </w:r>
      <w:r>
        <w:rPr>
          <w:rFonts w:hint="eastAsia" w:ascii="仿宋_GB2312" w:hAnsi="仿宋_GB2312" w:eastAsia="仿宋_GB2312" w:cs="仿宋_GB2312"/>
          <w:b w:val="0"/>
          <w:bCs w:val="0"/>
          <w:color w:val="auto"/>
          <w:sz w:val="32"/>
          <w:szCs w:val="32"/>
          <w:highlight w:val="none"/>
          <w:lang w:eastAsia="zh-CN"/>
        </w:rPr>
        <w:t>市委</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市</w:t>
      </w:r>
      <w:bookmarkStart w:id="0" w:name="_GoBack"/>
      <w:bookmarkEnd w:id="0"/>
      <w:r>
        <w:rPr>
          <w:rFonts w:hint="eastAsia" w:ascii="仿宋_GB2312" w:hAnsi="仿宋_GB2312" w:eastAsia="仿宋_GB2312" w:cs="仿宋_GB2312"/>
          <w:b w:val="0"/>
          <w:bCs w:val="0"/>
          <w:color w:val="auto"/>
          <w:sz w:val="32"/>
          <w:szCs w:val="32"/>
          <w:highlight w:val="none"/>
        </w:rPr>
        <w:t>政府的</w:t>
      </w:r>
      <w:r>
        <w:rPr>
          <w:rFonts w:hint="eastAsia" w:ascii="仿宋_GB2312" w:hAnsi="仿宋_GB2312" w:eastAsia="仿宋_GB2312" w:cs="仿宋_GB2312"/>
          <w:b w:val="0"/>
          <w:bCs w:val="0"/>
          <w:color w:val="auto"/>
          <w:sz w:val="32"/>
          <w:szCs w:val="32"/>
          <w:highlight w:val="none"/>
          <w:lang w:eastAsia="zh-CN"/>
        </w:rPr>
        <w:t>正确领导下，</w:t>
      </w:r>
      <w:r>
        <w:rPr>
          <w:rFonts w:hint="eastAsia" w:ascii="仿宋_GB2312" w:hAnsi="仿宋_GB2312" w:eastAsia="仿宋_GB2312" w:cs="仿宋_GB2312"/>
          <w:b w:val="0"/>
          <w:bCs w:val="0"/>
          <w:color w:val="auto"/>
          <w:sz w:val="32"/>
          <w:szCs w:val="32"/>
          <w:highlight w:val="none"/>
          <w:lang w:val="en-US" w:eastAsia="zh-CN"/>
        </w:rPr>
        <w:t>沙湾市政务服务中心严格按照《沙湾市人民政府办公室&lt;沙湾市2024年政务公开要点&gt;的通知》（沙政办</w:t>
      </w:r>
      <w:r>
        <w:rPr>
          <w:rFonts w:hint="eastAsia" w:ascii="楷体_GB2312" w:hAnsi="楷体_GB2312" w:eastAsia="楷体_GB2312" w:cs="楷体_GB2312"/>
          <w:b w:val="0"/>
          <w:bCs w:val="0"/>
          <w:color w:val="auto"/>
          <w:sz w:val="32"/>
          <w:szCs w:val="32"/>
          <w:highlight w:val="none"/>
          <w:lang w:val="en-US" w:eastAsia="zh-CN"/>
        </w:rPr>
        <w:t>〔2024〕17号</w:t>
      </w:r>
      <w:r>
        <w:rPr>
          <w:rFonts w:hint="eastAsia" w:ascii="仿宋_GB2312" w:hAnsi="仿宋_GB2312" w:eastAsia="仿宋_GB2312" w:cs="仿宋_GB2312"/>
          <w:b w:val="0"/>
          <w:bCs w:val="0"/>
          <w:color w:val="auto"/>
          <w:sz w:val="32"/>
          <w:szCs w:val="32"/>
          <w:highlight w:val="none"/>
          <w:lang w:val="en-US" w:eastAsia="zh-CN"/>
        </w:rPr>
        <w:t>）工作要求和安排部署，深入推进政府信息公开工作，进一步提高了政务公开实效。2024年我中心通过政府网站发布信息共计25条。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i w:val="0"/>
          <w:iCs w:val="0"/>
          <w:color w:val="auto"/>
          <w:sz w:val="32"/>
          <w:szCs w:val="32"/>
          <w:lang w:val="en-US" w:eastAsia="zh-CN"/>
        </w:rPr>
      </w:pPr>
      <w:r>
        <w:rPr>
          <w:rFonts w:hint="eastAsia" w:ascii="黑体" w:hAnsi="黑体" w:eastAsia="黑体" w:cs="黑体"/>
          <w:b w:val="0"/>
          <w:bCs/>
          <w:i w:val="0"/>
          <w:iCs w:val="0"/>
          <w:color w:val="auto"/>
          <w:sz w:val="32"/>
          <w:szCs w:val="32"/>
          <w:lang w:val="en-US" w:eastAsia="zh-CN"/>
        </w:rPr>
        <w:t>二、主动公开政府信息情况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3"/>
        <w:gridCol w:w="2220"/>
        <w:gridCol w:w="2160"/>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4"/>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信息内容</w:t>
            </w:r>
          </w:p>
        </w:tc>
        <w:tc>
          <w:tcPr>
            <w:tcW w:w="222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本年制发件数</w:t>
            </w:r>
          </w:p>
        </w:tc>
        <w:tc>
          <w:tcPr>
            <w:tcW w:w="216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本年废止件数</w:t>
            </w:r>
          </w:p>
        </w:tc>
        <w:tc>
          <w:tcPr>
            <w:tcW w:w="2167"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规章</w:t>
            </w:r>
          </w:p>
        </w:tc>
        <w:tc>
          <w:tcPr>
            <w:tcW w:w="222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0</w:t>
            </w:r>
          </w:p>
        </w:tc>
        <w:tc>
          <w:tcPr>
            <w:tcW w:w="216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0</w:t>
            </w:r>
          </w:p>
        </w:tc>
        <w:tc>
          <w:tcPr>
            <w:tcW w:w="2167"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规范性文件</w:t>
            </w:r>
          </w:p>
        </w:tc>
        <w:tc>
          <w:tcPr>
            <w:tcW w:w="222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0</w:t>
            </w:r>
          </w:p>
        </w:tc>
        <w:tc>
          <w:tcPr>
            <w:tcW w:w="216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0</w:t>
            </w:r>
          </w:p>
        </w:tc>
        <w:tc>
          <w:tcPr>
            <w:tcW w:w="2167"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4"/>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信息内容</w:t>
            </w:r>
          </w:p>
        </w:tc>
        <w:tc>
          <w:tcPr>
            <w:tcW w:w="6547" w:type="dxa"/>
            <w:gridSpan w:val="3"/>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行政许可</w:t>
            </w:r>
          </w:p>
        </w:tc>
        <w:tc>
          <w:tcPr>
            <w:tcW w:w="6547" w:type="dxa"/>
            <w:gridSpan w:val="3"/>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4"/>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信息内容</w:t>
            </w:r>
          </w:p>
        </w:tc>
        <w:tc>
          <w:tcPr>
            <w:tcW w:w="6547" w:type="dxa"/>
            <w:gridSpan w:val="3"/>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行政处罚</w:t>
            </w:r>
          </w:p>
        </w:tc>
        <w:tc>
          <w:tcPr>
            <w:tcW w:w="6547" w:type="dxa"/>
            <w:gridSpan w:val="3"/>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行政强制</w:t>
            </w:r>
          </w:p>
        </w:tc>
        <w:tc>
          <w:tcPr>
            <w:tcW w:w="6547" w:type="dxa"/>
            <w:gridSpan w:val="3"/>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4"/>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信息内容</w:t>
            </w:r>
          </w:p>
        </w:tc>
        <w:tc>
          <w:tcPr>
            <w:tcW w:w="6547" w:type="dxa"/>
            <w:gridSpan w:val="3"/>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行政事业性收费</w:t>
            </w:r>
          </w:p>
        </w:tc>
        <w:tc>
          <w:tcPr>
            <w:tcW w:w="6547" w:type="dxa"/>
            <w:gridSpan w:val="3"/>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i w:val="0"/>
                <w:iCs w:val="0"/>
                <w:color w:val="auto"/>
                <w:sz w:val="24"/>
                <w:szCs w:val="24"/>
                <w:vertAlign w:val="baseline"/>
                <w:lang w:val="en-US" w:eastAsia="zh-CN"/>
              </w:rPr>
            </w:pPr>
            <w:r>
              <w:rPr>
                <w:rFonts w:hint="eastAsia" w:ascii="仿宋_GB2312" w:hAnsi="仿宋_GB2312" w:eastAsia="仿宋_GB2312" w:cs="仿宋_GB2312"/>
                <w:b w:val="0"/>
                <w:bCs/>
                <w:i w:val="0"/>
                <w:iCs w:val="0"/>
                <w:color w:val="auto"/>
                <w:sz w:val="24"/>
                <w:szCs w:val="24"/>
                <w:vertAlign w:val="baseline"/>
                <w:lang w:val="en-US" w:eastAsia="zh-CN"/>
              </w:rPr>
              <w:t>0</w:t>
            </w:r>
          </w:p>
        </w:tc>
      </w:tr>
    </w:tbl>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400" w:lineRule="exact"/>
        <w:jc w:val="left"/>
        <w:textAlignment w:val="auto"/>
        <w:rPr>
          <w:rFonts w:hint="eastAsia" w:ascii="黑体" w:hAnsi="黑体" w:eastAsia="黑体" w:cs="黑体"/>
          <w:b w:val="0"/>
          <w:bCs/>
          <w:i w:val="0"/>
          <w:iCs w:val="0"/>
          <w:color w:val="auto"/>
          <w:sz w:val="32"/>
          <w:szCs w:val="32"/>
          <w:lang w:val="en-US" w:eastAsia="zh-CN"/>
        </w:rPr>
      </w:pPr>
      <w:r>
        <w:rPr>
          <w:rFonts w:hint="eastAsia" w:ascii="黑体" w:hAnsi="黑体" w:eastAsia="黑体" w:cs="黑体"/>
          <w:b w:val="0"/>
          <w:bCs/>
          <w:i w:val="0"/>
          <w:iCs w:val="0"/>
          <w:color w:val="auto"/>
          <w:sz w:val="32"/>
          <w:szCs w:val="32"/>
          <w:lang w:val="en-US" w:eastAsia="zh-CN"/>
        </w:rPr>
        <w:t>三、收到和处理政府信息公开申请情况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945"/>
        <w:gridCol w:w="3180"/>
        <w:gridCol w:w="390"/>
        <w:gridCol w:w="705"/>
        <w:gridCol w:w="735"/>
        <w:gridCol w:w="765"/>
        <w:gridCol w:w="735"/>
        <w:gridCol w:w="495"/>
        <w:gridCol w:w="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gridSpan w:val="3"/>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（本列数据的勾稽关系为：第一项加第二项之和，等于第三项加第四项之和）</w:t>
            </w:r>
          </w:p>
        </w:tc>
        <w:tc>
          <w:tcPr>
            <w:tcW w:w="4207" w:type="dxa"/>
            <w:gridSpan w:val="7"/>
          </w:tcPr>
          <w:p>
            <w:pPr>
              <w:pStyle w:val="2"/>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gridSpan w:val="3"/>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90" w:type="dxa"/>
            <w:vMerge w:val="restart"/>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自然人</w:t>
            </w:r>
          </w:p>
        </w:tc>
        <w:tc>
          <w:tcPr>
            <w:tcW w:w="3435" w:type="dxa"/>
            <w:gridSpan w:val="5"/>
          </w:tcPr>
          <w:p>
            <w:pPr>
              <w:pStyle w:val="2"/>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法人或其他组织</w:t>
            </w:r>
          </w:p>
        </w:tc>
        <w:tc>
          <w:tcPr>
            <w:tcW w:w="382" w:type="dxa"/>
            <w:vMerge w:val="restart"/>
          </w:tcPr>
          <w:p>
            <w:pPr>
              <w:pStyle w:val="2"/>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gridSpan w:val="3"/>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90"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7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商业企业</w:t>
            </w:r>
          </w:p>
        </w:tc>
        <w:tc>
          <w:tcPr>
            <w:tcW w:w="73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科研机构</w:t>
            </w:r>
          </w:p>
        </w:tc>
        <w:tc>
          <w:tcPr>
            <w:tcW w:w="76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社会公益组织</w:t>
            </w:r>
          </w:p>
        </w:tc>
        <w:tc>
          <w:tcPr>
            <w:tcW w:w="73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法律服务机构</w:t>
            </w:r>
          </w:p>
        </w:tc>
        <w:tc>
          <w:tcPr>
            <w:tcW w:w="49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其他</w:t>
            </w:r>
          </w:p>
        </w:tc>
        <w:tc>
          <w:tcPr>
            <w:tcW w:w="382"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gridSpan w:val="3"/>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一、本年新收政府信息公开申请数量</w:t>
            </w:r>
          </w:p>
        </w:tc>
        <w:tc>
          <w:tcPr>
            <w:tcW w:w="39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gridSpan w:val="3"/>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二、上年结转政府信息公开申请数量</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restart"/>
            <w:vAlign w:val="center"/>
          </w:tcPr>
          <w:p>
            <w:pPr>
              <w:pStyle w:val="2"/>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三、本年度办理结果</w:t>
            </w:r>
          </w:p>
        </w:tc>
        <w:tc>
          <w:tcPr>
            <w:tcW w:w="4125" w:type="dxa"/>
            <w:gridSpan w:val="2"/>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（一）予以公开</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4125" w:type="dxa"/>
            <w:gridSpan w:val="2"/>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（二）部分公开（区分处理的，只计这一情形，不计其他情形）</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（三）不予公开</w:t>
            </w: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1"/>
                <w:szCs w:val="21"/>
                <w:vertAlign w:val="baseline"/>
                <w:lang w:val="en-US" w:eastAsia="zh-CN" w:bidi="ar-SA"/>
              </w:rPr>
            </w:pPr>
            <w:r>
              <w:rPr>
                <w:rFonts w:hint="eastAsia" w:ascii="仿宋_GB2312" w:hAnsi="仿宋_GB2312" w:eastAsia="仿宋_GB2312" w:cs="仿宋_GB2312"/>
                <w:b w:val="0"/>
                <w:bCs/>
                <w:i w:val="0"/>
                <w:iCs w:val="0"/>
                <w:color w:val="auto"/>
                <w:kern w:val="2"/>
                <w:sz w:val="21"/>
                <w:szCs w:val="21"/>
                <w:vertAlign w:val="baseline"/>
                <w:lang w:val="en-US" w:eastAsia="zh-CN" w:bidi="ar-SA"/>
              </w:rPr>
              <w:t>1.属于国家秘密</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b w:val="0"/>
                <w:bCs/>
                <w:i w:val="0"/>
                <w:iCs w:val="0"/>
                <w:color w:val="auto"/>
                <w:kern w:val="2"/>
                <w:sz w:val="21"/>
                <w:szCs w:val="21"/>
                <w:vertAlign w:val="baseline"/>
                <w:lang w:val="en-US" w:eastAsia="zh-CN" w:bidi="ar-SA"/>
              </w:rPr>
            </w:pPr>
            <w:r>
              <w:rPr>
                <w:rFonts w:hint="eastAsia" w:ascii="仿宋_GB2312" w:hAnsi="仿宋_GB2312" w:eastAsia="仿宋_GB2312" w:cs="仿宋_GB2312"/>
                <w:b w:val="0"/>
                <w:bCs/>
                <w:i w:val="0"/>
                <w:iCs w:val="0"/>
                <w:color w:val="auto"/>
                <w:kern w:val="2"/>
                <w:sz w:val="21"/>
                <w:szCs w:val="21"/>
                <w:vertAlign w:val="baseline"/>
                <w:lang w:val="en-US" w:eastAsia="zh-CN" w:bidi="ar-SA"/>
              </w:rPr>
              <w:t>2.其他法律行政法规禁止公开</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1"/>
                <w:szCs w:val="21"/>
                <w:vertAlign w:val="baseline"/>
                <w:lang w:val="en-US" w:eastAsia="zh-CN" w:bidi="ar-SA"/>
              </w:rPr>
            </w:pPr>
            <w:r>
              <w:rPr>
                <w:rFonts w:hint="eastAsia" w:ascii="仿宋_GB2312" w:hAnsi="仿宋_GB2312" w:eastAsia="仿宋_GB2312" w:cs="仿宋_GB2312"/>
                <w:b w:val="0"/>
                <w:bCs/>
                <w:i w:val="0"/>
                <w:iCs w:val="0"/>
                <w:color w:val="auto"/>
                <w:kern w:val="2"/>
                <w:sz w:val="21"/>
                <w:szCs w:val="21"/>
                <w:vertAlign w:val="baseline"/>
                <w:lang w:val="en-US" w:eastAsia="zh-CN" w:bidi="ar-SA"/>
              </w:rPr>
              <w:t>3.危及“三安全一稳定”</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1"/>
                <w:szCs w:val="21"/>
                <w:vertAlign w:val="baseline"/>
                <w:lang w:val="en-US" w:eastAsia="zh-CN" w:bidi="ar-SA"/>
              </w:rPr>
            </w:pPr>
            <w:r>
              <w:rPr>
                <w:rFonts w:hint="eastAsia" w:ascii="仿宋_GB2312" w:hAnsi="仿宋_GB2312" w:eastAsia="仿宋_GB2312" w:cs="仿宋_GB2312"/>
                <w:b w:val="0"/>
                <w:bCs/>
                <w:i w:val="0"/>
                <w:iCs w:val="0"/>
                <w:color w:val="auto"/>
                <w:kern w:val="2"/>
                <w:sz w:val="21"/>
                <w:szCs w:val="21"/>
                <w:vertAlign w:val="baseline"/>
                <w:lang w:val="en-US" w:eastAsia="zh-CN" w:bidi="ar-SA"/>
              </w:rPr>
              <w:t>4.保护第三方合法权益</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1"/>
                <w:szCs w:val="21"/>
                <w:vertAlign w:val="baseline"/>
                <w:lang w:val="en-US" w:eastAsia="zh-CN" w:bidi="ar-SA"/>
              </w:rPr>
            </w:pPr>
            <w:r>
              <w:rPr>
                <w:rFonts w:hint="eastAsia" w:ascii="仿宋_GB2312" w:hAnsi="仿宋_GB2312" w:eastAsia="仿宋_GB2312" w:cs="仿宋_GB2312"/>
                <w:b w:val="0"/>
                <w:bCs/>
                <w:i w:val="0"/>
                <w:iCs w:val="0"/>
                <w:color w:val="auto"/>
                <w:kern w:val="2"/>
                <w:sz w:val="21"/>
                <w:szCs w:val="21"/>
                <w:vertAlign w:val="baseline"/>
                <w:lang w:val="en-US" w:eastAsia="zh-CN" w:bidi="ar-SA"/>
              </w:rPr>
              <w:t>5.属于三类内部事务信息</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1"/>
                <w:szCs w:val="21"/>
                <w:vertAlign w:val="baseline"/>
                <w:lang w:val="en-US" w:eastAsia="zh-CN" w:bidi="ar-SA"/>
              </w:rPr>
            </w:pPr>
            <w:r>
              <w:rPr>
                <w:rFonts w:hint="eastAsia" w:ascii="仿宋_GB2312" w:hAnsi="仿宋_GB2312" w:eastAsia="仿宋_GB2312" w:cs="仿宋_GB2312"/>
                <w:b w:val="0"/>
                <w:bCs/>
                <w:i w:val="0"/>
                <w:iCs w:val="0"/>
                <w:color w:val="auto"/>
                <w:kern w:val="2"/>
                <w:sz w:val="21"/>
                <w:szCs w:val="21"/>
                <w:vertAlign w:val="baseline"/>
                <w:lang w:val="en-US" w:eastAsia="zh-CN" w:bidi="ar-SA"/>
              </w:rPr>
              <w:t>6.属于四类过程性信息</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1"/>
                <w:szCs w:val="21"/>
                <w:vertAlign w:val="baseline"/>
                <w:lang w:val="en-US" w:eastAsia="zh-CN" w:bidi="ar-SA"/>
              </w:rPr>
            </w:pPr>
            <w:r>
              <w:rPr>
                <w:rFonts w:hint="eastAsia" w:ascii="仿宋_GB2312" w:hAnsi="仿宋_GB2312" w:eastAsia="仿宋_GB2312" w:cs="仿宋_GB2312"/>
                <w:b w:val="0"/>
                <w:bCs/>
                <w:i w:val="0"/>
                <w:iCs w:val="0"/>
                <w:color w:val="auto"/>
                <w:kern w:val="2"/>
                <w:sz w:val="21"/>
                <w:szCs w:val="21"/>
                <w:vertAlign w:val="baseline"/>
                <w:lang w:val="en-US" w:eastAsia="zh-CN" w:bidi="ar-SA"/>
              </w:rPr>
              <w:t>7.属于行政执法案件</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1"/>
                <w:szCs w:val="21"/>
                <w:vertAlign w:val="baseline"/>
                <w:lang w:val="en-US" w:eastAsia="zh-CN" w:bidi="ar-SA"/>
              </w:rPr>
            </w:pPr>
            <w:r>
              <w:rPr>
                <w:rFonts w:hint="eastAsia" w:ascii="仿宋_GB2312" w:hAnsi="仿宋_GB2312" w:eastAsia="仿宋_GB2312" w:cs="仿宋_GB2312"/>
                <w:b w:val="0"/>
                <w:bCs/>
                <w:i w:val="0"/>
                <w:iCs w:val="0"/>
                <w:color w:val="auto"/>
                <w:kern w:val="2"/>
                <w:sz w:val="21"/>
                <w:szCs w:val="21"/>
                <w:vertAlign w:val="baseline"/>
                <w:lang w:val="en-US" w:eastAsia="zh-CN" w:bidi="ar-SA"/>
              </w:rPr>
              <w:t>8.属于行政查询事项</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restart"/>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（四）无法提供</w:t>
            </w: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1"/>
                <w:szCs w:val="21"/>
                <w:vertAlign w:val="baseline"/>
                <w:lang w:val="en-US" w:eastAsia="zh-CN" w:bidi="ar-SA"/>
              </w:rPr>
            </w:pPr>
            <w:r>
              <w:rPr>
                <w:rFonts w:hint="eastAsia" w:ascii="仿宋_GB2312" w:hAnsi="仿宋_GB2312" w:eastAsia="仿宋_GB2312" w:cs="仿宋_GB2312"/>
                <w:b w:val="0"/>
                <w:bCs/>
                <w:i w:val="0"/>
                <w:iCs w:val="0"/>
                <w:color w:val="auto"/>
                <w:kern w:val="2"/>
                <w:sz w:val="21"/>
                <w:szCs w:val="21"/>
                <w:vertAlign w:val="baseline"/>
                <w:lang w:val="en-US" w:eastAsia="zh-CN" w:bidi="ar-SA"/>
              </w:rPr>
              <w:t>1.本机关不掌握相关政府信息</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1"/>
                <w:szCs w:val="21"/>
                <w:vertAlign w:val="baseline"/>
                <w:lang w:val="en-US" w:eastAsia="zh-CN" w:bidi="ar-SA"/>
              </w:rPr>
            </w:pPr>
            <w:r>
              <w:rPr>
                <w:rFonts w:hint="eastAsia" w:ascii="仿宋_GB2312" w:hAnsi="仿宋_GB2312" w:eastAsia="仿宋_GB2312" w:cs="仿宋_GB2312"/>
                <w:b w:val="0"/>
                <w:bCs/>
                <w:i w:val="0"/>
                <w:iCs w:val="0"/>
                <w:color w:val="auto"/>
                <w:kern w:val="2"/>
                <w:sz w:val="21"/>
                <w:szCs w:val="21"/>
                <w:vertAlign w:val="baseline"/>
                <w:lang w:val="en-US" w:eastAsia="zh-CN" w:bidi="ar-SA"/>
              </w:rPr>
              <w:t>2.没有现成信息需要另行制作</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1"/>
                <w:szCs w:val="21"/>
                <w:vertAlign w:val="baseline"/>
                <w:lang w:val="en-US" w:eastAsia="zh-CN" w:bidi="ar-SA"/>
              </w:rPr>
            </w:pPr>
            <w:r>
              <w:rPr>
                <w:rFonts w:hint="eastAsia" w:ascii="仿宋_GB2312" w:hAnsi="仿宋_GB2312" w:eastAsia="仿宋_GB2312" w:cs="仿宋_GB2312"/>
                <w:b w:val="0"/>
                <w:bCs/>
                <w:i w:val="0"/>
                <w:iCs w:val="0"/>
                <w:color w:val="auto"/>
                <w:kern w:val="2"/>
                <w:sz w:val="21"/>
                <w:szCs w:val="21"/>
                <w:vertAlign w:val="baseline"/>
                <w:lang w:val="en-US" w:eastAsia="zh-CN" w:bidi="ar-SA"/>
              </w:rPr>
              <w:t>3.补正后申请内容仍不明确</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restart"/>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（五）不予处理</w:t>
            </w: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1.信访举报投诉类渠道</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2.重复申请</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3.要求提供公开出版物</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4.无正当理由大量反复申请</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5.要求行政机关确认或重新出具已获取信息</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restart"/>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（六）其他处理</w:t>
            </w:r>
          </w:p>
        </w:tc>
        <w:tc>
          <w:tcPr>
            <w:tcW w:w="318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1.申请人无正当理由逾期不补正、行政机关不再处理其政府信息公开申请</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2.申请人逾期未按收费通知要求缴纳费用、行政机关不再处理其政府信息公开申请</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945"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3180" w:type="dxa"/>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3.其他</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p>
        </w:tc>
        <w:tc>
          <w:tcPr>
            <w:tcW w:w="4125" w:type="dxa"/>
            <w:gridSpan w:val="2"/>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（七）总计</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gridSpan w:val="3"/>
          </w:tcPr>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四、结转下年度继续办理</w:t>
            </w:r>
          </w:p>
        </w:tc>
        <w:tc>
          <w:tcPr>
            <w:tcW w:w="390"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0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6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73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495"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c>
          <w:tcPr>
            <w:tcW w:w="382" w:type="dxa"/>
            <w:vAlign w:val="top"/>
          </w:tcPr>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i w:val="0"/>
                <w:iCs w:val="0"/>
                <w:color w:val="auto"/>
                <w:kern w:val="2"/>
                <w:sz w:val="24"/>
                <w:szCs w:val="24"/>
                <w:vertAlign w:val="baseline"/>
                <w:lang w:val="en-US" w:eastAsia="zh-CN" w:bidi="ar-SA"/>
              </w:rPr>
            </w:pPr>
            <w:r>
              <w:rPr>
                <w:rFonts w:hint="eastAsia" w:ascii="仿宋_GB2312" w:hAnsi="仿宋_GB2312" w:eastAsia="仿宋_GB2312" w:cs="仿宋_GB2312"/>
                <w:b w:val="0"/>
                <w:bCs/>
                <w:i w:val="0"/>
                <w:iCs w:val="0"/>
                <w:color w:val="auto"/>
                <w:kern w:val="2"/>
                <w:sz w:val="24"/>
                <w:szCs w:val="24"/>
                <w:vertAlign w:val="baseline"/>
                <w:lang w:val="en-US" w:eastAsia="zh-CN" w:bidi="ar-SA"/>
              </w:rPr>
              <w:t>0</w:t>
            </w:r>
          </w:p>
        </w:tc>
      </w:tr>
    </w:tbl>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400" w:lineRule="exact"/>
        <w:jc w:val="left"/>
        <w:textAlignment w:val="auto"/>
        <w:rPr>
          <w:rFonts w:hint="eastAsia" w:ascii="黑体" w:hAnsi="黑体" w:eastAsia="黑体" w:cs="黑体"/>
          <w:b w:val="0"/>
          <w:bCs/>
          <w:i w:val="0"/>
          <w:iCs w:val="0"/>
          <w:color w:val="auto"/>
          <w:sz w:val="32"/>
          <w:szCs w:val="32"/>
          <w:lang w:val="en-US" w:eastAsia="zh-CN"/>
        </w:rPr>
      </w:pPr>
      <w:r>
        <w:rPr>
          <w:rFonts w:hint="eastAsia" w:ascii="黑体" w:hAnsi="黑体" w:eastAsia="黑体" w:cs="黑体"/>
          <w:b w:val="0"/>
          <w:bCs/>
          <w:i w:val="0"/>
          <w:iCs w:val="0"/>
          <w:color w:val="auto"/>
          <w:sz w:val="32"/>
          <w:szCs w:val="32"/>
          <w:lang w:val="en-US" w:eastAsia="zh-CN"/>
        </w:rPr>
        <w:t>四、政府信息公开行政复议、行政诉讼情况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510"/>
        <w:gridCol w:w="604"/>
        <w:gridCol w:w="604"/>
        <w:gridCol w:w="604"/>
        <w:gridCol w:w="604"/>
        <w:gridCol w:w="604"/>
        <w:gridCol w:w="604"/>
        <w:gridCol w:w="604"/>
        <w:gridCol w:w="604"/>
        <w:gridCol w:w="604"/>
        <w:gridCol w:w="60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020" w:type="dxa"/>
            <w:gridSpan w:val="5"/>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行政复议</w:t>
            </w:r>
          </w:p>
        </w:tc>
        <w:tc>
          <w:tcPr>
            <w:tcW w:w="6040" w:type="dxa"/>
            <w:gridSpan w:val="10"/>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8" w:type="dxa"/>
            <w:vMerge w:val="restart"/>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结果维持</w:t>
            </w:r>
          </w:p>
        </w:tc>
        <w:tc>
          <w:tcPr>
            <w:tcW w:w="510" w:type="dxa"/>
            <w:vMerge w:val="restart"/>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结果纠正</w:t>
            </w:r>
          </w:p>
        </w:tc>
        <w:tc>
          <w:tcPr>
            <w:tcW w:w="604" w:type="dxa"/>
            <w:vMerge w:val="restart"/>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其他结果</w:t>
            </w:r>
          </w:p>
        </w:tc>
        <w:tc>
          <w:tcPr>
            <w:tcW w:w="604" w:type="dxa"/>
            <w:vMerge w:val="restart"/>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尚未审结</w:t>
            </w:r>
          </w:p>
        </w:tc>
        <w:tc>
          <w:tcPr>
            <w:tcW w:w="604" w:type="dxa"/>
            <w:vMerge w:val="restart"/>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总结</w:t>
            </w:r>
          </w:p>
        </w:tc>
        <w:tc>
          <w:tcPr>
            <w:tcW w:w="3020" w:type="dxa"/>
            <w:gridSpan w:val="5"/>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未经复议直接起诉</w:t>
            </w:r>
          </w:p>
        </w:tc>
        <w:tc>
          <w:tcPr>
            <w:tcW w:w="3020" w:type="dxa"/>
            <w:gridSpan w:val="5"/>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Merge w:val="continue"/>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p>
        </w:tc>
        <w:tc>
          <w:tcPr>
            <w:tcW w:w="510" w:type="dxa"/>
            <w:vMerge w:val="continue"/>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p>
        </w:tc>
        <w:tc>
          <w:tcPr>
            <w:tcW w:w="604" w:type="dxa"/>
            <w:vMerge w:val="continue"/>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p>
        </w:tc>
        <w:tc>
          <w:tcPr>
            <w:tcW w:w="604" w:type="dxa"/>
            <w:vMerge w:val="continue"/>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p>
        </w:tc>
        <w:tc>
          <w:tcPr>
            <w:tcW w:w="604" w:type="dxa"/>
            <w:vMerge w:val="continue"/>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p>
        </w:tc>
        <w:tc>
          <w:tcPr>
            <w:tcW w:w="604" w:type="dxa"/>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结果维持</w:t>
            </w:r>
          </w:p>
        </w:tc>
        <w:tc>
          <w:tcPr>
            <w:tcW w:w="604" w:type="dxa"/>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结果纠正</w:t>
            </w:r>
          </w:p>
        </w:tc>
        <w:tc>
          <w:tcPr>
            <w:tcW w:w="604" w:type="dxa"/>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其他结果</w:t>
            </w:r>
          </w:p>
        </w:tc>
        <w:tc>
          <w:tcPr>
            <w:tcW w:w="604" w:type="dxa"/>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尚未审结</w:t>
            </w:r>
          </w:p>
        </w:tc>
        <w:tc>
          <w:tcPr>
            <w:tcW w:w="604" w:type="dxa"/>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总计</w:t>
            </w:r>
          </w:p>
        </w:tc>
        <w:tc>
          <w:tcPr>
            <w:tcW w:w="604" w:type="dxa"/>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结果维持</w:t>
            </w:r>
          </w:p>
        </w:tc>
        <w:tc>
          <w:tcPr>
            <w:tcW w:w="604" w:type="dxa"/>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结果纠正</w:t>
            </w:r>
          </w:p>
        </w:tc>
        <w:tc>
          <w:tcPr>
            <w:tcW w:w="604" w:type="dxa"/>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其他结果</w:t>
            </w:r>
          </w:p>
        </w:tc>
        <w:tc>
          <w:tcPr>
            <w:tcW w:w="604" w:type="dxa"/>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尚未审结</w:t>
            </w:r>
          </w:p>
        </w:tc>
        <w:tc>
          <w:tcPr>
            <w:tcW w:w="604" w:type="dxa"/>
          </w:tcPr>
          <w:p>
            <w:pPr>
              <w:pStyle w:val="2"/>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510"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604"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604"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604"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604"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604"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604"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604"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604"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604"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604"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604"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604"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604" w:type="dxa"/>
          </w:tcPr>
          <w:p>
            <w:pPr>
              <w:pStyle w:val="2"/>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r>
    </w:tbl>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auto"/>
        <w:rPr>
          <w:rFonts w:hint="default" w:ascii="黑体" w:hAnsi="黑体" w:eastAsia="黑体" w:cs="黑体"/>
          <w:b w:val="0"/>
          <w:bCs/>
          <w:i w:val="0"/>
          <w:iCs w:val="0"/>
          <w:color w:val="auto"/>
          <w:sz w:val="32"/>
          <w:szCs w:val="32"/>
          <w:lang w:val="en-US" w:eastAsia="zh-CN"/>
        </w:rPr>
      </w:pPr>
      <w:r>
        <w:rPr>
          <w:rFonts w:hint="eastAsia" w:ascii="黑体" w:hAnsi="黑体" w:eastAsia="黑体" w:cs="黑体"/>
          <w:b w:val="0"/>
          <w:bCs/>
          <w:i w:val="0"/>
          <w:iCs w:val="0"/>
          <w:color w:val="auto"/>
          <w:sz w:val="32"/>
          <w:szCs w:val="32"/>
          <w:lang w:val="en-US" w:eastAsia="zh-CN"/>
        </w:rPr>
        <w:t>五、存在的主要问题及改进情况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2024年在政府信息公开方面我中心虽然取得了一定成效，但在工作中还存在一些问题。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存在问题：</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sz w:val="32"/>
          <w:szCs w:val="32"/>
          <w:lang w:val="en-US" w:eastAsia="zh-CN"/>
        </w:rPr>
        <w:t>信息公开工作在规章和行政规范性文件主动公开的效率需进一步提高，政策公开和解读的方式还需进一步丰富</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信息数量较少。</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政务公开工作人员业务水平有待进一步增强。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jc w:val="left"/>
        <w:textAlignment w:val="auto"/>
        <w:rPr>
          <w:rFonts w:hint="default"/>
          <w:lang w:val="en-US" w:eastAsia="zh-CN"/>
        </w:rPr>
      </w:pPr>
      <w:r>
        <w:rPr>
          <w:rFonts w:hint="eastAsia" w:ascii="楷体_GB2312" w:hAnsi="楷体_GB2312" w:eastAsia="楷体_GB2312" w:cs="楷体_GB2312"/>
          <w:b/>
          <w:bCs/>
          <w:color w:val="auto"/>
          <w:sz w:val="32"/>
          <w:szCs w:val="32"/>
          <w:lang w:val="en-US" w:eastAsia="zh-CN"/>
        </w:rPr>
        <w:t>改进情况：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全面学习政务公开工作有关政策，</w:t>
      </w:r>
      <w:r>
        <w:rPr>
          <w:rFonts w:hint="eastAsia" w:ascii="Times New Roman" w:hAnsi="Times New Roman" w:eastAsia="仿宋_GB2312" w:cs="宋体"/>
          <w:sz w:val="32"/>
          <w:szCs w:val="32"/>
        </w:rPr>
        <w:t>深入学习《中华人民共和国政府信息公开条例》</w:t>
      </w:r>
      <w:r>
        <w:rPr>
          <w:rFonts w:hint="eastAsia" w:ascii="Times New Roman" w:hAnsi="Times New Roman" w:eastAsia="仿宋_GB2312" w:cs="宋体"/>
          <w:sz w:val="32"/>
          <w:szCs w:val="32"/>
          <w:lang w:val="en-US" w:eastAsia="zh-CN"/>
        </w:rPr>
        <w:t>等</w:t>
      </w:r>
      <w:r>
        <w:rPr>
          <w:rFonts w:hint="eastAsia" w:ascii="Times New Roman" w:hAnsi="Times New Roman" w:eastAsia="仿宋_GB2312" w:cs="宋体"/>
          <w:sz w:val="32"/>
          <w:szCs w:val="32"/>
        </w:rPr>
        <w:t>有关文件精神，做好政策解读工作，更好、更准确、更全面的把握政策要求，明确解读主体、范围、分工和具体操作流程，发挥政府信息公开在政府工作中的作用</w:t>
      </w:r>
      <w:r>
        <w:rPr>
          <w:rFonts w:hint="eastAsia" w:ascii="Times New Roman" w:hAnsi="Times New Roman" w:eastAsia="仿宋_GB2312" w:cs="宋体"/>
          <w:sz w:val="32"/>
          <w:szCs w:val="32"/>
          <w:lang w:eastAsia="zh-CN"/>
        </w:rPr>
        <w:t>，</w:t>
      </w:r>
      <w:r>
        <w:rPr>
          <w:rFonts w:hint="eastAsia" w:ascii="仿宋_GB2312" w:hAnsi="仿宋_GB2312" w:eastAsia="仿宋_GB2312" w:cs="仿宋_GB2312"/>
          <w:b w:val="0"/>
          <w:bCs w:val="0"/>
          <w:color w:val="auto"/>
          <w:sz w:val="32"/>
          <w:szCs w:val="32"/>
          <w:lang w:val="en-US" w:eastAsia="zh-CN"/>
        </w:rPr>
        <w:t>提高政务公开工作的业务水平和能力。</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充分调动全体党员干部参与信息工作的积极性，号召全员参与，强力推进信息资源共享工作，形成人人都是信息员的良好工作环境，增加信息公开数量，提高信息质量。</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通过业务培训和指导交流，不断提高政务公开工作人员专业化水平和业务能力。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b w:val="0"/>
          <w:bCs/>
          <w:i w:val="0"/>
          <w:iCs w:val="0"/>
          <w:color w:val="auto"/>
          <w:sz w:val="32"/>
          <w:szCs w:val="32"/>
          <w:lang w:val="en-US" w:eastAsia="zh-CN"/>
        </w:rPr>
      </w:pPr>
      <w:r>
        <w:rPr>
          <w:rFonts w:hint="eastAsia" w:ascii="黑体" w:hAnsi="黑体" w:eastAsia="黑体" w:cs="黑体"/>
          <w:b w:val="0"/>
          <w:bCs/>
          <w:i w:val="0"/>
          <w:iCs w:val="0"/>
          <w:color w:val="auto"/>
          <w:sz w:val="32"/>
          <w:szCs w:val="32"/>
          <w:lang w:val="en-US" w:eastAsia="zh-CN"/>
        </w:rPr>
        <w:t>六、其他需要报告的事项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按照《国务院办公厅关于印发〈政府信息公开信息处理费管理办法〉的通知》（国办函〔2020〕109号〕）规定的按件、按量收费标准，本年度没有产生信息公开处理费。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5440" w:firstLineChars="1700"/>
        <w:jc w:val="lef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5440" w:firstLineChars="1700"/>
        <w:jc w:val="lef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5440" w:firstLineChars="17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沙湾市政务服务中心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2025年1月23日</w:t>
      </w:r>
    </w:p>
    <w:p>
      <w:pPr>
        <w:pStyle w:val="2"/>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联 系 人：赵瑞</w:t>
      </w:r>
    </w:p>
    <w:p>
      <w:pPr>
        <w:keepNext w:val="0"/>
        <w:keepLines w:val="0"/>
        <w:pageBreakBefore w:val="0"/>
        <w:widowControl w:val="0"/>
        <w:kinsoku/>
        <w:wordWrap/>
        <w:overflowPunct/>
        <w:topLinePunct w:val="0"/>
        <w:autoSpaceDE/>
        <w:autoSpaceDN/>
        <w:bidi w:val="0"/>
        <w:spacing w:line="560" w:lineRule="exact"/>
        <w:jc w:val="left"/>
        <w:textAlignment w:val="auto"/>
        <w:rPr>
          <w:rFonts w:hint="default"/>
          <w:lang w:val="en-US" w:eastAsia="zh-CN"/>
        </w:rPr>
      </w:pPr>
      <w:r>
        <w:rPr>
          <w:rFonts w:hint="eastAsia" w:ascii="仿宋_GB2312" w:hAnsi="仿宋_GB2312" w:eastAsia="仿宋_GB2312" w:cs="仿宋_GB2312"/>
          <w:b w:val="0"/>
          <w:bCs w:val="0"/>
          <w:color w:val="auto"/>
          <w:sz w:val="32"/>
          <w:szCs w:val="32"/>
          <w:lang w:val="en-US" w:eastAsia="zh-CN"/>
        </w:rPr>
        <w:t>联系方式：15199582055</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F4DFC"/>
    <w:rsid w:val="001310EE"/>
    <w:rsid w:val="01541FBE"/>
    <w:rsid w:val="01F36148"/>
    <w:rsid w:val="029B44D3"/>
    <w:rsid w:val="02ED0A5A"/>
    <w:rsid w:val="049B749C"/>
    <w:rsid w:val="04A732AF"/>
    <w:rsid w:val="04FA6DDB"/>
    <w:rsid w:val="064B0456"/>
    <w:rsid w:val="06654509"/>
    <w:rsid w:val="06DD7862"/>
    <w:rsid w:val="070A2A99"/>
    <w:rsid w:val="074B5463"/>
    <w:rsid w:val="07EC690F"/>
    <w:rsid w:val="082D18F6"/>
    <w:rsid w:val="082F2F82"/>
    <w:rsid w:val="09A8571F"/>
    <w:rsid w:val="09FD2198"/>
    <w:rsid w:val="0AC32834"/>
    <w:rsid w:val="0BD41778"/>
    <w:rsid w:val="0D68630B"/>
    <w:rsid w:val="0D7A1AA8"/>
    <w:rsid w:val="0D830CB6"/>
    <w:rsid w:val="0E152FAC"/>
    <w:rsid w:val="0EB070DC"/>
    <w:rsid w:val="0EC07BC1"/>
    <w:rsid w:val="0FC306E9"/>
    <w:rsid w:val="10545A59"/>
    <w:rsid w:val="108904B2"/>
    <w:rsid w:val="10EF7223"/>
    <w:rsid w:val="129B5913"/>
    <w:rsid w:val="12FA6FB1"/>
    <w:rsid w:val="148C60C3"/>
    <w:rsid w:val="16265E64"/>
    <w:rsid w:val="17543053"/>
    <w:rsid w:val="17BE4C81"/>
    <w:rsid w:val="17F3249E"/>
    <w:rsid w:val="18010E13"/>
    <w:rsid w:val="18303CBB"/>
    <w:rsid w:val="185F480A"/>
    <w:rsid w:val="18D21BDA"/>
    <w:rsid w:val="19224548"/>
    <w:rsid w:val="19525097"/>
    <w:rsid w:val="195F43AD"/>
    <w:rsid w:val="1A5A4678"/>
    <w:rsid w:val="1A5A58C9"/>
    <w:rsid w:val="1AFA2058"/>
    <w:rsid w:val="1C0B5290"/>
    <w:rsid w:val="1D181F4A"/>
    <w:rsid w:val="1E583572"/>
    <w:rsid w:val="1EC16A83"/>
    <w:rsid w:val="1EF42755"/>
    <w:rsid w:val="1F25786B"/>
    <w:rsid w:val="1F94485C"/>
    <w:rsid w:val="2046687E"/>
    <w:rsid w:val="211749D8"/>
    <w:rsid w:val="21E04817"/>
    <w:rsid w:val="23436267"/>
    <w:rsid w:val="24EB0BA1"/>
    <w:rsid w:val="25BF65FB"/>
    <w:rsid w:val="260D0883"/>
    <w:rsid w:val="26C05118"/>
    <w:rsid w:val="273D0B77"/>
    <w:rsid w:val="274554FD"/>
    <w:rsid w:val="277933CE"/>
    <w:rsid w:val="28503431"/>
    <w:rsid w:val="28BA505F"/>
    <w:rsid w:val="28E613A6"/>
    <w:rsid w:val="29585E62"/>
    <w:rsid w:val="298973DB"/>
    <w:rsid w:val="29E60159"/>
    <w:rsid w:val="2A8C4F5A"/>
    <w:rsid w:val="2AEB07F7"/>
    <w:rsid w:val="2B33446E"/>
    <w:rsid w:val="2B7661DC"/>
    <w:rsid w:val="2B7A135F"/>
    <w:rsid w:val="2BAF445C"/>
    <w:rsid w:val="2BD716F9"/>
    <w:rsid w:val="2BFE2C3D"/>
    <w:rsid w:val="2E1113A3"/>
    <w:rsid w:val="2E461550"/>
    <w:rsid w:val="2E4B2482"/>
    <w:rsid w:val="2E6E003B"/>
    <w:rsid w:val="2EE4137C"/>
    <w:rsid w:val="2F9F78B1"/>
    <w:rsid w:val="2FD5681A"/>
    <w:rsid w:val="30E77847"/>
    <w:rsid w:val="31501EF7"/>
    <w:rsid w:val="325F1A77"/>
    <w:rsid w:val="330F4DFC"/>
    <w:rsid w:val="332848FF"/>
    <w:rsid w:val="333A4819"/>
    <w:rsid w:val="339C103A"/>
    <w:rsid w:val="340E0074"/>
    <w:rsid w:val="35897705"/>
    <w:rsid w:val="35F01175"/>
    <w:rsid w:val="361913CE"/>
    <w:rsid w:val="365319B0"/>
    <w:rsid w:val="36817AF9"/>
    <w:rsid w:val="369D3BA6"/>
    <w:rsid w:val="375D74DC"/>
    <w:rsid w:val="38987258"/>
    <w:rsid w:val="38BE10FC"/>
    <w:rsid w:val="39CD7260"/>
    <w:rsid w:val="3AD0140D"/>
    <w:rsid w:val="3BAC4273"/>
    <w:rsid w:val="3D2C727A"/>
    <w:rsid w:val="3D5C3FB9"/>
    <w:rsid w:val="3DEE7CCA"/>
    <w:rsid w:val="3EA55255"/>
    <w:rsid w:val="3F9B06C8"/>
    <w:rsid w:val="3FC91B34"/>
    <w:rsid w:val="40B25A3A"/>
    <w:rsid w:val="41302380"/>
    <w:rsid w:val="41EC3DB8"/>
    <w:rsid w:val="425E35DB"/>
    <w:rsid w:val="42A7632C"/>
    <w:rsid w:val="42D96EB9"/>
    <w:rsid w:val="42EA52D4"/>
    <w:rsid w:val="43AE4CF2"/>
    <w:rsid w:val="43D24ED2"/>
    <w:rsid w:val="442510D9"/>
    <w:rsid w:val="448167FE"/>
    <w:rsid w:val="44DA7903"/>
    <w:rsid w:val="458529BE"/>
    <w:rsid w:val="472F63F6"/>
    <w:rsid w:val="475F50A3"/>
    <w:rsid w:val="47A44BEB"/>
    <w:rsid w:val="48B039C4"/>
    <w:rsid w:val="4961356F"/>
    <w:rsid w:val="49AB26EA"/>
    <w:rsid w:val="49C60D15"/>
    <w:rsid w:val="4B737AD7"/>
    <w:rsid w:val="4BF957B2"/>
    <w:rsid w:val="4D185C09"/>
    <w:rsid w:val="4D67120C"/>
    <w:rsid w:val="4E144BA8"/>
    <w:rsid w:val="4ECA0E53"/>
    <w:rsid w:val="4EF61917"/>
    <w:rsid w:val="4F391107"/>
    <w:rsid w:val="4FD64FE1"/>
    <w:rsid w:val="4FF166B7"/>
    <w:rsid w:val="50234908"/>
    <w:rsid w:val="50835C26"/>
    <w:rsid w:val="512963B4"/>
    <w:rsid w:val="51E113E5"/>
    <w:rsid w:val="53B15DDD"/>
    <w:rsid w:val="545455E7"/>
    <w:rsid w:val="566662CB"/>
    <w:rsid w:val="57E37DC1"/>
    <w:rsid w:val="57E60ADA"/>
    <w:rsid w:val="57F13854"/>
    <w:rsid w:val="585B0D05"/>
    <w:rsid w:val="59C36FD2"/>
    <w:rsid w:val="5A554343"/>
    <w:rsid w:val="5A6310DA"/>
    <w:rsid w:val="5B314E1D"/>
    <w:rsid w:val="5B723495"/>
    <w:rsid w:val="5BF062E2"/>
    <w:rsid w:val="5C6F436D"/>
    <w:rsid w:val="5C840D54"/>
    <w:rsid w:val="5D1E0F52"/>
    <w:rsid w:val="5D3046F0"/>
    <w:rsid w:val="5DA62130"/>
    <w:rsid w:val="5E096C5A"/>
    <w:rsid w:val="5E394EA7"/>
    <w:rsid w:val="5E471CBA"/>
    <w:rsid w:val="5E6202E5"/>
    <w:rsid w:val="5EB61D4B"/>
    <w:rsid w:val="5F7E303B"/>
    <w:rsid w:val="5F933EDA"/>
    <w:rsid w:val="5FED586D"/>
    <w:rsid w:val="60323DAB"/>
    <w:rsid w:val="6231350E"/>
    <w:rsid w:val="62C25396"/>
    <w:rsid w:val="62D21DAE"/>
    <w:rsid w:val="62E010C3"/>
    <w:rsid w:val="62E02974"/>
    <w:rsid w:val="62EB7913"/>
    <w:rsid w:val="643861FD"/>
    <w:rsid w:val="66FF570B"/>
    <w:rsid w:val="688D0395"/>
    <w:rsid w:val="68CC36FD"/>
    <w:rsid w:val="68D545C8"/>
    <w:rsid w:val="68E214DC"/>
    <w:rsid w:val="69164A76"/>
    <w:rsid w:val="698044A5"/>
    <w:rsid w:val="69B610FC"/>
    <w:rsid w:val="6C0F21D5"/>
    <w:rsid w:val="6C411AAB"/>
    <w:rsid w:val="6C710F75"/>
    <w:rsid w:val="6D162D88"/>
    <w:rsid w:val="6D3F614A"/>
    <w:rsid w:val="6D692884"/>
    <w:rsid w:val="6E1C4834"/>
    <w:rsid w:val="6EAA0C20"/>
    <w:rsid w:val="6FBD3F60"/>
    <w:rsid w:val="704A134B"/>
    <w:rsid w:val="710A7485"/>
    <w:rsid w:val="71671231"/>
    <w:rsid w:val="72445F08"/>
    <w:rsid w:val="726F6D4C"/>
    <w:rsid w:val="73391C98"/>
    <w:rsid w:val="737465FA"/>
    <w:rsid w:val="73E752B4"/>
    <w:rsid w:val="751C2634"/>
    <w:rsid w:val="75815055"/>
    <w:rsid w:val="76CE7275"/>
    <w:rsid w:val="76DB1E0E"/>
    <w:rsid w:val="775C1463"/>
    <w:rsid w:val="77A02E51"/>
    <w:rsid w:val="77C23DC8"/>
    <w:rsid w:val="781C459E"/>
    <w:rsid w:val="78D00FC5"/>
    <w:rsid w:val="797745D6"/>
    <w:rsid w:val="7A124E54"/>
    <w:rsid w:val="7B966B98"/>
    <w:rsid w:val="7C414EAD"/>
    <w:rsid w:val="7D1C7D0A"/>
    <w:rsid w:val="7D6619C8"/>
    <w:rsid w:val="7D6E3E30"/>
    <w:rsid w:val="7E3E2EC8"/>
    <w:rsid w:val="7F700E18"/>
    <w:rsid w:val="7FE7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jc w:val="left"/>
      <w:outlineLvl w:val="2"/>
    </w:pPr>
    <w:rPr>
      <w:rFonts w:ascii="宋体" w:hAnsi="宋体"/>
      <w:b/>
      <w:bCs/>
      <w:kern w:val="0"/>
      <w:sz w:val="24"/>
      <w:szCs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2023-05-19T09:58:00Z</dcterms:created>
  <dc:creator>lenovo</dc:creator>
  <cp:lastModifiedBy>Administrator</cp:lastModifiedBy>
  <dcterms:modified xsi:type="dcterms:W3CDTF">2025-02-05T11:21:31Z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AD724BA2183B41D098131FCC5E2126C0</vt:lpwstr>
  </property>
</Properties>
</file>