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222222"/>
          <w:sz w:val="44"/>
          <w:szCs w:val="44"/>
          <w:shd w:val="clear" w:color="auto" w:fill="FFFFFF"/>
        </w:rPr>
        <w:t>沙湾市大泉乡2024年政府信息公开</w:t>
      </w:r>
      <w:r>
        <w:rPr>
          <w:rFonts w:ascii="方正小标宋简体" w:hAnsi="方正小标宋简体" w:eastAsia="方正小标宋简体" w:cs="方正小标宋简体"/>
          <w:bCs/>
          <w:color w:val="222222"/>
          <w:sz w:val="44"/>
          <w:szCs w:val="44"/>
          <w:shd w:val="clear" w:color="auto" w:fill="FFFFFF"/>
        </w:rPr>
        <w:t>工作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222222"/>
          <w:sz w:val="44"/>
          <w:szCs w:val="44"/>
          <w:shd w:val="clear" w:color="auto" w:fill="FFFFFF"/>
        </w:rPr>
        <w:t>年度报告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《中华人民共和国政府信息公开条例》规定，本工作报告由大泉乡党政办编制，在沙湾市政府门户网站全文公开。本报告所列数据的统计期限自2024年1月1日起至2024年12月31日止。如对本报告有任何疑问，请与大泉乡党政办联系（联系电话：0993-6103877）。现将大泉乡2024年度政府信息公开工作报告如下：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一、总体情况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2024年，大泉乡以党的二十大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精神为指导，根据《中华人民共和国政府信息公开条例》、自治区《关于做好政府信息公开工作年度报告编制工作的函》及地区工作要求，贯彻落实《沙湾市人民政府办公室关于印发&lt;沙湾市2024年政务公开要点&gt;的通知》相关要求，不断建立健全运行、监督、管理工作机制和制度，及时、准确、全面、有效地公开政府信息，把推进政府信息公开与转变政府职能、规范权力运行、促进依法行政紧密结合起来，为我乡大力发展各项工作营造了良好的政务环境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（一）主动公开情况。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截至2024年12月31日大泉乡累计主动公开各种政务信息16项96次。做到及时、完整报送信息，没有虚假、不完整、超时公布的信息。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（二）依申请公开情况。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截至2024年12月31日，我单位共计收到公开信息申请两次，均已办结。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（三）政务信息管理情况。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泉乡把贯彻落实《中华人民共和国政府信息公开条例》作为一项重要工作内容来抓，政府信息公开工作领导小组充分发挥作用，进一步明确分工，负责指导、监督检查制度落实情况等工作，根据人员变动，及时调整和充实信息公开工作人员，配备专兼职工作人员负责政务信息公开工作，按照主动公开、依申请公开政府信息的范围和程序，做好材料送交、公开信息保密审查、信息更新发布等工作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（四）平台建设情况。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一是完善健全政府信息主动公开制度。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明确政府信息公开的职责、内容、程序、方式和时限要求。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二是完善健全政府信息依申请公开制度。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制定依申请公开的工作规范，明确申请的受理、审查、处理、答复等各个环节的具体要求。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三是完善健全政府信息发布协调机制。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发布的政府信息涉及其他部门的，在公开该政府信息前，信息公开人员与所涉及的部门进行沟通、确认，保证公开的政府信息准确一致。定期更新政务公开栏公示内容，加大政务信息公开力度。</w:t>
      </w:r>
    </w:p>
    <w:p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根据信息公开条例和保密制度要求进行政府信息公开，定期开展政府信息公开情况督察检查，及时调整工作方式方法，查漏补缺，扎实整改存在的问题和不足，确保信息公开工作按时保质保量完成。</w:t>
      </w:r>
    </w:p>
    <w:p>
      <w:pPr>
        <w:spacing w:line="540" w:lineRule="exact"/>
        <w:ind w:firstLine="640" w:firstLineChars="200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二、主动公开政府信息情况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bCs/>
          <w:color w:val="222222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6" w:type="dxa"/>
            <w:gridSpan w:val="4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本年制发件数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本年废止件数</w:t>
            </w:r>
          </w:p>
        </w:tc>
        <w:tc>
          <w:tcPr>
            <w:tcW w:w="1924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规章</w:t>
            </w:r>
          </w:p>
        </w:tc>
        <w:tc>
          <w:tcPr>
            <w:tcW w:w="2289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126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92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2126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1924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6" w:type="dxa"/>
            <w:gridSpan w:val="4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行政许可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6" w:type="dxa"/>
            <w:gridSpan w:val="4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行政处罚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行政强制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6" w:type="dxa"/>
            <w:gridSpan w:val="4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137" w:type="dxa"/>
          </w:tcPr>
          <w:p>
            <w:pPr>
              <w:widowControl/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行政事业性收费</w:t>
            </w:r>
          </w:p>
        </w:tc>
        <w:tc>
          <w:tcPr>
            <w:tcW w:w="6339" w:type="dxa"/>
            <w:gridSpan w:val="3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</w:tr>
    </w:tbl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黑体" w:cs="宋体"/>
          <w:sz w:val="32"/>
          <w:szCs w:val="30"/>
        </w:rPr>
      </w:pPr>
      <w:r>
        <w:rPr>
          <w:rFonts w:hint="eastAsia" w:ascii="Times New Roman" w:hAnsi="Times New Roman" w:eastAsia="黑体" w:cs="宋体"/>
          <w:sz w:val="32"/>
          <w:szCs w:val="30"/>
        </w:rPr>
        <w:t>三、收到和处理政府信息公开申请情况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06"/>
        <w:gridCol w:w="30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4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010" w:type="dxa"/>
            <w:gridSpan w:val="4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（六）其他处理</w:t>
            </w:r>
          </w:p>
        </w:tc>
        <w:tc>
          <w:tcPr>
            <w:tcW w:w="340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13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 0</w:t>
            </w:r>
          </w:p>
        </w:tc>
      </w:tr>
    </w:tbl>
    <w:p>
      <w:pPr>
        <w:spacing w:line="540" w:lineRule="exact"/>
        <w:ind w:firstLine="636" w:firstLineChars="199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四、政府信息公开行政复议、行政诉讼情况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2" w:hRule="atLeast"/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0</w:t>
            </w:r>
          </w:p>
        </w:tc>
      </w:tr>
    </w:tbl>
    <w:p>
      <w:pPr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五、工作中存在的问题及改进措施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（一）存在的问题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信息公开内容需要进一步完善，内容覆盖面还需进一步拓展，务求凡是能够向广大群众公开的政务事项，一律向群众公开。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政务公开的方式需要加强创新，需开辟更多渠道，采取丰富多彩的形式公开政府信息，增强服务功能。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政府信息公开专兼职人员业务水平有待提高，需进一步完善并形成良好的报送机制，提高信息公开的效率。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</w:rPr>
        <w:t>（二）整改措施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2024年，大泉乡人民政府将按照沙湾市人民政府信息公开的相关要求，继续深化、推进政府信息公开工作。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提高政务公开工作制度化、标准化水平。进一步明确重点领域、重点行业公开的主体、内容、时限、方式等，提高主动公开的规范化水平。按照市政府公开规范性文件管理有关规定，不泄密、不出现表述性错误。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完善政府信息公开保障内容。进一步挖深度，拓广度，再作延伸，努力从多个层面上实行全方位公开，尽最大限度地实行公开。加强政府信息公开全面性，全面覆盖《条例》要求公开和依法应公开的信息，同时进一步提升工作透明度，保障公众的知情权和监督权。</w:t>
      </w:r>
    </w:p>
    <w:p>
      <w:pPr>
        <w:pStyle w:val="5"/>
        <w:widowControl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提高政务公开专业化水平。加强自身政策理论学习和业务研究，准确把握政策精神，增强专业素养，强化公开理念，提高政务公开工作的能力和水平。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无其他需要报告事项。</w:t>
      </w:r>
    </w:p>
    <w:p>
      <w:pPr>
        <w:pStyle w:val="5"/>
        <w:widowControl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40" w:lineRule="exact"/>
        <w:jc w:val="right"/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</w:rPr>
        <w:t> 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沙湾市大泉乡人民政府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2025年1月23日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TcyMWZiM2NhN2E1MDg0Y2M1OWMwNTI4Y2E3MjgifQ=="/>
  </w:docVars>
  <w:rsids>
    <w:rsidRoot w:val="000D6993"/>
    <w:rsid w:val="000D6993"/>
    <w:rsid w:val="000F191E"/>
    <w:rsid w:val="00114B78"/>
    <w:rsid w:val="001A0832"/>
    <w:rsid w:val="002158F7"/>
    <w:rsid w:val="002A71B8"/>
    <w:rsid w:val="003A419F"/>
    <w:rsid w:val="004A5201"/>
    <w:rsid w:val="00974E4F"/>
    <w:rsid w:val="00A50836"/>
    <w:rsid w:val="00AB2A67"/>
    <w:rsid w:val="00AF7E58"/>
    <w:rsid w:val="00B67B81"/>
    <w:rsid w:val="00CB5657"/>
    <w:rsid w:val="00D34FB3"/>
    <w:rsid w:val="00D76260"/>
    <w:rsid w:val="00DD35E8"/>
    <w:rsid w:val="0F1216FB"/>
    <w:rsid w:val="55F76457"/>
    <w:rsid w:val="5EF3A8DF"/>
    <w:rsid w:val="6A882A47"/>
    <w:rsid w:val="6E4FE59E"/>
    <w:rsid w:val="C3B5D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457</Words>
  <Characters>2607</Characters>
  <Lines>21</Lines>
  <Paragraphs>6</Paragraphs>
  <TotalTime>429</TotalTime>
  <ScaleCrop>false</ScaleCrop>
  <LinksUpToDate>false</LinksUpToDate>
  <CharactersWithSpaces>3058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2024-01-29T20:28:00Z</dcterms:created>
  <dc:creator>Administrator</dc:creator>
  <cp:lastModifiedBy>Administrator</cp:lastModifiedBy>
  <cp:lastPrinted>2025-01-22T05:05:00Z</cp:lastPrinted>
  <dcterms:modified xsi:type="dcterms:W3CDTF">2025-02-05T11:19:01Z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6E6F66ED1757452999C34279CCC958E5_12</vt:lpwstr>
  </property>
</Properties>
</file>