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F6973B">
      <w:pPr>
        <w:keepNext w:val="0"/>
        <w:keepLines w:val="0"/>
        <w:pageBreakBefore w:val="0"/>
        <w:widowControl/>
        <w:suppressLineNumbers w:val="0"/>
        <w:wordWrap/>
        <w:overflowPunct/>
        <w:topLinePunct w:val="0"/>
        <w:bidi w:val="0"/>
        <w:spacing w:line="560" w:lineRule="exact"/>
        <w:ind w:left="0"/>
        <w:jc w:val="center"/>
        <w:rPr>
          <w:rFonts w:ascii="方正小标宋简体" w:hAnsi="方正小标宋简体" w:eastAsia="方正小标宋简体" w:cs="方正小标宋简体"/>
          <w:b w:val="0"/>
          <w:bCs w:val="0"/>
          <w:snapToGrid w:val="0"/>
          <w:color w:val="000000"/>
          <w:kern w:val="0"/>
          <w:sz w:val="44"/>
          <w:szCs w:val="44"/>
          <w:lang w:val="en-US" w:eastAsia="zh-CN" w:bidi="ar"/>
        </w:rPr>
      </w:pPr>
      <w:r>
        <w:rPr>
          <w:rFonts w:ascii="方正小标宋简体" w:hAnsi="方正小标宋简体" w:eastAsia="方正小标宋简体" w:cs="方正小标宋简体"/>
          <w:b w:val="0"/>
          <w:bCs w:val="0"/>
          <w:snapToGrid w:val="0"/>
          <w:color w:val="000000"/>
          <w:kern w:val="0"/>
          <w:sz w:val="44"/>
          <w:szCs w:val="44"/>
          <w:lang w:val="en-US" w:eastAsia="zh-CN" w:bidi="ar"/>
        </w:rPr>
        <w:t>沙湾市</w:t>
      </w:r>
      <w:r>
        <w:rPr>
          <w:rFonts w:hint="eastAsia" w:ascii="方正小标宋简体" w:hAnsi="方正小标宋简体" w:eastAsia="方正小标宋简体" w:cs="方正小标宋简体"/>
          <w:b w:val="0"/>
          <w:bCs w:val="0"/>
          <w:snapToGrid w:val="0"/>
          <w:color w:val="000000"/>
          <w:kern w:val="0"/>
          <w:sz w:val="44"/>
          <w:szCs w:val="44"/>
          <w:lang w:val="en-US" w:eastAsia="zh-CN" w:bidi="ar"/>
        </w:rPr>
        <w:t>老沙湾镇</w:t>
      </w:r>
      <w:r>
        <w:rPr>
          <w:rFonts w:ascii="方正小标宋简体" w:hAnsi="方正小标宋简体" w:eastAsia="方正小标宋简体" w:cs="方正小标宋简体"/>
          <w:b w:val="0"/>
          <w:bCs w:val="0"/>
          <w:snapToGrid w:val="0"/>
          <w:color w:val="000000"/>
          <w:kern w:val="0"/>
          <w:sz w:val="44"/>
          <w:szCs w:val="44"/>
          <w:lang w:val="en-US" w:eastAsia="zh-CN" w:bidi="ar"/>
        </w:rPr>
        <w:t>2024 年政府信息公开</w:t>
      </w:r>
    </w:p>
    <w:p w14:paraId="332243CB">
      <w:pPr>
        <w:keepNext w:val="0"/>
        <w:keepLines w:val="0"/>
        <w:pageBreakBefore w:val="0"/>
        <w:widowControl/>
        <w:suppressLineNumbers w:val="0"/>
        <w:wordWrap/>
        <w:overflowPunct/>
        <w:topLinePunct w:val="0"/>
        <w:bidi w:val="0"/>
        <w:spacing w:line="560" w:lineRule="exact"/>
        <w:ind w:left="0"/>
        <w:jc w:val="center"/>
        <w:rPr>
          <w:b w:val="0"/>
          <w:bCs w:val="0"/>
          <w:sz w:val="44"/>
          <w:szCs w:val="44"/>
        </w:rPr>
      </w:pPr>
      <w:r>
        <w:rPr>
          <w:rFonts w:hint="eastAsia" w:ascii="方正小标宋简体" w:hAnsi="方正小标宋简体" w:eastAsia="方正小标宋简体" w:cs="方正小标宋简体"/>
          <w:b w:val="0"/>
          <w:bCs w:val="0"/>
          <w:snapToGrid w:val="0"/>
          <w:color w:val="000000"/>
          <w:kern w:val="0"/>
          <w:sz w:val="44"/>
          <w:szCs w:val="44"/>
          <w:lang w:val="en-US" w:eastAsia="zh-CN" w:bidi="ar"/>
        </w:rPr>
        <w:t>工作年度报告</w:t>
      </w:r>
    </w:p>
    <w:p w14:paraId="05BCB315">
      <w:pPr>
        <w:keepNext w:val="0"/>
        <w:keepLines w:val="0"/>
        <w:pageBreakBefore w:val="0"/>
        <w:wordWrap/>
        <w:overflowPunct/>
        <w:topLinePunct w:val="0"/>
        <w:bidi w:val="0"/>
        <w:spacing w:line="560" w:lineRule="exact"/>
        <w:ind w:left="0"/>
        <w:jc w:val="both"/>
        <w:rPr>
          <w:rFonts w:ascii="Arial"/>
          <w:sz w:val="21"/>
        </w:rPr>
      </w:pPr>
    </w:p>
    <w:p w14:paraId="5F45628E">
      <w:pPr>
        <w:keepNext w:val="0"/>
        <w:keepLines w:val="0"/>
        <w:pageBreakBefore w:val="0"/>
        <w:widowControl/>
        <w:kinsoku w:val="0"/>
        <w:wordWrap/>
        <w:overflowPunct/>
        <w:topLinePunct w:val="0"/>
        <w:autoSpaceDE w:val="0"/>
        <w:autoSpaceDN w:val="0"/>
        <w:bidi w:val="0"/>
        <w:adjustRightInd w:val="0"/>
        <w:snapToGrid w:val="0"/>
        <w:spacing w:line="560" w:lineRule="exact"/>
        <w:ind w:left="0" w:firstLine="648" w:firstLineChars="200"/>
        <w:jc w:val="both"/>
        <w:textAlignment w:val="baseline"/>
        <w:rPr>
          <w:rFonts w:ascii="黑体" w:hAnsi="黑体" w:eastAsia="黑体" w:cs="黑体"/>
          <w:sz w:val="31"/>
          <w:szCs w:val="31"/>
        </w:rPr>
      </w:pPr>
      <w:r>
        <w:rPr>
          <w:rFonts w:ascii="黑体" w:hAnsi="黑体" w:eastAsia="黑体" w:cs="黑体"/>
          <w:spacing w:val="7"/>
          <w:sz w:val="31"/>
          <w:szCs w:val="31"/>
        </w:rPr>
        <w:t>一、总体情况</w:t>
      </w:r>
      <w:bookmarkStart w:id="0" w:name="_GoBack"/>
      <w:bookmarkEnd w:id="0"/>
    </w:p>
    <w:p w14:paraId="781E4D0E">
      <w:pPr>
        <w:pStyle w:val="2"/>
        <w:keepNext w:val="0"/>
        <w:keepLines w:val="0"/>
        <w:pageBreakBefore w:val="0"/>
        <w:wordWrap/>
        <w:overflowPunct/>
        <w:topLinePunct w:val="0"/>
        <w:bidi w:val="0"/>
        <w:spacing w:line="560" w:lineRule="exact"/>
        <w:ind w:left="0" w:firstLine="648"/>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我镇</w:t>
      </w:r>
      <w:r>
        <w:rPr>
          <w:rFonts w:hint="eastAsia" w:ascii="仿宋_GB2312" w:hAnsi="仿宋_GB2312" w:eastAsia="仿宋_GB2312" w:cs="仿宋_GB2312"/>
          <w:i w:val="0"/>
          <w:iCs w:val="0"/>
          <w:caps w:val="0"/>
          <w:color w:val="333333"/>
          <w:spacing w:val="0"/>
          <w:sz w:val="32"/>
          <w:szCs w:val="32"/>
        </w:rPr>
        <w:t>按照</w:t>
      </w:r>
      <w:r>
        <w:rPr>
          <w:rFonts w:hint="eastAsia" w:ascii="仿宋_GB2312" w:hAnsi="仿宋_GB2312" w:eastAsia="仿宋_GB2312" w:cs="仿宋_GB2312"/>
          <w:i w:val="0"/>
          <w:iCs w:val="0"/>
          <w:caps w:val="0"/>
          <w:color w:val="333333"/>
          <w:spacing w:val="0"/>
          <w:sz w:val="32"/>
          <w:szCs w:val="32"/>
          <w:lang w:val="en-US" w:eastAsia="zh-CN"/>
        </w:rPr>
        <w:t>市</w:t>
      </w:r>
      <w:r>
        <w:rPr>
          <w:rFonts w:hint="eastAsia" w:ascii="仿宋_GB2312" w:hAnsi="仿宋_GB2312" w:eastAsia="仿宋_GB2312" w:cs="仿宋_GB2312"/>
          <w:i w:val="0"/>
          <w:iCs w:val="0"/>
          <w:caps w:val="0"/>
          <w:color w:val="333333"/>
          <w:spacing w:val="0"/>
          <w:sz w:val="32"/>
          <w:szCs w:val="32"/>
        </w:rPr>
        <w:t>委、</w:t>
      </w:r>
      <w:r>
        <w:rPr>
          <w:rFonts w:hint="eastAsia" w:ascii="仿宋_GB2312" w:hAnsi="仿宋_GB2312" w:eastAsia="仿宋_GB2312" w:cs="仿宋_GB2312"/>
          <w:i w:val="0"/>
          <w:iCs w:val="0"/>
          <w:caps w:val="0"/>
          <w:color w:val="333333"/>
          <w:spacing w:val="0"/>
          <w:sz w:val="32"/>
          <w:szCs w:val="32"/>
          <w:lang w:val="en-US" w:eastAsia="zh-CN"/>
        </w:rPr>
        <w:t>市</w:t>
      </w:r>
      <w:r>
        <w:rPr>
          <w:rFonts w:hint="eastAsia" w:ascii="仿宋_GB2312" w:hAnsi="仿宋_GB2312" w:eastAsia="仿宋_GB2312" w:cs="仿宋_GB2312"/>
          <w:i w:val="0"/>
          <w:iCs w:val="0"/>
          <w:caps w:val="0"/>
          <w:color w:val="333333"/>
          <w:spacing w:val="0"/>
          <w:sz w:val="32"/>
          <w:szCs w:val="32"/>
        </w:rPr>
        <w:t>政府统一部署，加强组织领导，健全工作机制，认真贯彻</w:t>
      </w:r>
      <w:r>
        <w:rPr>
          <w:rFonts w:hint="eastAsia" w:ascii="仿宋_GB2312" w:hAnsi="仿宋_GB2312" w:eastAsia="仿宋_GB2312" w:cs="仿宋_GB2312"/>
          <w:i w:val="0"/>
          <w:iCs w:val="0"/>
          <w:caps w:val="0"/>
          <w:color w:val="333333"/>
          <w:spacing w:val="0"/>
          <w:sz w:val="32"/>
          <w:szCs w:val="32"/>
          <w:lang w:val="en-US" w:eastAsia="zh-CN"/>
        </w:rPr>
        <w:t>落实</w:t>
      </w:r>
      <w:r>
        <w:rPr>
          <w:rFonts w:hint="eastAsia" w:ascii="仿宋_GB2312" w:hAnsi="仿宋_GB2312" w:eastAsia="仿宋_GB2312" w:cs="仿宋_GB2312"/>
          <w:i w:val="0"/>
          <w:iCs w:val="0"/>
          <w:caps w:val="0"/>
          <w:color w:val="333333"/>
          <w:spacing w:val="0"/>
          <w:sz w:val="32"/>
          <w:szCs w:val="32"/>
        </w:rPr>
        <w:t>《</w:t>
      </w:r>
      <w:r>
        <w:rPr>
          <w:rFonts w:hint="eastAsia" w:ascii="仿宋_GB2312" w:hAnsi="仿宋_GB2312" w:eastAsia="仿宋_GB2312" w:cs="仿宋_GB2312"/>
          <w:i w:val="0"/>
          <w:iCs w:val="0"/>
          <w:caps w:val="0"/>
          <w:color w:val="333333"/>
          <w:spacing w:val="0"/>
          <w:sz w:val="32"/>
          <w:szCs w:val="32"/>
          <w:lang w:val="en-US" w:eastAsia="zh-CN"/>
        </w:rPr>
        <w:t>中华人民共和国政府信息公开</w:t>
      </w:r>
      <w:r>
        <w:rPr>
          <w:rFonts w:hint="eastAsia" w:ascii="仿宋_GB2312" w:hAnsi="仿宋_GB2312" w:eastAsia="仿宋_GB2312" w:cs="仿宋_GB2312"/>
          <w:i w:val="0"/>
          <w:iCs w:val="0"/>
          <w:caps w:val="0"/>
          <w:color w:val="333333"/>
          <w:spacing w:val="0"/>
          <w:sz w:val="32"/>
          <w:szCs w:val="32"/>
        </w:rPr>
        <w:t>条例》的各项要求，坚持</w:t>
      </w:r>
      <w:r>
        <w:rPr>
          <w:rFonts w:hint="eastAsia" w:ascii="仿宋_GB2312" w:hAnsi="仿宋_GB2312" w:eastAsia="仿宋_GB2312" w:cs="仿宋_GB2312"/>
          <w:sz w:val="32"/>
          <w:szCs w:val="32"/>
        </w:rPr>
        <w:t>平稳、有序地推进政府信息公开工作。政府信息公开工作在服务经济社会发展、转变政府职能、保证行政权力公开透明运行和保障公民知情权、参与权、表达权、监督权等方面发挥了积极作用。</w:t>
      </w:r>
    </w:p>
    <w:p w14:paraId="5AF4BCC5">
      <w:pPr>
        <w:keepNext w:val="0"/>
        <w:keepLines w:val="0"/>
        <w:pageBreakBefore w:val="0"/>
        <w:widowControl w:val="0"/>
        <w:kinsoku/>
        <w:wordWrap/>
        <w:overflowPunct/>
        <w:topLinePunct w:val="0"/>
        <w:autoSpaceDE/>
        <w:autoSpaceDN/>
        <w:bidi w:val="0"/>
        <w:adjustRightInd/>
        <w:snapToGrid/>
        <w:spacing w:line="560" w:lineRule="exact"/>
        <w:ind w:left="0" w:firstLine="643" w:firstLineChars="2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rPr>
        <w:t>推进重点领域信息公开</w:t>
      </w:r>
    </w:p>
    <w:p w14:paraId="098653C1">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推进财政预算决算和行政经费公开。公开本镇政府预算执行情况，让社会公众及时了解政府预算执行信息。同时通过多种渠道和形式对各类财政政策特别是重大民生政策及资金安排总体情况、年度预算安排的重点资金支出使用情况进行公开和宣传。具体包括政府预算信息公开、政府决算信息公开。</w:t>
      </w:r>
    </w:p>
    <w:p w14:paraId="6D2C1C8A">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2、推进人事任免信息公开。对于镇政府做出的人事调整进行及时公布。</w:t>
      </w:r>
    </w:p>
    <w:p w14:paraId="791BC7B6">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3、推进招投标信息公开。及时发布工程招标相关信息,公布相关的政策法规、</w:t>
      </w:r>
      <w:r>
        <w:rPr>
          <w:rFonts w:hint="eastAsia" w:ascii="仿宋_GB2312" w:hAnsi="仿宋_GB2312" w:eastAsia="仿宋_GB2312" w:cs="仿宋_GB2312"/>
          <w:sz w:val="32"/>
          <w:szCs w:val="32"/>
          <w:lang w:val="en-US" w:eastAsia="zh-CN"/>
        </w:rPr>
        <w:t>项目</w:t>
      </w:r>
      <w:r>
        <w:rPr>
          <w:rFonts w:hint="eastAsia" w:ascii="仿宋_GB2312" w:hAnsi="仿宋_GB2312" w:eastAsia="仿宋_GB2312" w:cs="仿宋_GB2312"/>
          <w:color w:val="auto"/>
          <w:sz w:val="32"/>
          <w:szCs w:val="32"/>
        </w:rPr>
        <w:t>报建</w:t>
      </w:r>
      <w:r>
        <w:rPr>
          <w:rFonts w:hint="eastAsia" w:ascii="仿宋_GB2312" w:hAnsi="仿宋_GB2312" w:eastAsia="仿宋_GB2312" w:cs="仿宋_GB2312"/>
          <w:sz w:val="32"/>
          <w:szCs w:val="32"/>
        </w:rPr>
        <w:t>信息、日程场地安排、招标公告、招标答疑、工程控制价、评标汇总、评标结果、中标结果等信息。</w:t>
      </w:r>
    </w:p>
    <w:p w14:paraId="765601DD">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eastAsia="仿宋_GB2312"/>
          <w:sz w:val="32"/>
          <w:szCs w:val="32"/>
        </w:rPr>
      </w:pPr>
      <w:r>
        <w:rPr>
          <w:rFonts w:hint="eastAsia" w:ascii="仿宋_GB2312" w:hAnsi="仿宋_GB2312" w:eastAsia="仿宋_GB2312" w:cs="仿宋_GB2312"/>
          <w:sz w:val="32"/>
          <w:szCs w:val="32"/>
        </w:rPr>
        <w:t>4、推进生产安全事故信息公开。对我镇生产企业存在的事故隐患、发生的生产安全事故进行通报，并对事故原因进行分析，加强事故处置的应对能力。加强事故应急救援演练的宣传报道，引导企业完善应急救援预案，定期进行演练，提高应急处置能力。</w:t>
      </w:r>
    </w:p>
    <w:p w14:paraId="4B292573">
      <w:pPr>
        <w:keepNext w:val="0"/>
        <w:keepLines w:val="0"/>
        <w:pageBreakBefore w:val="0"/>
        <w:widowControl w:val="0"/>
        <w:kinsoku/>
        <w:wordWrap/>
        <w:overflowPunct/>
        <w:topLinePunct w:val="0"/>
        <w:autoSpaceDE/>
        <w:autoSpaceDN/>
        <w:bidi w:val="0"/>
        <w:adjustRightInd/>
        <w:snapToGrid/>
        <w:spacing w:line="560" w:lineRule="exact"/>
        <w:ind w:left="0" w:firstLine="643" w:firstLineChars="2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二）</w:t>
      </w:r>
      <w:r>
        <w:rPr>
          <w:rFonts w:hint="eastAsia" w:ascii="楷体_GB2312" w:hAnsi="楷体_GB2312" w:eastAsia="楷体_GB2312" w:cs="楷体_GB2312"/>
          <w:b/>
          <w:bCs/>
          <w:sz w:val="32"/>
          <w:szCs w:val="32"/>
        </w:rPr>
        <w:t>加强信息公开基础工作</w:t>
      </w:r>
    </w:p>
    <w:p w14:paraId="335D1A74">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.完善政府信息公开配套制度。在已有保密审查制度、信息</w:t>
      </w:r>
      <w:r>
        <w:rPr>
          <w:rFonts w:hint="eastAsia" w:ascii="仿宋_GB2312" w:hAnsi="仿宋_GB2312" w:eastAsia="仿宋_GB2312" w:cs="仿宋_GB2312"/>
          <w:color w:val="auto"/>
          <w:sz w:val="32"/>
          <w:szCs w:val="32"/>
        </w:rPr>
        <w:t>送交</w:t>
      </w:r>
      <w:r>
        <w:rPr>
          <w:rFonts w:hint="eastAsia" w:ascii="仿宋_GB2312" w:hAnsi="仿宋_GB2312" w:eastAsia="仿宋_GB2312" w:cs="仿宋_GB2312"/>
          <w:sz w:val="32"/>
          <w:szCs w:val="32"/>
        </w:rPr>
        <w:t>制度、协调发布制度、</w:t>
      </w:r>
      <w:r>
        <w:rPr>
          <w:rFonts w:hint="eastAsia" w:ascii="仿宋_GB2312" w:hAnsi="仿宋_GB2312" w:eastAsia="仿宋_GB2312" w:cs="仿宋_GB2312"/>
          <w:color w:val="auto"/>
          <w:sz w:val="32"/>
          <w:szCs w:val="32"/>
        </w:rPr>
        <w:t>政府信息公开制度</w:t>
      </w:r>
      <w:r>
        <w:rPr>
          <w:rFonts w:hint="eastAsia" w:ascii="仿宋_GB2312" w:hAnsi="仿宋_GB2312" w:eastAsia="仿宋_GB2312" w:cs="仿宋_GB2312"/>
          <w:sz w:val="32"/>
          <w:szCs w:val="32"/>
        </w:rPr>
        <w:t>、考评制度的基础上，进一步建立完善社会评议制度和责任追究制度。完善政府信息公开工作社会评议和责任追究的具体实施方案，通过多种方式和渠道广泛听取公民、法人和其他社会组织对政府信息公开工作的批评、意见和建议。</w:t>
      </w:r>
    </w:p>
    <w:p w14:paraId="519BD0E1">
      <w:pPr>
        <w:pStyle w:val="2"/>
        <w:keepNext w:val="0"/>
        <w:keepLines w:val="0"/>
        <w:pageBreakBefore w:val="0"/>
        <w:wordWrap/>
        <w:overflowPunct/>
        <w:topLinePunct w:val="0"/>
        <w:bidi w:val="0"/>
        <w:spacing w:line="560" w:lineRule="exact"/>
        <w:ind w:left="0" w:firstLine="648"/>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2、夯实政府信息公开基础工作。一是加强政府信息公开工作相关知识的宣传、培训，制定年度学习培训计划，加强学习培训，注重学习培训的实效。推动政府信息公开工作规范化建设。完善政府信息公开</w:t>
      </w:r>
      <w:r>
        <w:rPr>
          <w:rFonts w:hint="eastAsia" w:ascii="仿宋_GB2312" w:hAnsi="仿宋_GB2312" w:eastAsia="仿宋_GB2312" w:cs="仿宋_GB2312"/>
          <w:color w:val="auto"/>
          <w:sz w:val="32"/>
          <w:szCs w:val="32"/>
          <w:lang w:val="en-US" w:eastAsia="zh-CN"/>
        </w:rPr>
        <w:t>制度</w:t>
      </w:r>
      <w:r>
        <w:rPr>
          <w:rFonts w:hint="eastAsia" w:ascii="仿宋_GB2312" w:hAnsi="仿宋_GB2312" w:eastAsia="仿宋_GB2312" w:cs="仿宋_GB2312"/>
          <w:sz w:val="32"/>
          <w:szCs w:val="32"/>
        </w:rPr>
        <w:t>，统一规范政府部门公开政府信息工作规则，规范主动公开政府信息发布主体、内容、形式、范围及</w:t>
      </w:r>
      <w:r>
        <w:rPr>
          <w:rFonts w:hint="eastAsia" w:ascii="仿宋_GB2312" w:hAnsi="仿宋_GB2312" w:eastAsia="仿宋_GB2312" w:cs="仿宋_GB2312"/>
          <w:color w:val="auto"/>
          <w:sz w:val="32"/>
          <w:szCs w:val="32"/>
          <w:lang w:val="en-US" w:eastAsia="zh-CN"/>
        </w:rPr>
        <w:t>政府信息</w:t>
      </w:r>
      <w:r>
        <w:rPr>
          <w:rFonts w:hint="eastAsia" w:ascii="仿宋_GB2312" w:hAnsi="仿宋_GB2312" w:eastAsia="仿宋_GB2312" w:cs="仿宋_GB2312"/>
          <w:sz w:val="32"/>
          <w:szCs w:val="32"/>
        </w:rPr>
        <w:t>公开接收、答复、办理等环节。</w:t>
      </w:r>
    </w:p>
    <w:p w14:paraId="171373D9">
      <w:pPr>
        <w:keepNext w:val="0"/>
        <w:keepLines w:val="0"/>
        <w:pageBreakBefore w:val="0"/>
        <w:widowControl/>
        <w:kinsoku w:val="0"/>
        <w:wordWrap/>
        <w:overflowPunct/>
        <w:topLinePunct w:val="0"/>
        <w:autoSpaceDE w:val="0"/>
        <w:autoSpaceDN w:val="0"/>
        <w:bidi w:val="0"/>
        <w:adjustRightInd w:val="0"/>
        <w:snapToGrid w:val="0"/>
        <w:spacing w:line="560" w:lineRule="exact"/>
        <w:ind w:left="0" w:firstLine="672" w:firstLineChars="200"/>
        <w:jc w:val="both"/>
        <w:textAlignment w:val="baseline"/>
        <w:rPr>
          <w:sz w:val="32"/>
          <w:szCs w:val="32"/>
        </w:rPr>
      </w:pPr>
      <w:r>
        <w:rPr>
          <w:rFonts w:ascii="黑体" w:hAnsi="黑体" w:eastAsia="黑体" w:cs="黑体"/>
          <w:spacing w:val="8"/>
          <w:sz w:val="32"/>
          <w:szCs w:val="32"/>
        </w:rPr>
        <w:t>二、主动公开政府信息情况</w:t>
      </w:r>
    </w:p>
    <w:p w14:paraId="2BBA0F33">
      <w:pPr>
        <w:spacing w:line="48" w:lineRule="auto"/>
        <w:rPr>
          <w:rFonts w:ascii="Arial"/>
          <w:sz w:val="2"/>
        </w:rPr>
      </w:pPr>
    </w:p>
    <w:tbl>
      <w:tblPr>
        <w:tblStyle w:val="7"/>
        <w:tblW w:w="9228" w:type="dxa"/>
        <w:tblInd w:w="-1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15"/>
        <w:gridCol w:w="2287"/>
        <w:gridCol w:w="2125"/>
        <w:gridCol w:w="2301"/>
      </w:tblGrid>
      <w:tr w14:paraId="1BF885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9228" w:type="dxa"/>
            <w:gridSpan w:val="4"/>
            <w:vAlign w:val="center"/>
          </w:tcPr>
          <w:p w14:paraId="49E4FD4D">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z w:val="24"/>
                <w:szCs w:val="24"/>
              </w:rPr>
              <w:t>第二十条第（一）项</w:t>
            </w:r>
          </w:p>
        </w:tc>
      </w:tr>
      <w:tr w14:paraId="47264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2515" w:type="dxa"/>
            <w:vAlign w:val="center"/>
          </w:tcPr>
          <w:p w14:paraId="52567CD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2"/>
                <w:sz w:val="24"/>
                <w:szCs w:val="24"/>
              </w:rPr>
              <w:t>信息内容</w:t>
            </w:r>
          </w:p>
        </w:tc>
        <w:tc>
          <w:tcPr>
            <w:tcW w:w="2287" w:type="dxa"/>
            <w:vAlign w:val="center"/>
          </w:tcPr>
          <w:p w14:paraId="26C9712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1"/>
                <w:sz w:val="24"/>
                <w:szCs w:val="24"/>
              </w:rPr>
              <w:t>本年制发件数</w:t>
            </w:r>
          </w:p>
        </w:tc>
        <w:tc>
          <w:tcPr>
            <w:tcW w:w="2125" w:type="dxa"/>
            <w:vAlign w:val="center"/>
          </w:tcPr>
          <w:p w14:paraId="7852C8F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1"/>
                <w:sz w:val="24"/>
                <w:szCs w:val="24"/>
              </w:rPr>
              <w:t>本年废止件数</w:t>
            </w:r>
          </w:p>
        </w:tc>
        <w:tc>
          <w:tcPr>
            <w:tcW w:w="2301" w:type="dxa"/>
            <w:vAlign w:val="center"/>
          </w:tcPr>
          <w:p w14:paraId="72759AD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2"/>
                <w:sz w:val="24"/>
                <w:szCs w:val="24"/>
              </w:rPr>
              <w:t>现行有效件数</w:t>
            </w:r>
          </w:p>
        </w:tc>
      </w:tr>
      <w:tr w14:paraId="7632E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515" w:type="dxa"/>
            <w:vAlign w:val="center"/>
          </w:tcPr>
          <w:p w14:paraId="35385C4D">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3"/>
                <w:sz w:val="24"/>
                <w:szCs w:val="24"/>
              </w:rPr>
              <w:t>规章</w:t>
            </w:r>
          </w:p>
        </w:tc>
        <w:tc>
          <w:tcPr>
            <w:tcW w:w="2287" w:type="dxa"/>
            <w:vAlign w:val="center"/>
          </w:tcPr>
          <w:p w14:paraId="0EC4A36C">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c>
          <w:tcPr>
            <w:tcW w:w="2125" w:type="dxa"/>
            <w:vAlign w:val="center"/>
          </w:tcPr>
          <w:p w14:paraId="4B6FFD4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c>
          <w:tcPr>
            <w:tcW w:w="2301" w:type="dxa"/>
            <w:vAlign w:val="center"/>
          </w:tcPr>
          <w:p w14:paraId="3A256682">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r>
      <w:tr w14:paraId="40C2F7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515" w:type="dxa"/>
            <w:vAlign w:val="center"/>
          </w:tcPr>
          <w:p w14:paraId="429CC4F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2"/>
                <w:sz w:val="24"/>
                <w:szCs w:val="24"/>
              </w:rPr>
              <w:t>规范性文件</w:t>
            </w:r>
          </w:p>
        </w:tc>
        <w:tc>
          <w:tcPr>
            <w:tcW w:w="2287" w:type="dxa"/>
            <w:vAlign w:val="center"/>
          </w:tcPr>
          <w:p w14:paraId="00129BE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c>
          <w:tcPr>
            <w:tcW w:w="2125" w:type="dxa"/>
            <w:vAlign w:val="center"/>
          </w:tcPr>
          <w:p w14:paraId="6202719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c>
          <w:tcPr>
            <w:tcW w:w="2301" w:type="dxa"/>
            <w:vAlign w:val="center"/>
          </w:tcPr>
          <w:p w14:paraId="30DD1B6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r>
      <w:tr w14:paraId="6D8A4B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9228" w:type="dxa"/>
            <w:gridSpan w:val="4"/>
            <w:vAlign w:val="center"/>
          </w:tcPr>
          <w:p w14:paraId="1285B48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z w:val="24"/>
                <w:szCs w:val="24"/>
              </w:rPr>
              <w:t>第二十条第（五）项</w:t>
            </w:r>
          </w:p>
        </w:tc>
      </w:tr>
      <w:tr w14:paraId="1B2D8C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2515" w:type="dxa"/>
            <w:vAlign w:val="center"/>
          </w:tcPr>
          <w:p w14:paraId="60DE56A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2"/>
                <w:sz w:val="24"/>
                <w:szCs w:val="24"/>
              </w:rPr>
              <w:t>信息内容</w:t>
            </w:r>
          </w:p>
        </w:tc>
        <w:tc>
          <w:tcPr>
            <w:tcW w:w="6713" w:type="dxa"/>
            <w:gridSpan w:val="3"/>
            <w:vAlign w:val="center"/>
          </w:tcPr>
          <w:p w14:paraId="6926FB0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1"/>
                <w:sz w:val="24"/>
                <w:szCs w:val="24"/>
              </w:rPr>
              <w:t>本年处理决定数量</w:t>
            </w:r>
          </w:p>
        </w:tc>
      </w:tr>
      <w:tr w14:paraId="00D0B5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vAlign w:val="center"/>
          </w:tcPr>
          <w:p w14:paraId="213D72E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z w:val="24"/>
                <w:szCs w:val="24"/>
              </w:rPr>
            </w:pPr>
            <w:r>
              <w:rPr>
                <w:rFonts w:ascii="微软雅黑" w:hAnsi="微软雅黑" w:eastAsia="微软雅黑" w:cs="微软雅黑"/>
                <w:spacing w:val="-1"/>
                <w:sz w:val="24"/>
                <w:szCs w:val="24"/>
              </w:rPr>
              <w:t>行政许可</w:t>
            </w:r>
          </w:p>
        </w:tc>
        <w:tc>
          <w:tcPr>
            <w:tcW w:w="6713" w:type="dxa"/>
            <w:gridSpan w:val="3"/>
            <w:vAlign w:val="center"/>
          </w:tcPr>
          <w:p w14:paraId="5BF586A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Arial" w:eastAsia="宋体"/>
                <w:sz w:val="21"/>
                <w:lang w:val="en-US" w:eastAsia="zh-CN"/>
              </w:rPr>
            </w:pPr>
            <w:r>
              <w:rPr>
                <w:rFonts w:hint="eastAsia" w:eastAsia="宋体"/>
                <w:sz w:val="21"/>
                <w:lang w:val="en-US" w:eastAsia="zh-CN"/>
              </w:rPr>
              <w:t>0</w:t>
            </w:r>
          </w:p>
        </w:tc>
      </w:tr>
      <w:tr w14:paraId="083BB1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9228" w:type="dxa"/>
            <w:gridSpan w:val="4"/>
            <w:vAlign w:val="center"/>
          </w:tcPr>
          <w:p w14:paraId="4FAF191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eastAsia="宋体"/>
                <w:sz w:val="21"/>
                <w:lang w:val="en-US" w:eastAsia="zh-CN"/>
              </w:rPr>
            </w:pPr>
            <w:r>
              <w:rPr>
                <w:rFonts w:ascii="微软雅黑" w:hAnsi="微软雅黑" w:eastAsia="微软雅黑" w:cs="微软雅黑"/>
                <w:sz w:val="24"/>
                <w:szCs w:val="24"/>
              </w:rPr>
              <w:t>第二十条第（六）项</w:t>
            </w:r>
          </w:p>
        </w:tc>
      </w:tr>
      <w:tr w14:paraId="31FC6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shd w:val="clear"/>
            <w:vAlign w:val="center"/>
          </w:tcPr>
          <w:p w14:paraId="7EE1F6D0">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napToGrid w:val="0"/>
                <w:color w:val="000000"/>
                <w:kern w:val="0"/>
                <w:sz w:val="24"/>
                <w:szCs w:val="24"/>
                <w:lang w:val="en-US" w:eastAsia="en-US" w:bidi="ar-SA"/>
              </w:rPr>
            </w:pPr>
            <w:r>
              <w:rPr>
                <w:spacing w:val="-2"/>
              </w:rPr>
              <w:t>信息内容</w:t>
            </w:r>
          </w:p>
        </w:tc>
        <w:tc>
          <w:tcPr>
            <w:tcW w:w="6713" w:type="dxa"/>
            <w:gridSpan w:val="3"/>
            <w:vAlign w:val="center"/>
          </w:tcPr>
          <w:p w14:paraId="5D5447C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eastAsia="宋体"/>
                <w:sz w:val="21"/>
                <w:lang w:val="en-US" w:eastAsia="zh-CN"/>
              </w:rPr>
            </w:pPr>
            <w:r>
              <w:rPr>
                <w:rFonts w:ascii="微软雅黑" w:hAnsi="微软雅黑" w:eastAsia="微软雅黑" w:cs="微软雅黑"/>
                <w:snapToGrid w:val="0"/>
                <w:color w:val="000000"/>
                <w:spacing w:val="-2"/>
                <w:kern w:val="0"/>
                <w:sz w:val="24"/>
                <w:szCs w:val="24"/>
                <w:lang w:val="en-US" w:eastAsia="en-US" w:bidi="ar-SA"/>
              </w:rPr>
              <w:t>本年处理决定数量</w:t>
            </w:r>
          </w:p>
        </w:tc>
      </w:tr>
      <w:tr w14:paraId="2AB6F1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shd w:val="clear"/>
            <w:vAlign w:val="center"/>
          </w:tcPr>
          <w:p w14:paraId="6FEAE81F">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napToGrid w:val="0"/>
                <w:color w:val="000000"/>
                <w:kern w:val="0"/>
                <w:sz w:val="24"/>
                <w:szCs w:val="24"/>
                <w:lang w:val="en-US" w:eastAsia="en-US" w:bidi="ar-SA"/>
              </w:rPr>
            </w:pPr>
            <w:r>
              <w:rPr>
                <w:spacing w:val="-1"/>
              </w:rPr>
              <w:t>行政处罚</w:t>
            </w:r>
          </w:p>
        </w:tc>
        <w:tc>
          <w:tcPr>
            <w:tcW w:w="6713" w:type="dxa"/>
            <w:gridSpan w:val="3"/>
            <w:vAlign w:val="center"/>
          </w:tcPr>
          <w:p w14:paraId="6B7B9670">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eastAsia="宋体"/>
                <w:sz w:val="21"/>
                <w:lang w:val="en-US" w:eastAsia="zh-CN"/>
              </w:rPr>
            </w:pPr>
            <w:r>
              <w:rPr>
                <w:rFonts w:hint="eastAsia" w:eastAsia="宋体"/>
                <w:sz w:val="21"/>
                <w:lang w:val="en-US" w:eastAsia="zh-CN"/>
              </w:rPr>
              <w:t>0</w:t>
            </w:r>
          </w:p>
        </w:tc>
      </w:tr>
      <w:tr w14:paraId="27CE28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shd w:val="clear"/>
            <w:vAlign w:val="center"/>
          </w:tcPr>
          <w:p w14:paraId="2787A773">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napToGrid w:val="0"/>
                <w:color w:val="000000"/>
                <w:kern w:val="0"/>
                <w:sz w:val="24"/>
                <w:szCs w:val="24"/>
                <w:lang w:val="en-US" w:eastAsia="en-US" w:bidi="ar-SA"/>
              </w:rPr>
            </w:pPr>
            <w:r>
              <w:rPr>
                <w:spacing w:val="-1"/>
              </w:rPr>
              <w:t>行政强制</w:t>
            </w:r>
          </w:p>
        </w:tc>
        <w:tc>
          <w:tcPr>
            <w:tcW w:w="6713" w:type="dxa"/>
            <w:gridSpan w:val="3"/>
            <w:vAlign w:val="center"/>
          </w:tcPr>
          <w:p w14:paraId="66242FA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eastAsia="宋体"/>
                <w:sz w:val="21"/>
                <w:lang w:val="en-US" w:eastAsia="zh-CN"/>
              </w:rPr>
            </w:pPr>
            <w:r>
              <w:rPr>
                <w:rFonts w:hint="eastAsia" w:eastAsia="宋体"/>
                <w:sz w:val="21"/>
                <w:lang w:val="en-US" w:eastAsia="zh-CN"/>
              </w:rPr>
              <w:t>0</w:t>
            </w:r>
          </w:p>
        </w:tc>
      </w:tr>
      <w:tr w14:paraId="166EF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9228" w:type="dxa"/>
            <w:gridSpan w:val="4"/>
            <w:vAlign w:val="center"/>
          </w:tcPr>
          <w:p w14:paraId="5DA6066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eastAsia="宋体"/>
                <w:sz w:val="21"/>
                <w:lang w:val="en-US" w:eastAsia="zh-CN"/>
              </w:rPr>
            </w:pPr>
            <w:r>
              <w:rPr>
                <w:rFonts w:ascii="微软雅黑" w:hAnsi="微软雅黑" w:eastAsia="微软雅黑" w:cs="微软雅黑"/>
                <w:sz w:val="24"/>
                <w:szCs w:val="24"/>
              </w:rPr>
              <w:t>第二十条第（八）项</w:t>
            </w:r>
          </w:p>
        </w:tc>
      </w:tr>
      <w:tr w14:paraId="62667B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vAlign w:val="center"/>
          </w:tcPr>
          <w:p w14:paraId="5753EB7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napToGrid w:val="0"/>
                <w:color w:val="000000"/>
                <w:spacing w:val="-1"/>
                <w:kern w:val="0"/>
                <w:sz w:val="24"/>
                <w:szCs w:val="24"/>
                <w:lang w:val="en-US" w:eastAsia="en-US" w:bidi="ar-SA"/>
              </w:rPr>
            </w:pPr>
            <w:r>
              <w:rPr>
                <w:rFonts w:ascii="微软雅黑" w:hAnsi="微软雅黑" w:eastAsia="微软雅黑" w:cs="微软雅黑"/>
                <w:snapToGrid w:val="0"/>
                <w:color w:val="000000"/>
                <w:spacing w:val="-1"/>
                <w:kern w:val="0"/>
                <w:sz w:val="24"/>
                <w:szCs w:val="24"/>
                <w:lang w:val="en-US" w:eastAsia="en-US" w:bidi="ar-SA"/>
              </w:rPr>
              <w:t>信息内容</w:t>
            </w:r>
          </w:p>
        </w:tc>
        <w:tc>
          <w:tcPr>
            <w:tcW w:w="6713" w:type="dxa"/>
            <w:gridSpan w:val="3"/>
            <w:vAlign w:val="center"/>
          </w:tcPr>
          <w:p w14:paraId="5CC64D2D">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微软雅黑" w:hAnsi="微软雅黑" w:eastAsia="微软雅黑" w:cs="微软雅黑"/>
                <w:snapToGrid w:val="0"/>
                <w:color w:val="000000"/>
                <w:spacing w:val="-1"/>
                <w:kern w:val="0"/>
                <w:sz w:val="24"/>
                <w:szCs w:val="24"/>
                <w:lang w:val="en-US" w:eastAsia="zh-CN" w:bidi="ar-SA"/>
              </w:rPr>
            </w:pPr>
            <w:r>
              <w:rPr>
                <w:rFonts w:ascii="微软雅黑" w:hAnsi="微软雅黑" w:eastAsia="微软雅黑" w:cs="微软雅黑"/>
                <w:snapToGrid w:val="0"/>
                <w:color w:val="000000"/>
                <w:spacing w:val="-1"/>
                <w:kern w:val="0"/>
                <w:sz w:val="24"/>
                <w:szCs w:val="24"/>
                <w:lang w:val="en-US" w:eastAsia="en-US" w:bidi="ar-SA"/>
              </w:rPr>
              <w:t>本年收费金额（单位</w:t>
            </w:r>
            <w:r>
              <w:rPr>
                <w:rFonts w:hint="eastAsia" w:ascii="微软雅黑" w:hAnsi="微软雅黑" w:eastAsia="微软雅黑" w:cs="微软雅黑"/>
                <w:snapToGrid w:val="0"/>
                <w:color w:val="000000"/>
                <w:spacing w:val="-1"/>
                <w:kern w:val="0"/>
                <w:sz w:val="24"/>
                <w:szCs w:val="24"/>
                <w:lang w:val="en-US" w:eastAsia="zh-CN" w:bidi="ar-SA"/>
              </w:rPr>
              <w:t>:</w:t>
            </w:r>
            <w:r>
              <w:rPr>
                <w:rFonts w:ascii="微软雅黑" w:hAnsi="微软雅黑" w:eastAsia="微软雅黑" w:cs="微软雅黑"/>
                <w:snapToGrid w:val="0"/>
                <w:color w:val="000000"/>
                <w:spacing w:val="-1"/>
                <w:kern w:val="0"/>
                <w:sz w:val="24"/>
                <w:szCs w:val="24"/>
                <w:lang w:val="en-US" w:eastAsia="en-US" w:bidi="ar-SA"/>
              </w:rPr>
              <w:t>万元）</w:t>
            </w:r>
          </w:p>
        </w:tc>
      </w:tr>
      <w:tr w14:paraId="127879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515" w:type="dxa"/>
            <w:vAlign w:val="center"/>
          </w:tcPr>
          <w:p w14:paraId="2B186550">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ascii="微软雅黑" w:hAnsi="微软雅黑" w:eastAsia="微软雅黑" w:cs="微软雅黑"/>
                <w:snapToGrid w:val="0"/>
                <w:color w:val="000000"/>
                <w:spacing w:val="-1"/>
                <w:kern w:val="0"/>
                <w:sz w:val="24"/>
                <w:szCs w:val="24"/>
                <w:lang w:val="en-US" w:eastAsia="en-US" w:bidi="ar-SA"/>
              </w:rPr>
            </w:pPr>
            <w:r>
              <w:rPr>
                <w:rFonts w:ascii="微软雅黑" w:hAnsi="微软雅黑" w:eastAsia="微软雅黑" w:cs="微软雅黑"/>
                <w:snapToGrid w:val="0"/>
                <w:color w:val="000000"/>
                <w:spacing w:val="-1"/>
                <w:kern w:val="0"/>
                <w:sz w:val="24"/>
                <w:szCs w:val="24"/>
                <w:lang w:val="en-US" w:eastAsia="en-US" w:bidi="ar-SA"/>
              </w:rPr>
              <w:t>行政事业性收费</w:t>
            </w:r>
          </w:p>
        </w:tc>
        <w:tc>
          <w:tcPr>
            <w:tcW w:w="6713" w:type="dxa"/>
            <w:gridSpan w:val="3"/>
            <w:vAlign w:val="center"/>
          </w:tcPr>
          <w:p w14:paraId="3F555D72">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微软雅黑" w:hAnsi="微软雅黑" w:eastAsia="微软雅黑" w:cs="微软雅黑"/>
                <w:snapToGrid w:val="0"/>
                <w:color w:val="000000"/>
                <w:spacing w:val="-1"/>
                <w:kern w:val="0"/>
                <w:sz w:val="24"/>
                <w:szCs w:val="24"/>
                <w:lang w:val="en-US" w:eastAsia="zh-CN" w:bidi="ar-SA"/>
              </w:rPr>
            </w:pPr>
            <w:r>
              <w:rPr>
                <w:rFonts w:hint="eastAsia" w:ascii="微软雅黑" w:hAnsi="微软雅黑" w:eastAsia="微软雅黑" w:cs="微软雅黑"/>
                <w:snapToGrid w:val="0"/>
                <w:color w:val="000000"/>
                <w:spacing w:val="-1"/>
                <w:kern w:val="0"/>
                <w:sz w:val="24"/>
                <w:szCs w:val="24"/>
                <w:lang w:val="en-US" w:eastAsia="zh-CN" w:bidi="ar-SA"/>
              </w:rPr>
              <w:t>0</w:t>
            </w:r>
          </w:p>
        </w:tc>
      </w:tr>
    </w:tbl>
    <w:p w14:paraId="1D03172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right="0" w:firstLine="652" w:firstLineChars="200"/>
        <w:jc w:val="both"/>
        <w:textAlignment w:val="baseline"/>
      </w:pPr>
      <w:r>
        <w:rPr>
          <w:rFonts w:ascii="黑体" w:hAnsi="黑体" w:eastAsia="黑体" w:cs="黑体"/>
          <w:spacing w:val="8"/>
        </w:rPr>
        <w:t>三、收到和处理政府信息公开申请情况</w:t>
      </w:r>
      <w:r>
        <w:rPr>
          <w:rFonts w:ascii="黑体" w:hAnsi="黑体" w:eastAsia="黑体" w:cs="黑体"/>
          <w:spacing w:val="12"/>
        </w:rPr>
        <w:t xml:space="preserve"> </w:t>
      </w:r>
    </w:p>
    <w:p w14:paraId="5E3DC4B5">
      <w:pPr>
        <w:spacing w:line="47" w:lineRule="auto"/>
        <w:rPr>
          <w:rFonts w:ascii="Arial"/>
          <w:sz w:val="2"/>
        </w:rPr>
      </w:pPr>
    </w:p>
    <w:tbl>
      <w:tblPr>
        <w:tblStyle w:val="7"/>
        <w:tblW w:w="921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2"/>
        <w:gridCol w:w="933"/>
        <w:gridCol w:w="3485"/>
        <w:gridCol w:w="339"/>
        <w:gridCol w:w="7"/>
        <w:gridCol w:w="701"/>
        <w:gridCol w:w="5"/>
        <w:gridCol w:w="703"/>
        <w:gridCol w:w="4"/>
        <w:gridCol w:w="703"/>
        <w:gridCol w:w="3"/>
        <w:gridCol w:w="705"/>
        <w:gridCol w:w="2"/>
        <w:gridCol w:w="464"/>
        <w:gridCol w:w="1"/>
        <w:gridCol w:w="460"/>
      </w:tblGrid>
      <w:tr w14:paraId="41F4B4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jc w:val="center"/>
        </w:trPr>
        <w:tc>
          <w:tcPr>
            <w:tcW w:w="5121" w:type="dxa"/>
            <w:gridSpan w:val="4"/>
            <w:vMerge w:val="restart"/>
            <w:tcBorders>
              <w:bottom w:val="nil"/>
            </w:tcBorders>
            <w:vAlign w:val="center"/>
          </w:tcPr>
          <w:p w14:paraId="2BBF97D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27E9C554">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hanging="736"/>
              <w:jc w:val="center"/>
              <w:textAlignment w:val="baseline"/>
            </w:pPr>
            <w:r>
              <w:rPr>
                <w:spacing w:val="-1"/>
              </w:rPr>
              <w:t>（本列数据的勾稽关系为：第一项加第二项之</w:t>
            </w:r>
            <w:r>
              <w:rPr>
                <w:spacing w:val="17"/>
              </w:rPr>
              <w:t xml:space="preserve"> </w:t>
            </w:r>
            <w:r>
              <w:rPr>
                <w:spacing w:val="-4"/>
              </w:rPr>
              <w:t>和</w:t>
            </w:r>
            <w:r>
              <w:rPr>
                <w:spacing w:val="-19"/>
              </w:rPr>
              <w:t xml:space="preserve"> </w:t>
            </w:r>
            <w:r>
              <w:rPr>
                <w:spacing w:val="-4"/>
              </w:rPr>
              <w:t>，等于第三项加第四项之和）</w:t>
            </w:r>
          </w:p>
        </w:tc>
        <w:tc>
          <w:tcPr>
            <w:tcW w:w="4097" w:type="dxa"/>
            <w:gridSpan w:val="13"/>
            <w:vAlign w:val="center"/>
          </w:tcPr>
          <w:p w14:paraId="7C50C23E">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7"/>
              </w:rPr>
              <w:t>申请人情况</w:t>
            </w:r>
          </w:p>
        </w:tc>
      </w:tr>
      <w:tr w14:paraId="27D335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5121" w:type="dxa"/>
            <w:gridSpan w:val="4"/>
            <w:vMerge w:val="continue"/>
            <w:tcBorders>
              <w:top w:val="nil"/>
              <w:bottom w:val="nil"/>
            </w:tcBorders>
            <w:vAlign w:val="center"/>
          </w:tcPr>
          <w:p w14:paraId="2DC5822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6" w:type="dxa"/>
            <w:gridSpan w:val="2"/>
            <w:vMerge w:val="restart"/>
            <w:tcBorders>
              <w:bottom w:val="nil"/>
            </w:tcBorders>
            <w:textDirection w:val="tbRlV"/>
            <w:vAlign w:val="center"/>
          </w:tcPr>
          <w:p w14:paraId="22661DB8">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21"/>
              </w:rPr>
              <w:t>自然人</w:t>
            </w:r>
          </w:p>
        </w:tc>
        <w:tc>
          <w:tcPr>
            <w:tcW w:w="3291" w:type="dxa"/>
            <w:gridSpan w:val="10"/>
            <w:vAlign w:val="center"/>
          </w:tcPr>
          <w:p w14:paraId="47CE0710">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1"/>
              </w:rPr>
              <w:t>法人或其他组织</w:t>
            </w:r>
          </w:p>
        </w:tc>
        <w:tc>
          <w:tcPr>
            <w:tcW w:w="460" w:type="dxa"/>
            <w:vMerge w:val="restart"/>
            <w:tcBorders>
              <w:bottom w:val="nil"/>
            </w:tcBorders>
            <w:vAlign w:val="center"/>
          </w:tcPr>
          <w:p w14:paraId="71F6CBA8">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1"/>
              <w:jc w:val="center"/>
              <w:textAlignment w:val="baseline"/>
            </w:pPr>
            <w:r>
              <w:rPr>
                <w:spacing w:val="-5"/>
                <w:w w:val="96"/>
              </w:rPr>
              <w:t>总</w:t>
            </w:r>
            <w:r>
              <w:t xml:space="preserve"> </w:t>
            </w:r>
            <w:r>
              <w:rPr>
                <w:spacing w:val="-3"/>
              </w:rPr>
              <w:t>计</w:t>
            </w:r>
          </w:p>
        </w:tc>
      </w:tr>
      <w:tr w14:paraId="565AD9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jc w:val="center"/>
        </w:trPr>
        <w:tc>
          <w:tcPr>
            <w:tcW w:w="5121" w:type="dxa"/>
            <w:gridSpan w:val="4"/>
            <w:vMerge w:val="continue"/>
            <w:tcBorders>
              <w:top w:val="nil"/>
            </w:tcBorders>
            <w:vAlign w:val="center"/>
          </w:tcPr>
          <w:p w14:paraId="0592F4E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6" w:type="dxa"/>
            <w:gridSpan w:val="2"/>
            <w:vMerge w:val="continue"/>
            <w:tcBorders>
              <w:top w:val="nil"/>
            </w:tcBorders>
            <w:textDirection w:val="tbRlV"/>
            <w:vAlign w:val="center"/>
          </w:tcPr>
          <w:p w14:paraId="4A918F4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706" w:type="dxa"/>
            <w:gridSpan w:val="2"/>
            <w:vAlign w:val="center"/>
          </w:tcPr>
          <w:p w14:paraId="12D457C1">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
              <w:jc w:val="center"/>
              <w:textAlignment w:val="baseline"/>
            </w:pPr>
            <w:r>
              <w:rPr>
                <w:spacing w:val="-4"/>
              </w:rPr>
              <w:t>商业</w:t>
            </w:r>
            <w:r>
              <w:t xml:space="preserve"> </w:t>
            </w:r>
            <w:r>
              <w:rPr>
                <w:spacing w:val="-3"/>
              </w:rPr>
              <w:t>企业</w:t>
            </w:r>
          </w:p>
        </w:tc>
        <w:tc>
          <w:tcPr>
            <w:tcW w:w="707" w:type="dxa"/>
            <w:gridSpan w:val="2"/>
            <w:vAlign w:val="center"/>
          </w:tcPr>
          <w:p w14:paraId="659C65E5">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hanging="3"/>
              <w:jc w:val="center"/>
              <w:textAlignment w:val="baseline"/>
            </w:pPr>
            <w:r>
              <w:rPr>
                <w:spacing w:val="-2"/>
              </w:rPr>
              <w:t>科研</w:t>
            </w:r>
            <w:r>
              <w:t xml:space="preserve"> </w:t>
            </w:r>
            <w:r>
              <w:rPr>
                <w:spacing w:val="-4"/>
              </w:rPr>
              <w:t>机构</w:t>
            </w:r>
          </w:p>
        </w:tc>
        <w:tc>
          <w:tcPr>
            <w:tcW w:w="706" w:type="dxa"/>
            <w:gridSpan w:val="2"/>
            <w:vAlign w:val="center"/>
          </w:tcPr>
          <w:p w14:paraId="76913AC7">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2"/>
              </w:rPr>
              <w:t>社会</w:t>
            </w:r>
            <w:r>
              <w:t xml:space="preserve"> </w:t>
            </w:r>
            <w:r>
              <w:rPr>
                <w:spacing w:val="-2"/>
              </w:rPr>
              <w:t>公益</w:t>
            </w:r>
            <w:r>
              <w:t xml:space="preserve"> </w:t>
            </w:r>
            <w:r>
              <w:rPr>
                <w:spacing w:val="-2"/>
              </w:rPr>
              <w:t>组织</w:t>
            </w:r>
          </w:p>
        </w:tc>
        <w:tc>
          <w:tcPr>
            <w:tcW w:w="707" w:type="dxa"/>
            <w:gridSpan w:val="2"/>
            <w:vAlign w:val="center"/>
          </w:tcPr>
          <w:p w14:paraId="0046B64F">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3"/>
              </w:rPr>
              <w:t>法律</w:t>
            </w:r>
            <w:r>
              <w:t xml:space="preserve"> </w:t>
            </w:r>
            <w:r>
              <w:rPr>
                <w:spacing w:val="-3"/>
                <w:w w:val="99"/>
              </w:rPr>
              <w:t>服务</w:t>
            </w:r>
            <w:r>
              <w:rPr>
                <w:spacing w:val="3"/>
              </w:rPr>
              <w:t xml:space="preserve"> </w:t>
            </w:r>
            <w:r>
              <w:rPr>
                <w:spacing w:val="-4"/>
              </w:rPr>
              <w:t>机构</w:t>
            </w:r>
          </w:p>
        </w:tc>
        <w:tc>
          <w:tcPr>
            <w:tcW w:w="465" w:type="dxa"/>
            <w:gridSpan w:val="2"/>
            <w:vAlign w:val="center"/>
          </w:tcPr>
          <w:p w14:paraId="7BF104D2">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4"/>
              </w:rPr>
              <w:t>其</w:t>
            </w:r>
            <w:r>
              <w:t xml:space="preserve"> </w:t>
            </w:r>
            <w:r>
              <w:rPr>
                <w:spacing w:val="-2"/>
                <w:w w:val="98"/>
              </w:rPr>
              <w:t>他</w:t>
            </w:r>
          </w:p>
        </w:tc>
        <w:tc>
          <w:tcPr>
            <w:tcW w:w="460" w:type="dxa"/>
            <w:vMerge w:val="continue"/>
            <w:tcBorders>
              <w:top w:val="nil"/>
            </w:tcBorders>
            <w:vAlign w:val="center"/>
          </w:tcPr>
          <w:p w14:paraId="0A558BE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r>
      <w:tr w14:paraId="315A2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5121" w:type="dxa"/>
            <w:gridSpan w:val="4"/>
            <w:vAlign w:val="center"/>
          </w:tcPr>
          <w:p w14:paraId="2F57CD45">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1"/>
              </w:rPr>
              <w:t>一、本年新收政府信息公开申请数量</w:t>
            </w:r>
          </w:p>
        </w:tc>
        <w:tc>
          <w:tcPr>
            <w:tcW w:w="346" w:type="dxa"/>
            <w:gridSpan w:val="2"/>
            <w:vAlign w:val="center"/>
          </w:tcPr>
          <w:p w14:paraId="045F7C8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0555D88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D0D752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687C78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259BDF1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522FCEA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4C892AB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76168D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5121" w:type="dxa"/>
            <w:gridSpan w:val="4"/>
            <w:vAlign w:val="center"/>
          </w:tcPr>
          <w:p w14:paraId="00513730">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1"/>
              </w:rPr>
              <w:t>二、上年结转政府信息公开申请数量</w:t>
            </w:r>
          </w:p>
        </w:tc>
        <w:tc>
          <w:tcPr>
            <w:tcW w:w="346" w:type="dxa"/>
            <w:gridSpan w:val="2"/>
            <w:vAlign w:val="center"/>
          </w:tcPr>
          <w:p w14:paraId="144982C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651C385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A2EE9E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4ED1D33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2C184D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7BE8393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369F6E0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6D1B9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restart"/>
            <w:vAlign w:val="center"/>
          </w:tcPr>
          <w:p w14:paraId="5CD6DE55">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leftChars="0" w:right="0" w:firstLine="0" w:firstLineChars="0"/>
              <w:jc w:val="center"/>
              <w:textAlignment w:val="baseline"/>
              <w:rPr>
                <w:rFonts w:hint="default" w:eastAsia="微软雅黑"/>
                <w:lang w:val="en-US" w:eastAsia="zh-CN"/>
              </w:rPr>
            </w:pPr>
            <w:r>
              <w:rPr>
                <w:rFonts w:hint="eastAsia"/>
                <w:lang w:val="en-US" w:eastAsia="zh-CN"/>
              </w:rPr>
              <w:t>三、本年度办理结果</w:t>
            </w:r>
          </w:p>
        </w:tc>
        <w:tc>
          <w:tcPr>
            <w:tcW w:w="4420" w:type="dxa"/>
            <w:gridSpan w:val="3"/>
            <w:vAlign w:val="center"/>
          </w:tcPr>
          <w:p w14:paraId="37B07CC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5"/>
                <w:sz w:val="24"/>
                <w:szCs w:val="24"/>
              </w:rPr>
              <w:t>（一）予以公开</w:t>
            </w:r>
          </w:p>
        </w:tc>
        <w:tc>
          <w:tcPr>
            <w:tcW w:w="346" w:type="dxa"/>
            <w:gridSpan w:val="2"/>
            <w:vAlign w:val="center"/>
          </w:tcPr>
          <w:p w14:paraId="7E1D730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0D39478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A40908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52AC5CE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7F96B6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26A840B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04A2EC9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67C15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jc w:val="center"/>
        </w:trPr>
        <w:tc>
          <w:tcPr>
            <w:tcW w:w="701" w:type="dxa"/>
            <w:vMerge w:val="continue"/>
            <w:tcBorders/>
            <w:textDirection w:val="tbRlV"/>
            <w:vAlign w:val="center"/>
          </w:tcPr>
          <w:p w14:paraId="569C216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4420" w:type="dxa"/>
            <w:gridSpan w:val="3"/>
            <w:vAlign w:val="center"/>
          </w:tcPr>
          <w:p w14:paraId="587EE30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6"/>
              <w:jc w:val="center"/>
              <w:textAlignment w:val="baseline"/>
              <w:rPr>
                <w:rFonts w:ascii="楷体" w:hAnsi="楷体" w:eastAsia="楷体" w:cs="楷体"/>
                <w:sz w:val="24"/>
                <w:szCs w:val="24"/>
              </w:rPr>
            </w:pPr>
            <w:r>
              <w:rPr>
                <w:rFonts w:ascii="楷体" w:hAnsi="楷体" w:eastAsia="楷体" w:cs="楷体"/>
                <w:spacing w:val="-2"/>
                <w:sz w:val="24"/>
                <w:szCs w:val="24"/>
              </w:rPr>
              <w:t>（二）部分公开（区分处理的，只计这</w:t>
            </w:r>
            <w:r>
              <w:rPr>
                <w:rFonts w:ascii="楷体" w:hAnsi="楷体" w:eastAsia="楷体" w:cs="楷体"/>
                <w:spacing w:val="2"/>
                <w:sz w:val="24"/>
                <w:szCs w:val="24"/>
              </w:rPr>
              <w:t xml:space="preserve"> </w:t>
            </w:r>
            <w:r>
              <w:rPr>
                <w:rFonts w:ascii="楷体" w:hAnsi="楷体" w:eastAsia="楷体" w:cs="楷体"/>
                <w:spacing w:val="-2"/>
                <w:sz w:val="24"/>
                <w:szCs w:val="24"/>
              </w:rPr>
              <w:t>一情形，不计其他情形）</w:t>
            </w:r>
          </w:p>
        </w:tc>
        <w:tc>
          <w:tcPr>
            <w:tcW w:w="346" w:type="dxa"/>
            <w:gridSpan w:val="2"/>
            <w:vAlign w:val="center"/>
          </w:tcPr>
          <w:p w14:paraId="1DF79CB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3347E16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C0ABAD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7277528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D6519C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0CDAB31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217CB04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368513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textDirection w:val="tbRlV"/>
            <w:vAlign w:val="center"/>
          </w:tcPr>
          <w:p w14:paraId="0ACA996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restart"/>
            <w:tcBorders>
              <w:bottom w:val="nil"/>
            </w:tcBorders>
            <w:vAlign w:val="center"/>
          </w:tcPr>
          <w:p w14:paraId="3B3C203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5698939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42228E7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357B8BA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12FF278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8"/>
              <w:jc w:val="center"/>
              <w:textAlignment w:val="baseline"/>
              <w:rPr>
                <w:rFonts w:ascii="楷体" w:hAnsi="楷体" w:eastAsia="楷体" w:cs="楷体"/>
                <w:sz w:val="24"/>
                <w:szCs w:val="24"/>
              </w:rPr>
            </w:pPr>
            <w:r>
              <w:rPr>
                <w:rFonts w:ascii="楷体" w:hAnsi="楷体" w:eastAsia="楷体" w:cs="楷体"/>
                <w:spacing w:val="-19"/>
                <w:sz w:val="24"/>
                <w:szCs w:val="24"/>
              </w:rPr>
              <w:t>（三）</w:t>
            </w:r>
            <w:r>
              <w:rPr>
                <w:rFonts w:ascii="楷体" w:hAnsi="楷体" w:eastAsia="楷体" w:cs="楷体"/>
                <w:spacing w:val="1"/>
                <w:sz w:val="24"/>
                <w:szCs w:val="24"/>
              </w:rPr>
              <w:t xml:space="preserve"> </w:t>
            </w:r>
            <w:r>
              <w:rPr>
                <w:rFonts w:ascii="楷体" w:hAnsi="楷体" w:eastAsia="楷体" w:cs="楷体"/>
                <w:spacing w:val="-4"/>
                <w:sz w:val="24"/>
                <w:szCs w:val="24"/>
              </w:rPr>
              <w:t>不予公</w:t>
            </w:r>
            <w:r>
              <w:rPr>
                <w:rFonts w:ascii="楷体" w:hAnsi="楷体" w:eastAsia="楷体" w:cs="楷体"/>
                <w:sz w:val="24"/>
                <w:szCs w:val="24"/>
              </w:rPr>
              <w:t xml:space="preserve"> 开</w:t>
            </w:r>
          </w:p>
        </w:tc>
        <w:tc>
          <w:tcPr>
            <w:tcW w:w="3485" w:type="dxa"/>
            <w:vAlign w:val="center"/>
          </w:tcPr>
          <w:p w14:paraId="197375A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3"/>
                <w:sz w:val="24"/>
                <w:szCs w:val="24"/>
              </w:rPr>
              <w:t>1.属于国家秘密</w:t>
            </w:r>
          </w:p>
        </w:tc>
        <w:tc>
          <w:tcPr>
            <w:tcW w:w="346" w:type="dxa"/>
            <w:gridSpan w:val="2"/>
            <w:vAlign w:val="center"/>
          </w:tcPr>
          <w:p w14:paraId="31AF980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31BC476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FE8D8B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35FDF4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24045A1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4F7CBF1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134EEBE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4ED6B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jc w:val="center"/>
        </w:trPr>
        <w:tc>
          <w:tcPr>
            <w:tcW w:w="701" w:type="dxa"/>
            <w:vMerge w:val="continue"/>
            <w:tcBorders/>
            <w:textDirection w:val="tbRlV"/>
            <w:vAlign w:val="center"/>
          </w:tcPr>
          <w:p w14:paraId="006D5DF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50DED2F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6977DFF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2.其他法律行政法规禁止公开</w:t>
            </w:r>
          </w:p>
        </w:tc>
        <w:tc>
          <w:tcPr>
            <w:tcW w:w="346" w:type="dxa"/>
            <w:gridSpan w:val="2"/>
            <w:vAlign w:val="center"/>
          </w:tcPr>
          <w:p w14:paraId="0B6EF72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1872B07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45BD9F0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5C4356E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4FDCE30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465BD0F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6FC9E06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7A029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textDirection w:val="tbRlV"/>
            <w:vAlign w:val="center"/>
          </w:tcPr>
          <w:p w14:paraId="330E65C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3819CAF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2DA9BFD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6"/>
                <w:sz w:val="24"/>
                <w:szCs w:val="24"/>
              </w:rPr>
              <w:t>3.危及“三安全一稳定</w:t>
            </w:r>
            <w:r>
              <w:rPr>
                <w:rFonts w:ascii="楷体" w:hAnsi="楷体" w:eastAsia="楷体" w:cs="楷体"/>
                <w:spacing w:val="-88"/>
                <w:sz w:val="24"/>
                <w:szCs w:val="24"/>
              </w:rPr>
              <w:t xml:space="preserve"> </w:t>
            </w:r>
            <w:r>
              <w:rPr>
                <w:rFonts w:ascii="楷体" w:hAnsi="楷体" w:eastAsia="楷体" w:cs="楷体"/>
                <w:spacing w:val="6"/>
                <w:sz w:val="24"/>
                <w:szCs w:val="24"/>
              </w:rPr>
              <w:t>”</w:t>
            </w:r>
          </w:p>
        </w:tc>
        <w:tc>
          <w:tcPr>
            <w:tcW w:w="346" w:type="dxa"/>
            <w:gridSpan w:val="2"/>
            <w:vAlign w:val="center"/>
          </w:tcPr>
          <w:p w14:paraId="2B8801B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11C4DF5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4386644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2D0DA83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21D923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30AE9E6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564F161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75F0E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jc w:val="center"/>
        </w:trPr>
        <w:tc>
          <w:tcPr>
            <w:tcW w:w="701" w:type="dxa"/>
            <w:vMerge w:val="continue"/>
            <w:tcBorders/>
            <w:textDirection w:val="tbRlV"/>
            <w:vAlign w:val="center"/>
          </w:tcPr>
          <w:p w14:paraId="51F750A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4A9F206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20CA2FE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4.保护第三方合法权益</w:t>
            </w:r>
          </w:p>
        </w:tc>
        <w:tc>
          <w:tcPr>
            <w:tcW w:w="346" w:type="dxa"/>
            <w:gridSpan w:val="2"/>
            <w:vAlign w:val="center"/>
          </w:tcPr>
          <w:p w14:paraId="707B7BE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4DAF544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685505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1EFA77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D716C8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7AE4F9C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7B3FBA0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430B3F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textDirection w:val="tbRlV"/>
            <w:vAlign w:val="center"/>
          </w:tcPr>
          <w:p w14:paraId="6383D34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4D00074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18CE787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5.属于三类内部事务信息</w:t>
            </w:r>
          </w:p>
        </w:tc>
        <w:tc>
          <w:tcPr>
            <w:tcW w:w="346" w:type="dxa"/>
            <w:gridSpan w:val="2"/>
            <w:vAlign w:val="center"/>
          </w:tcPr>
          <w:p w14:paraId="4226078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4BC2DC3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C450A8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3363AA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007D10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37FF338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0A0B966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48153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701" w:type="dxa"/>
            <w:vMerge w:val="continue"/>
            <w:tcBorders/>
            <w:textDirection w:val="tbRlV"/>
            <w:vAlign w:val="center"/>
          </w:tcPr>
          <w:p w14:paraId="11A83C9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06DB25A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1DE1EAC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6.属于四类过程性信息</w:t>
            </w:r>
          </w:p>
        </w:tc>
        <w:tc>
          <w:tcPr>
            <w:tcW w:w="346" w:type="dxa"/>
            <w:gridSpan w:val="2"/>
            <w:vAlign w:val="center"/>
          </w:tcPr>
          <w:p w14:paraId="31FD094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1C54D48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100C133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449207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187300F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2D271FE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61ED3CB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186D8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701" w:type="dxa"/>
            <w:vMerge w:val="continue"/>
            <w:tcBorders/>
            <w:textDirection w:val="tbRlV"/>
            <w:vAlign w:val="center"/>
          </w:tcPr>
          <w:p w14:paraId="5FDBE53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49F5DB9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624D439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2"/>
                <w:sz w:val="24"/>
                <w:szCs w:val="24"/>
              </w:rPr>
              <w:t>7.属于行政执法案卷</w:t>
            </w:r>
          </w:p>
        </w:tc>
        <w:tc>
          <w:tcPr>
            <w:tcW w:w="346" w:type="dxa"/>
            <w:gridSpan w:val="2"/>
            <w:vAlign w:val="center"/>
          </w:tcPr>
          <w:p w14:paraId="224C85D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30B9967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0609E0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6589046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57FB05A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52B21DE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0DFDD88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3A7CE7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textDirection w:val="tbRlV"/>
            <w:vAlign w:val="center"/>
          </w:tcPr>
          <w:p w14:paraId="329ABF1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tcBorders>
            <w:vAlign w:val="center"/>
          </w:tcPr>
          <w:p w14:paraId="7F999ED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02886CE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8.属于行政查询事项</w:t>
            </w:r>
          </w:p>
        </w:tc>
        <w:tc>
          <w:tcPr>
            <w:tcW w:w="346" w:type="dxa"/>
            <w:gridSpan w:val="2"/>
            <w:vAlign w:val="center"/>
          </w:tcPr>
          <w:p w14:paraId="78D758B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210A0EE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FB2210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733F92E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851C86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0E5BF84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7EB2777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3B19A4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textDirection w:val="tbRlV"/>
            <w:vAlign w:val="center"/>
          </w:tcPr>
          <w:p w14:paraId="360012E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restart"/>
            <w:vAlign w:val="center"/>
          </w:tcPr>
          <w:p w14:paraId="7EFBD01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8"/>
              <w:jc w:val="center"/>
              <w:textAlignment w:val="baseline"/>
              <w:rPr>
                <w:rFonts w:ascii="楷体" w:hAnsi="楷体" w:eastAsia="楷体" w:cs="楷体"/>
                <w:spacing w:val="-19"/>
                <w:sz w:val="24"/>
                <w:szCs w:val="24"/>
              </w:rPr>
            </w:pPr>
            <w:r>
              <w:rPr>
                <w:rFonts w:ascii="楷体" w:hAnsi="楷体" w:eastAsia="楷体" w:cs="楷体"/>
                <w:spacing w:val="-19"/>
                <w:sz w:val="24"/>
                <w:szCs w:val="24"/>
              </w:rPr>
              <w:t>（四）</w:t>
            </w:r>
            <w:r>
              <w:rPr>
                <w:rFonts w:ascii="楷体" w:hAnsi="楷体" w:eastAsia="楷体" w:cs="楷体"/>
                <w:spacing w:val="1"/>
                <w:sz w:val="24"/>
                <w:szCs w:val="24"/>
              </w:rPr>
              <w:t xml:space="preserve"> </w:t>
            </w:r>
            <w:r>
              <w:rPr>
                <w:rFonts w:ascii="楷体" w:hAnsi="楷体" w:eastAsia="楷体" w:cs="楷体"/>
                <w:spacing w:val="-4"/>
                <w:sz w:val="24"/>
                <w:szCs w:val="24"/>
              </w:rPr>
              <w:t>无法提</w:t>
            </w:r>
          </w:p>
          <w:p w14:paraId="3315254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z w:val="24"/>
                <w:szCs w:val="24"/>
              </w:rPr>
              <w:t>供</w:t>
            </w:r>
          </w:p>
        </w:tc>
        <w:tc>
          <w:tcPr>
            <w:tcW w:w="3485" w:type="dxa"/>
            <w:vAlign w:val="center"/>
          </w:tcPr>
          <w:p w14:paraId="50731A2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2"/>
                <w:sz w:val="24"/>
                <w:szCs w:val="24"/>
              </w:rPr>
              <w:t>1.本机关不掌握相关政府信息</w:t>
            </w:r>
          </w:p>
        </w:tc>
        <w:tc>
          <w:tcPr>
            <w:tcW w:w="346" w:type="dxa"/>
            <w:gridSpan w:val="2"/>
            <w:vAlign w:val="center"/>
          </w:tcPr>
          <w:p w14:paraId="1144C35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3F000BE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F46DC0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B2AA3C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5DE6EF0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3137945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2E0E9E6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73357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701" w:type="dxa"/>
            <w:vMerge w:val="continue"/>
            <w:tcBorders/>
            <w:textDirection w:val="tbRlV"/>
            <w:vAlign w:val="center"/>
          </w:tcPr>
          <w:p w14:paraId="2A78E01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vAlign w:val="center"/>
          </w:tcPr>
          <w:p w14:paraId="3789C9A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7F9BC60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2.没有现成信息需要另行制作</w:t>
            </w:r>
          </w:p>
        </w:tc>
        <w:tc>
          <w:tcPr>
            <w:tcW w:w="346" w:type="dxa"/>
            <w:gridSpan w:val="2"/>
            <w:vAlign w:val="center"/>
          </w:tcPr>
          <w:p w14:paraId="5209B53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14:paraId="4FDBC0A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2A6EA8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6BD4C9A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07BD7E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62A598B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6FC7D79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324292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jc w:val="center"/>
        </w:trPr>
        <w:tc>
          <w:tcPr>
            <w:tcW w:w="701" w:type="dxa"/>
            <w:vMerge w:val="continue"/>
            <w:tcBorders/>
            <w:vAlign w:val="center"/>
          </w:tcPr>
          <w:p w14:paraId="4C39037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vAlign w:val="center"/>
          </w:tcPr>
          <w:p w14:paraId="67EB747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p>
        </w:tc>
        <w:tc>
          <w:tcPr>
            <w:tcW w:w="3485" w:type="dxa"/>
            <w:vAlign w:val="center"/>
          </w:tcPr>
          <w:p w14:paraId="37C6F4E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3.补正后申请内容仍不明确</w:t>
            </w:r>
          </w:p>
        </w:tc>
        <w:tc>
          <w:tcPr>
            <w:tcW w:w="346" w:type="dxa"/>
            <w:gridSpan w:val="2"/>
            <w:vAlign w:val="center"/>
          </w:tcPr>
          <w:p w14:paraId="67F0BD9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54D4CD9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5BF24AF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044665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4CE5FB0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612D50D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5AB2932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31819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vAlign w:val="center"/>
          </w:tcPr>
          <w:p w14:paraId="08D2171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restart"/>
            <w:tcBorders>
              <w:bottom w:val="nil"/>
            </w:tcBorders>
            <w:vAlign w:val="center"/>
          </w:tcPr>
          <w:p w14:paraId="692ED55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710DA68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155D087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9"/>
              <w:jc w:val="center"/>
              <w:textAlignment w:val="baseline"/>
              <w:rPr>
                <w:rFonts w:ascii="楷体" w:hAnsi="楷体" w:eastAsia="楷体" w:cs="楷体"/>
                <w:sz w:val="24"/>
                <w:szCs w:val="24"/>
              </w:rPr>
            </w:pPr>
            <w:r>
              <w:rPr>
                <w:rFonts w:ascii="楷体" w:hAnsi="楷体" w:eastAsia="楷体" w:cs="楷体"/>
                <w:spacing w:val="-19"/>
                <w:sz w:val="24"/>
                <w:szCs w:val="24"/>
              </w:rPr>
              <w:t>（五）</w:t>
            </w:r>
            <w:r>
              <w:rPr>
                <w:rFonts w:ascii="楷体" w:hAnsi="楷体" w:eastAsia="楷体" w:cs="楷体"/>
                <w:spacing w:val="1"/>
                <w:sz w:val="24"/>
                <w:szCs w:val="24"/>
              </w:rPr>
              <w:t xml:space="preserve"> </w:t>
            </w:r>
            <w:r>
              <w:rPr>
                <w:rFonts w:ascii="楷体" w:hAnsi="楷体" w:eastAsia="楷体" w:cs="楷体"/>
                <w:spacing w:val="-4"/>
                <w:sz w:val="24"/>
                <w:szCs w:val="24"/>
              </w:rPr>
              <w:t>不予处</w:t>
            </w:r>
            <w:r>
              <w:rPr>
                <w:rFonts w:ascii="楷体" w:hAnsi="楷体" w:eastAsia="楷体" w:cs="楷体"/>
                <w:sz w:val="24"/>
                <w:szCs w:val="24"/>
              </w:rPr>
              <w:t xml:space="preserve"> 理</w:t>
            </w:r>
          </w:p>
        </w:tc>
        <w:tc>
          <w:tcPr>
            <w:tcW w:w="3485" w:type="dxa"/>
            <w:vAlign w:val="center"/>
          </w:tcPr>
          <w:p w14:paraId="2C700BD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2"/>
                <w:sz w:val="24"/>
                <w:szCs w:val="24"/>
              </w:rPr>
              <w:t>1.信访举报投诉类申请</w:t>
            </w:r>
          </w:p>
        </w:tc>
        <w:tc>
          <w:tcPr>
            <w:tcW w:w="346" w:type="dxa"/>
            <w:gridSpan w:val="2"/>
            <w:vAlign w:val="center"/>
          </w:tcPr>
          <w:p w14:paraId="22B32ED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485E6EF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BC5150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2A58385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4F8579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421E22E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2E84E89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A9F6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701" w:type="dxa"/>
            <w:vMerge w:val="continue"/>
            <w:tcBorders/>
            <w:vAlign w:val="center"/>
          </w:tcPr>
          <w:p w14:paraId="1C3F969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20FD3BD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3C030FC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2"/>
                <w:sz w:val="24"/>
                <w:szCs w:val="24"/>
              </w:rPr>
              <w:t>2.重复申请</w:t>
            </w:r>
          </w:p>
        </w:tc>
        <w:tc>
          <w:tcPr>
            <w:tcW w:w="346" w:type="dxa"/>
            <w:gridSpan w:val="2"/>
            <w:vAlign w:val="center"/>
          </w:tcPr>
          <w:p w14:paraId="1B37D49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43D2F03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C13BCE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6AF477B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163EE9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2A302E3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3F7B022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13D22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vAlign w:val="center"/>
          </w:tcPr>
          <w:p w14:paraId="7C707F1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7754B37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0E3BEAC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3.要求提供公开出版物</w:t>
            </w:r>
          </w:p>
        </w:tc>
        <w:tc>
          <w:tcPr>
            <w:tcW w:w="346" w:type="dxa"/>
            <w:gridSpan w:val="2"/>
            <w:vAlign w:val="center"/>
          </w:tcPr>
          <w:p w14:paraId="16A4D93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6C4055C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5467CA0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4FF27EA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5A00A1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4CDFB35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1933887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5BBFC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vAlign w:val="center"/>
          </w:tcPr>
          <w:p w14:paraId="69014D2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42FAEAD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7A8E033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1"/>
                <w:sz w:val="24"/>
                <w:szCs w:val="24"/>
              </w:rPr>
              <w:t>4.无正当理由大量反复申请</w:t>
            </w:r>
          </w:p>
        </w:tc>
        <w:tc>
          <w:tcPr>
            <w:tcW w:w="346" w:type="dxa"/>
            <w:gridSpan w:val="2"/>
            <w:vAlign w:val="center"/>
          </w:tcPr>
          <w:p w14:paraId="3E87ED8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C5A7B3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594725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5F80977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5C57343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5B10A5D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6A7D5B2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062C3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jc w:val="center"/>
        </w:trPr>
        <w:tc>
          <w:tcPr>
            <w:tcW w:w="701" w:type="dxa"/>
            <w:vMerge w:val="continue"/>
            <w:tcBorders/>
            <w:vAlign w:val="center"/>
          </w:tcPr>
          <w:p w14:paraId="5630E0F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tcBorders>
            <w:vAlign w:val="center"/>
          </w:tcPr>
          <w:p w14:paraId="3BD6D6F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45AC7202">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hanging="7"/>
              <w:jc w:val="center"/>
              <w:textAlignment w:val="baseline"/>
              <w:rPr>
                <w:rFonts w:ascii="楷体" w:hAnsi="楷体" w:eastAsia="楷体" w:cs="楷体"/>
                <w:sz w:val="24"/>
                <w:szCs w:val="24"/>
              </w:rPr>
            </w:pPr>
            <w:r>
              <w:rPr>
                <w:rFonts w:ascii="楷体" w:hAnsi="楷体" w:eastAsia="楷体" w:cs="楷体"/>
                <w:spacing w:val="-1"/>
                <w:sz w:val="24"/>
                <w:szCs w:val="24"/>
              </w:rPr>
              <w:t>5.要求行政机关确认或重新出</w:t>
            </w:r>
            <w:r>
              <w:rPr>
                <w:rFonts w:ascii="楷体" w:hAnsi="楷体" w:eastAsia="楷体" w:cs="楷体"/>
                <w:spacing w:val="9"/>
                <w:sz w:val="24"/>
                <w:szCs w:val="24"/>
              </w:rPr>
              <w:t xml:space="preserve"> </w:t>
            </w:r>
            <w:r>
              <w:rPr>
                <w:rFonts w:ascii="楷体" w:hAnsi="楷体" w:eastAsia="楷体" w:cs="楷体"/>
                <w:spacing w:val="-2"/>
                <w:sz w:val="24"/>
                <w:szCs w:val="24"/>
              </w:rPr>
              <w:t>具已获取信息</w:t>
            </w:r>
          </w:p>
        </w:tc>
        <w:tc>
          <w:tcPr>
            <w:tcW w:w="346" w:type="dxa"/>
            <w:gridSpan w:val="2"/>
            <w:vAlign w:val="center"/>
          </w:tcPr>
          <w:p w14:paraId="20ADAD8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017918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D84298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06A065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C33107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51BF1FE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20FDFA3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40DFD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701" w:type="dxa"/>
            <w:vMerge w:val="continue"/>
            <w:tcBorders/>
            <w:vAlign w:val="center"/>
          </w:tcPr>
          <w:p w14:paraId="37293FE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restart"/>
            <w:tcBorders>
              <w:bottom w:val="nil"/>
            </w:tcBorders>
            <w:vAlign w:val="center"/>
          </w:tcPr>
          <w:p w14:paraId="3FC4AEF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p w14:paraId="2B9F953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9"/>
              <w:jc w:val="center"/>
              <w:textAlignment w:val="baseline"/>
              <w:rPr>
                <w:rFonts w:ascii="楷体" w:hAnsi="楷体" w:eastAsia="楷体" w:cs="楷体"/>
                <w:sz w:val="24"/>
                <w:szCs w:val="24"/>
              </w:rPr>
            </w:pPr>
            <w:r>
              <w:rPr>
                <w:rFonts w:ascii="楷体" w:hAnsi="楷体" w:eastAsia="楷体" w:cs="楷体"/>
                <w:spacing w:val="-20"/>
                <w:sz w:val="24"/>
                <w:szCs w:val="24"/>
              </w:rPr>
              <w:t>（六）</w:t>
            </w:r>
            <w:r>
              <w:rPr>
                <w:rFonts w:ascii="楷体" w:hAnsi="楷体" w:eastAsia="楷体" w:cs="楷体"/>
                <w:sz w:val="24"/>
                <w:szCs w:val="24"/>
              </w:rPr>
              <w:t xml:space="preserve"> </w:t>
            </w:r>
            <w:r>
              <w:rPr>
                <w:rFonts w:ascii="楷体" w:hAnsi="楷体" w:eastAsia="楷体" w:cs="楷体"/>
                <w:spacing w:val="-6"/>
                <w:sz w:val="24"/>
                <w:szCs w:val="24"/>
              </w:rPr>
              <w:t>其他</w:t>
            </w:r>
            <w:r>
              <w:rPr>
                <w:rFonts w:ascii="楷体" w:hAnsi="楷体" w:eastAsia="楷体" w:cs="楷体"/>
                <w:sz w:val="24"/>
                <w:szCs w:val="24"/>
              </w:rPr>
              <w:t xml:space="preserve">  </w:t>
            </w:r>
            <w:r>
              <w:rPr>
                <w:rFonts w:ascii="楷体" w:hAnsi="楷体" w:eastAsia="楷体" w:cs="楷体"/>
                <w:spacing w:val="-6"/>
                <w:sz w:val="24"/>
                <w:szCs w:val="24"/>
              </w:rPr>
              <w:t>处理</w:t>
            </w:r>
          </w:p>
        </w:tc>
        <w:tc>
          <w:tcPr>
            <w:tcW w:w="3485" w:type="dxa"/>
            <w:vAlign w:val="center"/>
          </w:tcPr>
          <w:p w14:paraId="6D791D6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14"/>
              <w:jc w:val="center"/>
              <w:textAlignment w:val="baseline"/>
              <w:rPr>
                <w:rFonts w:ascii="楷体" w:hAnsi="楷体" w:eastAsia="楷体" w:cs="楷体"/>
                <w:sz w:val="24"/>
                <w:szCs w:val="24"/>
              </w:rPr>
            </w:pPr>
            <w:r>
              <w:rPr>
                <w:rFonts w:ascii="楷体" w:hAnsi="楷体" w:eastAsia="楷体" w:cs="楷体"/>
                <w:spacing w:val="3"/>
                <w:sz w:val="24"/>
                <w:szCs w:val="24"/>
              </w:rPr>
              <w:t>1.申请人无正当理由逾期不补</w:t>
            </w:r>
            <w:r>
              <w:rPr>
                <w:rFonts w:ascii="楷体" w:hAnsi="楷体" w:eastAsia="楷体" w:cs="楷体"/>
                <w:spacing w:val="4"/>
                <w:sz w:val="24"/>
                <w:szCs w:val="24"/>
              </w:rPr>
              <w:t xml:space="preserve"> 正、行政机关不再处理其政府</w:t>
            </w:r>
            <w:r>
              <w:rPr>
                <w:rFonts w:ascii="楷体" w:hAnsi="楷体" w:eastAsia="楷体" w:cs="楷体"/>
                <w:spacing w:val="11"/>
                <w:sz w:val="24"/>
                <w:szCs w:val="24"/>
              </w:rPr>
              <w:t xml:space="preserve"> </w:t>
            </w:r>
            <w:r>
              <w:rPr>
                <w:rFonts w:ascii="楷体" w:hAnsi="楷体" w:eastAsia="楷体" w:cs="楷体"/>
                <w:spacing w:val="-2"/>
                <w:sz w:val="24"/>
                <w:szCs w:val="24"/>
              </w:rPr>
              <w:t>信息公开申请</w:t>
            </w:r>
          </w:p>
        </w:tc>
        <w:tc>
          <w:tcPr>
            <w:tcW w:w="346" w:type="dxa"/>
            <w:gridSpan w:val="2"/>
            <w:vAlign w:val="center"/>
          </w:tcPr>
          <w:p w14:paraId="3535A02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8A7E84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071567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346307F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7D4B9B93">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6B60A21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4D5F86A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16CD96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701" w:type="dxa"/>
            <w:vMerge w:val="continue"/>
            <w:tcBorders/>
            <w:vAlign w:val="center"/>
          </w:tcPr>
          <w:p w14:paraId="7951069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bottom w:val="nil"/>
            </w:tcBorders>
            <w:vAlign w:val="center"/>
          </w:tcPr>
          <w:p w14:paraId="3BA353B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118B5CC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hanging="2"/>
              <w:jc w:val="center"/>
              <w:textAlignment w:val="baseline"/>
              <w:rPr>
                <w:rFonts w:ascii="楷体" w:hAnsi="楷体" w:eastAsia="楷体" w:cs="楷体"/>
                <w:sz w:val="24"/>
                <w:szCs w:val="24"/>
              </w:rPr>
            </w:pPr>
            <w:r>
              <w:rPr>
                <w:rFonts w:ascii="楷体" w:hAnsi="楷体" w:eastAsia="楷体" w:cs="楷体"/>
                <w:spacing w:val="-1"/>
                <w:sz w:val="24"/>
                <w:szCs w:val="24"/>
              </w:rPr>
              <w:t>2.申请人逾期未按收费通知要</w:t>
            </w:r>
            <w:r>
              <w:rPr>
                <w:rFonts w:ascii="楷体" w:hAnsi="楷体" w:eastAsia="楷体" w:cs="楷体"/>
                <w:spacing w:val="5"/>
                <w:sz w:val="24"/>
                <w:szCs w:val="24"/>
              </w:rPr>
              <w:t xml:space="preserve"> </w:t>
            </w:r>
            <w:r>
              <w:rPr>
                <w:rFonts w:ascii="楷体" w:hAnsi="楷体" w:eastAsia="楷体" w:cs="楷体"/>
                <w:spacing w:val="-1"/>
                <w:sz w:val="24"/>
                <w:szCs w:val="24"/>
              </w:rPr>
              <w:t>求缴纳费用、行政机关不再处</w:t>
            </w:r>
            <w:r>
              <w:rPr>
                <w:rFonts w:ascii="楷体" w:hAnsi="楷体" w:eastAsia="楷体" w:cs="楷体"/>
                <w:spacing w:val="1"/>
                <w:sz w:val="24"/>
                <w:szCs w:val="24"/>
              </w:rPr>
              <w:t xml:space="preserve"> </w:t>
            </w:r>
            <w:r>
              <w:rPr>
                <w:rFonts w:ascii="楷体" w:hAnsi="楷体" w:eastAsia="楷体" w:cs="楷体"/>
                <w:spacing w:val="-2"/>
                <w:sz w:val="24"/>
                <w:szCs w:val="24"/>
              </w:rPr>
              <w:t>理其政府信息公开申请</w:t>
            </w:r>
          </w:p>
        </w:tc>
        <w:tc>
          <w:tcPr>
            <w:tcW w:w="346" w:type="dxa"/>
            <w:gridSpan w:val="2"/>
            <w:vAlign w:val="center"/>
          </w:tcPr>
          <w:p w14:paraId="786D16C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047E753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0D15319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1BDF59B">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6C085BE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6310314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3DF6F8C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64B4AB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1" w:type="dxa"/>
            <w:vMerge w:val="continue"/>
            <w:tcBorders>
              <w:bottom w:val="nil"/>
            </w:tcBorders>
            <w:vAlign w:val="center"/>
          </w:tcPr>
          <w:p w14:paraId="4943D29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935" w:type="dxa"/>
            <w:gridSpan w:val="2"/>
            <w:vMerge w:val="continue"/>
            <w:tcBorders>
              <w:top w:val="nil"/>
            </w:tcBorders>
            <w:vAlign w:val="center"/>
          </w:tcPr>
          <w:p w14:paraId="27684AA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3485" w:type="dxa"/>
            <w:vAlign w:val="center"/>
          </w:tcPr>
          <w:p w14:paraId="6F4D7D3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3"/>
                <w:sz w:val="24"/>
                <w:szCs w:val="24"/>
              </w:rPr>
              <w:t>3.其他</w:t>
            </w:r>
          </w:p>
        </w:tc>
        <w:tc>
          <w:tcPr>
            <w:tcW w:w="346" w:type="dxa"/>
            <w:gridSpan w:val="2"/>
            <w:vAlign w:val="center"/>
          </w:tcPr>
          <w:p w14:paraId="1DA91F1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1E58363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3FB257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6" w:type="dxa"/>
            <w:gridSpan w:val="2"/>
            <w:vAlign w:val="center"/>
          </w:tcPr>
          <w:p w14:paraId="2ECF143E">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26B52C3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5" w:type="dxa"/>
            <w:gridSpan w:val="2"/>
            <w:vAlign w:val="center"/>
          </w:tcPr>
          <w:p w14:paraId="29BCE5C0">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0" w:type="dxa"/>
            <w:vAlign w:val="center"/>
          </w:tcPr>
          <w:p w14:paraId="3AA6D2B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55357A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703" w:type="dxa"/>
            <w:gridSpan w:val="2"/>
            <w:tcBorders>
              <w:top w:val="nil"/>
            </w:tcBorders>
            <w:vAlign w:val="center"/>
          </w:tcPr>
          <w:p w14:paraId="4B26D1A6">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p>
        </w:tc>
        <w:tc>
          <w:tcPr>
            <w:tcW w:w="4418" w:type="dxa"/>
            <w:gridSpan w:val="2"/>
            <w:vAlign w:val="center"/>
          </w:tcPr>
          <w:p w14:paraId="09151B2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楷体" w:hAnsi="楷体" w:eastAsia="楷体" w:cs="楷体"/>
                <w:sz w:val="24"/>
                <w:szCs w:val="24"/>
              </w:rPr>
            </w:pPr>
            <w:r>
              <w:rPr>
                <w:rFonts w:ascii="楷体" w:hAnsi="楷体" w:eastAsia="楷体" w:cs="楷体"/>
                <w:spacing w:val="-7"/>
                <w:sz w:val="24"/>
                <w:szCs w:val="24"/>
              </w:rPr>
              <w:t>（七）总计</w:t>
            </w:r>
          </w:p>
        </w:tc>
        <w:tc>
          <w:tcPr>
            <w:tcW w:w="339" w:type="dxa"/>
            <w:vAlign w:val="center"/>
          </w:tcPr>
          <w:p w14:paraId="02111F7C">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1AC8D03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77E2EF3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33E7B38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38611DBD">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6" w:type="dxa"/>
            <w:gridSpan w:val="2"/>
            <w:vAlign w:val="center"/>
          </w:tcPr>
          <w:p w14:paraId="6C76C038">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1" w:type="dxa"/>
            <w:gridSpan w:val="2"/>
            <w:vAlign w:val="center"/>
          </w:tcPr>
          <w:p w14:paraId="731DB0A9">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r w14:paraId="2F0D8B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jc w:val="center"/>
        </w:trPr>
        <w:tc>
          <w:tcPr>
            <w:tcW w:w="5121" w:type="dxa"/>
            <w:gridSpan w:val="4"/>
            <w:vAlign w:val="center"/>
          </w:tcPr>
          <w:p w14:paraId="679F0E9C">
            <w:pPr>
              <w:pStyle w:val="8"/>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pPr>
            <w:r>
              <w:rPr>
                <w:spacing w:val="-3"/>
              </w:rPr>
              <w:t>四、结转下年度继续办理</w:t>
            </w:r>
          </w:p>
        </w:tc>
        <w:tc>
          <w:tcPr>
            <w:tcW w:w="339" w:type="dxa"/>
            <w:vAlign w:val="center"/>
          </w:tcPr>
          <w:p w14:paraId="6A21E7F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05FC274F">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11059EF5">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7" w:type="dxa"/>
            <w:gridSpan w:val="2"/>
            <w:vAlign w:val="center"/>
          </w:tcPr>
          <w:p w14:paraId="21C9091A">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708" w:type="dxa"/>
            <w:gridSpan w:val="2"/>
            <w:vAlign w:val="center"/>
          </w:tcPr>
          <w:p w14:paraId="6AF77AC1">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6" w:type="dxa"/>
            <w:gridSpan w:val="2"/>
            <w:vAlign w:val="center"/>
          </w:tcPr>
          <w:p w14:paraId="12F78F57">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c>
          <w:tcPr>
            <w:tcW w:w="461" w:type="dxa"/>
            <w:gridSpan w:val="2"/>
            <w:vAlign w:val="center"/>
          </w:tcPr>
          <w:p w14:paraId="51610CA4">
            <w:pPr>
              <w:keepNext w:val="0"/>
              <w:keepLines w:val="0"/>
              <w:pageBreakBefore w:val="0"/>
              <w:widowControl/>
              <w:kinsoku w:val="0"/>
              <w:wordWrap/>
              <w:overflowPunct/>
              <w:topLinePunct w:val="0"/>
              <w:autoSpaceDE w:val="0"/>
              <w:autoSpaceDN w:val="0"/>
              <w:bidi w:val="0"/>
              <w:adjustRightInd w:val="0"/>
              <w:snapToGrid w:val="0"/>
              <w:spacing w:line="300" w:lineRule="exact"/>
              <w:ind w:left="0" w:right="0"/>
              <w:jc w:val="center"/>
              <w:textAlignment w:val="baseline"/>
              <w:rPr>
                <w:rFonts w:ascii="Arial"/>
                <w:sz w:val="21"/>
              </w:rPr>
            </w:pPr>
            <w:r>
              <w:rPr>
                <w:rFonts w:hint="eastAsia" w:eastAsia="宋体"/>
                <w:sz w:val="21"/>
                <w:lang w:val="en-US" w:eastAsia="zh-CN"/>
              </w:rPr>
              <w:t>0</w:t>
            </w:r>
          </w:p>
        </w:tc>
      </w:tr>
    </w:tbl>
    <w:p w14:paraId="0C3E5FD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right="0" w:firstLine="672" w:firstLineChars="200"/>
        <w:jc w:val="both"/>
        <w:textAlignment w:val="baseline"/>
        <w:rPr>
          <w:rFonts w:hint="eastAsia" w:eastAsia="黑体"/>
          <w:sz w:val="32"/>
          <w:szCs w:val="32"/>
          <w:shd w:val="clear" w:color="auto" w:fill="auto"/>
          <w:lang w:val="en-US" w:eastAsia="zh-CN"/>
        </w:rPr>
      </w:pPr>
      <w:r>
        <w:rPr>
          <w:rFonts w:ascii="黑体" w:hAnsi="黑体" w:eastAsia="黑体" w:cs="黑体"/>
          <w:spacing w:val="8"/>
          <w:sz w:val="32"/>
          <w:szCs w:val="32"/>
          <w:shd w:val="clear" w:color="auto" w:fill="auto"/>
        </w:rPr>
        <w:t>四、政府信息公开行政复议、行政诉讼</w:t>
      </w:r>
      <w:r>
        <w:rPr>
          <w:rFonts w:hint="eastAsia" w:ascii="黑体" w:hAnsi="黑体" w:eastAsia="黑体" w:cs="黑体"/>
          <w:spacing w:val="8"/>
          <w:sz w:val="32"/>
          <w:szCs w:val="32"/>
          <w:shd w:val="clear" w:color="auto" w:fill="auto"/>
          <w:lang w:val="en-US" w:eastAsia="zh-CN"/>
        </w:rPr>
        <w:t>情况</w:t>
      </w:r>
    </w:p>
    <w:tbl>
      <w:tblPr>
        <w:tblStyle w:val="7"/>
        <w:tblW w:w="9576" w:type="dxa"/>
        <w:tblInd w:w="-1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3"/>
        <w:gridCol w:w="850"/>
        <w:gridCol w:w="835"/>
        <w:gridCol w:w="706"/>
        <w:gridCol w:w="456"/>
        <w:gridCol w:w="706"/>
        <w:gridCol w:w="706"/>
        <w:gridCol w:w="710"/>
        <w:gridCol w:w="788"/>
        <w:gridCol w:w="456"/>
        <w:gridCol w:w="456"/>
        <w:gridCol w:w="527"/>
        <w:gridCol w:w="456"/>
        <w:gridCol w:w="469"/>
        <w:gridCol w:w="472"/>
      </w:tblGrid>
      <w:tr w14:paraId="5E6D0D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0" w:hRule="atLeast"/>
        </w:trPr>
        <w:tc>
          <w:tcPr>
            <w:tcW w:w="3830" w:type="dxa"/>
            <w:gridSpan w:val="5"/>
            <w:vAlign w:val="top"/>
          </w:tcPr>
          <w:p w14:paraId="2EF2D880">
            <w:pPr>
              <w:pStyle w:val="8"/>
              <w:spacing w:before="76" w:line="201" w:lineRule="auto"/>
              <w:ind w:left="1370"/>
            </w:pPr>
            <w:r>
              <w:rPr>
                <w:spacing w:val="-1"/>
              </w:rPr>
              <w:t>行政复议</w:t>
            </w:r>
          </w:p>
        </w:tc>
        <w:tc>
          <w:tcPr>
            <w:tcW w:w="5746" w:type="dxa"/>
            <w:gridSpan w:val="10"/>
            <w:vAlign w:val="top"/>
          </w:tcPr>
          <w:p w14:paraId="01D09CF7">
            <w:pPr>
              <w:pStyle w:val="8"/>
              <w:spacing w:before="76" w:line="201" w:lineRule="auto"/>
              <w:ind w:left="2386"/>
            </w:pPr>
            <w:r>
              <w:rPr>
                <w:spacing w:val="-1"/>
              </w:rPr>
              <w:t>行政诉讼</w:t>
            </w:r>
          </w:p>
        </w:tc>
      </w:tr>
      <w:tr w14:paraId="0453B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983" w:type="dxa"/>
            <w:vMerge w:val="restart"/>
            <w:tcBorders>
              <w:bottom w:val="nil"/>
            </w:tcBorders>
            <w:vAlign w:val="top"/>
          </w:tcPr>
          <w:p w14:paraId="177D9E78">
            <w:pPr>
              <w:spacing w:line="357" w:lineRule="auto"/>
              <w:rPr>
                <w:rFonts w:ascii="Arial"/>
                <w:sz w:val="21"/>
              </w:rPr>
            </w:pPr>
          </w:p>
          <w:p w14:paraId="03631665">
            <w:pPr>
              <w:pStyle w:val="8"/>
              <w:spacing w:before="103" w:line="177" w:lineRule="auto"/>
              <w:ind w:left="188" w:right="182" w:hanging="1"/>
            </w:pPr>
            <w:r>
              <w:rPr>
                <w:spacing w:val="-3"/>
              </w:rPr>
              <w:t>结果</w:t>
            </w:r>
            <w:r>
              <w:t xml:space="preserve"> </w:t>
            </w:r>
            <w:r>
              <w:rPr>
                <w:spacing w:val="-4"/>
              </w:rPr>
              <w:t>维持</w:t>
            </w:r>
          </w:p>
        </w:tc>
        <w:tc>
          <w:tcPr>
            <w:tcW w:w="850" w:type="dxa"/>
            <w:vMerge w:val="restart"/>
            <w:tcBorders>
              <w:bottom w:val="nil"/>
            </w:tcBorders>
            <w:vAlign w:val="top"/>
          </w:tcPr>
          <w:p w14:paraId="3EAC2992">
            <w:pPr>
              <w:spacing w:line="356" w:lineRule="auto"/>
              <w:rPr>
                <w:rFonts w:ascii="Arial"/>
                <w:sz w:val="21"/>
              </w:rPr>
            </w:pPr>
          </w:p>
          <w:p w14:paraId="59F6162C">
            <w:pPr>
              <w:pStyle w:val="8"/>
              <w:spacing w:before="103" w:line="177" w:lineRule="auto"/>
              <w:ind w:left="192" w:right="184" w:hanging="8"/>
            </w:pPr>
            <w:r>
              <w:rPr>
                <w:spacing w:val="-3"/>
              </w:rPr>
              <w:t>结果</w:t>
            </w:r>
            <w:r>
              <w:t xml:space="preserve"> </w:t>
            </w:r>
            <w:r>
              <w:rPr>
                <w:spacing w:val="-6"/>
                <w:w w:val="99"/>
              </w:rPr>
              <w:t>纠正</w:t>
            </w:r>
          </w:p>
        </w:tc>
        <w:tc>
          <w:tcPr>
            <w:tcW w:w="835" w:type="dxa"/>
            <w:vMerge w:val="restart"/>
            <w:tcBorders>
              <w:bottom w:val="nil"/>
            </w:tcBorders>
            <w:vAlign w:val="top"/>
          </w:tcPr>
          <w:p w14:paraId="0A2637B2">
            <w:pPr>
              <w:spacing w:line="356" w:lineRule="auto"/>
              <w:rPr>
                <w:rFonts w:ascii="Arial"/>
                <w:sz w:val="21"/>
              </w:rPr>
            </w:pPr>
          </w:p>
          <w:p w14:paraId="7F39E927">
            <w:pPr>
              <w:pStyle w:val="8"/>
              <w:spacing w:before="103" w:line="177" w:lineRule="auto"/>
              <w:ind w:left="178" w:right="175"/>
            </w:pPr>
            <w:r>
              <w:rPr>
                <w:spacing w:val="-2"/>
              </w:rPr>
              <w:t>其他</w:t>
            </w:r>
            <w:r>
              <w:t xml:space="preserve"> </w:t>
            </w:r>
            <w:r>
              <w:rPr>
                <w:spacing w:val="-3"/>
              </w:rPr>
              <w:t>结果</w:t>
            </w:r>
          </w:p>
        </w:tc>
        <w:tc>
          <w:tcPr>
            <w:tcW w:w="706" w:type="dxa"/>
            <w:vMerge w:val="restart"/>
            <w:tcBorders>
              <w:bottom w:val="nil"/>
            </w:tcBorders>
            <w:vAlign w:val="top"/>
          </w:tcPr>
          <w:p w14:paraId="29D43D74">
            <w:pPr>
              <w:spacing w:line="357" w:lineRule="auto"/>
              <w:rPr>
                <w:rFonts w:ascii="Arial"/>
                <w:sz w:val="21"/>
              </w:rPr>
            </w:pPr>
          </w:p>
          <w:p w14:paraId="552C5816">
            <w:pPr>
              <w:pStyle w:val="8"/>
              <w:spacing w:before="103" w:line="177" w:lineRule="auto"/>
              <w:ind w:left="121" w:right="110" w:firstLine="19"/>
            </w:pPr>
            <w:r>
              <w:rPr>
                <w:spacing w:val="-16"/>
              </w:rPr>
              <w:t>尚未</w:t>
            </w:r>
            <w:r>
              <w:t xml:space="preserve"> </w:t>
            </w:r>
            <w:r>
              <w:rPr>
                <w:spacing w:val="-6"/>
              </w:rPr>
              <w:t>审结</w:t>
            </w:r>
          </w:p>
        </w:tc>
        <w:tc>
          <w:tcPr>
            <w:tcW w:w="456" w:type="dxa"/>
            <w:vMerge w:val="restart"/>
            <w:tcBorders>
              <w:bottom w:val="nil"/>
            </w:tcBorders>
            <w:vAlign w:val="top"/>
          </w:tcPr>
          <w:p w14:paraId="3AB39FD0">
            <w:pPr>
              <w:spacing w:line="357" w:lineRule="auto"/>
              <w:rPr>
                <w:rFonts w:ascii="Arial"/>
                <w:sz w:val="21"/>
              </w:rPr>
            </w:pPr>
          </w:p>
          <w:p w14:paraId="574D8DCB">
            <w:pPr>
              <w:pStyle w:val="8"/>
              <w:spacing w:before="103" w:line="177" w:lineRule="auto"/>
              <w:ind w:left="108" w:right="105" w:firstLine="11"/>
            </w:pPr>
            <w:r>
              <w:rPr>
                <w:spacing w:val="-5"/>
                <w:w w:val="96"/>
              </w:rPr>
              <w:t>总</w:t>
            </w:r>
            <w:r>
              <w:t xml:space="preserve"> </w:t>
            </w:r>
            <w:r>
              <w:rPr>
                <w:spacing w:val="-3"/>
              </w:rPr>
              <w:t>计</w:t>
            </w:r>
          </w:p>
        </w:tc>
        <w:tc>
          <w:tcPr>
            <w:tcW w:w="3366" w:type="dxa"/>
            <w:gridSpan w:val="5"/>
            <w:vAlign w:val="top"/>
          </w:tcPr>
          <w:p w14:paraId="6932BE9E">
            <w:pPr>
              <w:pStyle w:val="8"/>
              <w:spacing w:before="1" w:line="198" w:lineRule="auto"/>
              <w:ind w:left="727"/>
            </w:pPr>
            <w:r>
              <w:rPr>
                <w:spacing w:val="-1"/>
              </w:rPr>
              <w:t>未经复议直接起诉</w:t>
            </w:r>
          </w:p>
        </w:tc>
        <w:tc>
          <w:tcPr>
            <w:tcW w:w="2380" w:type="dxa"/>
            <w:gridSpan w:val="5"/>
            <w:vAlign w:val="top"/>
          </w:tcPr>
          <w:p w14:paraId="0ABF51E2">
            <w:pPr>
              <w:pStyle w:val="8"/>
              <w:spacing w:before="1" w:line="198" w:lineRule="auto"/>
              <w:ind w:left="591"/>
            </w:pPr>
            <w:r>
              <w:rPr>
                <w:spacing w:val="-3"/>
              </w:rPr>
              <w:t>复议后起诉</w:t>
            </w:r>
          </w:p>
        </w:tc>
      </w:tr>
      <w:tr w14:paraId="5F4029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7" w:hRule="atLeast"/>
        </w:trPr>
        <w:tc>
          <w:tcPr>
            <w:tcW w:w="983" w:type="dxa"/>
            <w:vMerge w:val="continue"/>
            <w:tcBorders>
              <w:top w:val="nil"/>
            </w:tcBorders>
            <w:vAlign w:val="top"/>
          </w:tcPr>
          <w:p w14:paraId="3B49DA5B">
            <w:pPr>
              <w:rPr>
                <w:rFonts w:ascii="Arial"/>
                <w:sz w:val="21"/>
              </w:rPr>
            </w:pPr>
          </w:p>
        </w:tc>
        <w:tc>
          <w:tcPr>
            <w:tcW w:w="850" w:type="dxa"/>
            <w:vMerge w:val="continue"/>
            <w:tcBorders>
              <w:top w:val="nil"/>
            </w:tcBorders>
            <w:vAlign w:val="top"/>
          </w:tcPr>
          <w:p w14:paraId="1C6AED58">
            <w:pPr>
              <w:rPr>
                <w:rFonts w:ascii="Arial"/>
                <w:sz w:val="21"/>
              </w:rPr>
            </w:pPr>
          </w:p>
        </w:tc>
        <w:tc>
          <w:tcPr>
            <w:tcW w:w="835" w:type="dxa"/>
            <w:vMerge w:val="continue"/>
            <w:tcBorders>
              <w:top w:val="nil"/>
            </w:tcBorders>
            <w:vAlign w:val="top"/>
          </w:tcPr>
          <w:p w14:paraId="07597236">
            <w:pPr>
              <w:rPr>
                <w:rFonts w:ascii="Arial"/>
                <w:sz w:val="21"/>
              </w:rPr>
            </w:pPr>
          </w:p>
        </w:tc>
        <w:tc>
          <w:tcPr>
            <w:tcW w:w="706" w:type="dxa"/>
            <w:vMerge w:val="continue"/>
            <w:tcBorders>
              <w:top w:val="nil"/>
            </w:tcBorders>
            <w:vAlign w:val="top"/>
          </w:tcPr>
          <w:p w14:paraId="6F9593F2">
            <w:pPr>
              <w:rPr>
                <w:rFonts w:ascii="Arial"/>
                <w:sz w:val="21"/>
              </w:rPr>
            </w:pPr>
          </w:p>
        </w:tc>
        <w:tc>
          <w:tcPr>
            <w:tcW w:w="456" w:type="dxa"/>
            <w:vMerge w:val="continue"/>
            <w:tcBorders>
              <w:top w:val="nil"/>
            </w:tcBorders>
            <w:vAlign w:val="top"/>
          </w:tcPr>
          <w:p w14:paraId="3F9C2117">
            <w:pPr>
              <w:rPr>
                <w:rFonts w:ascii="Arial"/>
                <w:sz w:val="21"/>
              </w:rPr>
            </w:pPr>
          </w:p>
        </w:tc>
        <w:tc>
          <w:tcPr>
            <w:tcW w:w="706" w:type="dxa"/>
            <w:vAlign w:val="top"/>
          </w:tcPr>
          <w:p w14:paraId="3A454953">
            <w:pPr>
              <w:pStyle w:val="8"/>
              <w:spacing w:before="256" w:line="177" w:lineRule="auto"/>
              <w:ind w:left="115" w:right="111" w:hanging="1"/>
            </w:pPr>
            <w:r>
              <w:rPr>
                <w:spacing w:val="-3"/>
              </w:rPr>
              <w:t>结果</w:t>
            </w:r>
            <w:r>
              <w:t xml:space="preserve"> </w:t>
            </w:r>
            <w:r>
              <w:rPr>
                <w:spacing w:val="-4"/>
              </w:rPr>
              <w:t>维持</w:t>
            </w:r>
          </w:p>
        </w:tc>
        <w:tc>
          <w:tcPr>
            <w:tcW w:w="706" w:type="dxa"/>
            <w:vAlign w:val="top"/>
          </w:tcPr>
          <w:p w14:paraId="7100CCA3">
            <w:pPr>
              <w:pStyle w:val="8"/>
              <w:spacing w:before="258" w:line="176" w:lineRule="auto"/>
              <w:ind w:left="122" w:right="111" w:hanging="8"/>
            </w:pPr>
            <w:r>
              <w:rPr>
                <w:spacing w:val="-3"/>
              </w:rPr>
              <w:t>结果</w:t>
            </w:r>
            <w:r>
              <w:t xml:space="preserve"> </w:t>
            </w:r>
            <w:r>
              <w:rPr>
                <w:spacing w:val="-6"/>
                <w:w w:val="99"/>
              </w:rPr>
              <w:t>纠正</w:t>
            </w:r>
          </w:p>
        </w:tc>
        <w:tc>
          <w:tcPr>
            <w:tcW w:w="710" w:type="dxa"/>
            <w:vAlign w:val="top"/>
          </w:tcPr>
          <w:p w14:paraId="5F297248">
            <w:pPr>
              <w:pStyle w:val="8"/>
              <w:spacing w:before="258" w:line="176" w:lineRule="auto"/>
              <w:ind w:left="115" w:right="113"/>
            </w:pPr>
            <w:r>
              <w:rPr>
                <w:spacing w:val="-2"/>
              </w:rPr>
              <w:t>其他</w:t>
            </w:r>
            <w:r>
              <w:t xml:space="preserve"> </w:t>
            </w:r>
            <w:r>
              <w:rPr>
                <w:spacing w:val="-3"/>
              </w:rPr>
              <w:t>结果</w:t>
            </w:r>
          </w:p>
        </w:tc>
        <w:tc>
          <w:tcPr>
            <w:tcW w:w="788" w:type="dxa"/>
            <w:vAlign w:val="top"/>
          </w:tcPr>
          <w:p w14:paraId="0204A4A8">
            <w:pPr>
              <w:pStyle w:val="8"/>
              <w:spacing w:before="259" w:line="176" w:lineRule="auto"/>
              <w:ind w:left="164" w:right="150" w:firstLine="19"/>
            </w:pPr>
            <w:r>
              <w:rPr>
                <w:spacing w:val="-16"/>
              </w:rPr>
              <w:t>尚未</w:t>
            </w:r>
            <w:r>
              <w:t xml:space="preserve"> </w:t>
            </w:r>
            <w:r>
              <w:rPr>
                <w:spacing w:val="-6"/>
              </w:rPr>
              <w:t>审结</w:t>
            </w:r>
          </w:p>
        </w:tc>
        <w:tc>
          <w:tcPr>
            <w:tcW w:w="456" w:type="dxa"/>
            <w:vAlign w:val="top"/>
          </w:tcPr>
          <w:p w14:paraId="2DFE6EE9">
            <w:pPr>
              <w:pStyle w:val="8"/>
              <w:spacing w:before="259" w:line="176" w:lineRule="auto"/>
              <w:ind w:left="111" w:right="102" w:firstLine="11"/>
            </w:pPr>
            <w:r>
              <w:rPr>
                <w:spacing w:val="-5"/>
                <w:w w:val="96"/>
              </w:rPr>
              <w:t>总</w:t>
            </w:r>
            <w:r>
              <w:t xml:space="preserve"> </w:t>
            </w:r>
            <w:r>
              <w:rPr>
                <w:spacing w:val="-3"/>
              </w:rPr>
              <w:t>计</w:t>
            </w:r>
          </w:p>
        </w:tc>
        <w:tc>
          <w:tcPr>
            <w:tcW w:w="456" w:type="dxa"/>
            <w:textDirection w:val="tbRlV"/>
            <w:vAlign w:val="top"/>
          </w:tcPr>
          <w:p w14:paraId="620449A1">
            <w:pPr>
              <w:pStyle w:val="8"/>
              <w:spacing w:before="102" w:line="180" w:lineRule="auto"/>
            </w:pPr>
            <w:r>
              <w:rPr>
                <w:spacing w:val="20"/>
              </w:rPr>
              <w:t>结果维持</w:t>
            </w:r>
          </w:p>
        </w:tc>
        <w:tc>
          <w:tcPr>
            <w:tcW w:w="527" w:type="dxa"/>
            <w:textDirection w:val="tbRlV"/>
            <w:vAlign w:val="top"/>
          </w:tcPr>
          <w:p w14:paraId="289F81AF">
            <w:pPr>
              <w:pStyle w:val="8"/>
              <w:spacing w:before="139" w:line="180" w:lineRule="auto"/>
            </w:pPr>
            <w:r>
              <w:rPr>
                <w:spacing w:val="16"/>
              </w:rPr>
              <w:t>结果纠正</w:t>
            </w:r>
          </w:p>
        </w:tc>
        <w:tc>
          <w:tcPr>
            <w:tcW w:w="456" w:type="dxa"/>
            <w:textDirection w:val="tbRlV"/>
            <w:vAlign w:val="top"/>
          </w:tcPr>
          <w:p w14:paraId="4AA7F2A4">
            <w:pPr>
              <w:pStyle w:val="8"/>
              <w:spacing w:before="102" w:line="180" w:lineRule="auto"/>
            </w:pPr>
            <w:r>
              <w:rPr>
                <w:spacing w:val="20"/>
              </w:rPr>
              <w:t>其他结果</w:t>
            </w:r>
          </w:p>
        </w:tc>
        <w:tc>
          <w:tcPr>
            <w:tcW w:w="469" w:type="dxa"/>
            <w:textDirection w:val="tbRlV"/>
            <w:vAlign w:val="top"/>
          </w:tcPr>
          <w:p w14:paraId="281D8604">
            <w:pPr>
              <w:pStyle w:val="8"/>
              <w:spacing w:before="108" w:line="180" w:lineRule="auto"/>
            </w:pPr>
            <w:r>
              <w:rPr>
                <w:spacing w:val="20"/>
              </w:rPr>
              <w:t>尚未审结</w:t>
            </w:r>
          </w:p>
        </w:tc>
        <w:tc>
          <w:tcPr>
            <w:tcW w:w="472" w:type="dxa"/>
            <w:vAlign w:val="top"/>
          </w:tcPr>
          <w:p w14:paraId="3D06DDB0">
            <w:pPr>
              <w:pStyle w:val="8"/>
              <w:spacing w:before="259" w:line="176" w:lineRule="auto"/>
              <w:ind w:left="111" w:right="106" w:firstLine="11"/>
            </w:pPr>
            <w:r>
              <w:rPr>
                <w:spacing w:val="-5"/>
                <w:w w:val="96"/>
              </w:rPr>
              <w:t>总</w:t>
            </w:r>
            <w:r>
              <w:t xml:space="preserve"> </w:t>
            </w:r>
            <w:r>
              <w:rPr>
                <w:spacing w:val="-3"/>
              </w:rPr>
              <w:t>计</w:t>
            </w:r>
          </w:p>
        </w:tc>
      </w:tr>
      <w:tr w14:paraId="5F80F6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983" w:type="dxa"/>
            <w:vAlign w:val="center"/>
          </w:tcPr>
          <w:p w14:paraId="2E003CF8">
            <w:pPr>
              <w:jc w:val="center"/>
              <w:rPr>
                <w:rFonts w:hint="eastAsia" w:ascii="Arial" w:eastAsia="宋体"/>
                <w:sz w:val="21"/>
                <w:lang w:val="en-US" w:eastAsia="zh-CN"/>
              </w:rPr>
            </w:pPr>
            <w:r>
              <w:rPr>
                <w:rFonts w:hint="eastAsia" w:eastAsia="宋体"/>
                <w:sz w:val="21"/>
                <w:lang w:val="en-US" w:eastAsia="zh-CN"/>
              </w:rPr>
              <w:t>0</w:t>
            </w:r>
          </w:p>
        </w:tc>
        <w:tc>
          <w:tcPr>
            <w:tcW w:w="850" w:type="dxa"/>
            <w:vAlign w:val="center"/>
          </w:tcPr>
          <w:p w14:paraId="04BFF4D3">
            <w:pPr>
              <w:jc w:val="center"/>
              <w:rPr>
                <w:rFonts w:hint="eastAsia" w:ascii="Arial" w:eastAsia="宋体"/>
                <w:sz w:val="21"/>
                <w:lang w:val="en-US" w:eastAsia="zh-CN"/>
              </w:rPr>
            </w:pPr>
            <w:r>
              <w:rPr>
                <w:rFonts w:hint="eastAsia" w:eastAsia="宋体"/>
                <w:sz w:val="21"/>
                <w:lang w:val="en-US" w:eastAsia="zh-CN"/>
              </w:rPr>
              <w:t>0</w:t>
            </w:r>
          </w:p>
        </w:tc>
        <w:tc>
          <w:tcPr>
            <w:tcW w:w="835" w:type="dxa"/>
            <w:vAlign w:val="center"/>
          </w:tcPr>
          <w:p w14:paraId="0928636C">
            <w:pPr>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14:paraId="12271F8F">
            <w:pPr>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14:paraId="0DF6E16C">
            <w:pPr>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14:paraId="226473A8">
            <w:pPr>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14:paraId="4347F9F4">
            <w:pPr>
              <w:jc w:val="center"/>
              <w:rPr>
                <w:rFonts w:hint="eastAsia" w:ascii="Arial" w:eastAsia="宋体"/>
                <w:sz w:val="21"/>
                <w:lang w:val="en-US" w:eastAsia="zh-CN"/>
              </w:rPr>
            </w:pPr>
            <w:r>
              <w:rPr>
                <w:rFonts w:hint="eastAsia" w:eastAsia="宋体"/>
                <w:sz w:val="21"/>
                <w:lang w:val="en-US" w:eastAsia="zh-CN"/>
              </w:rPr>
              <w:t>0</w:t>
            </w:r>
          </w:p>
        </w:tc>
        <w:tc>
          <w:tcPr>
            <w:tcW w:w="710" w:type="dxa"/>
            <w:vAlign w:val="center"/>
          </w:tcPr>
          <w:p w14:paraId="6757BE0B">
            <w:pPr>
              <w:jc w:val="center"/>
              <w:rPr>
                <w:rFonts w:hint="eastAsia" w:ascii="Arial" w:eastAsia="宋体"/>
                <w:sz w:val="21"/>
                <w:lang w:val="en-US" w:eastAsia="zh-CN"/>
              </w:rPr>
            </w:pPr>
            <w:r>
              <w:rPr>
                <w:rFonts w:hint="eastAsia" w:eastAsia="宋体"/>
                <w:sz w:val="21"/>
                <w:lang w:val="en-US" w:eastAsia="zh-CN"/>
              </w:rPr>
              <w:t>0</w:t>
            </w:r>
          </w:p>
        </w:tc>
        <w:tc>
          <w:tcPr>
            <w:tcW w:w="788" w:type="dxa"/>
            <w:vAlign w:val="center"/>
          </w:tcPr>
          <w:p w14:paraId="091A937A">
            <w:pPr>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14:paraId="206139D0">
            <w:pPr>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14:paraId="3227589C">
            <w:pPr>
              <w:jc w:val="center"/>
              <w:rPr>
                <w:rFonts w:hint="eastAsia" w:ascii="Arial" w:eastAsia="宋体"/>
                <w:sz w:val="21"/>
                <w:lang w:val="en-US" w:eastAsia="zh-CN"/>
              </w:rPr>
            </w:pPr>
            <w:r>
              <w:rPr>
                <w:rFonts w:hint="eastAsia" w:eastAsia="宋体"/>
                <w:sz w:val="21"/>
                <w:lang w:val="en-US" w:eastAsia="zh-CN"/>
              </w:rPr>
              <w:t>0</w:t>
            </w:r>
          </w:p>
        </w:tc>
        <w:tc>
          <w:tcPr>
            <w:tcW w:w="527" w:type="dxa"/>
            <w:vAlign w:val="center"/>
          </w:tcPr>
          <w:p w14:paraId="2940554A">
            <w:pPr>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14:paraId="1C2067CD">
            <w:pPr>
              <w:jc w:val="center"/>
              <w:rPr>
                <w:rFonts w:hint="eastAsia" w:ascii="Arial" w:eastAsia="宋体"/>
                <w:sz w:val="21"/>
                <w:lang w:val="en-US" w:eastAsia="zh-CN"/>
              </w:rPr>
            </w:pPr>
            <w:r>
              <w:rPr>
                <w:rFonts w:hint="eastAsia" w:eastAsia="宋体"/>
                <w:sz w:val="21"/>
                <w:lang w:val="en-US" w:eastAsia="zh-CN"/>
              </w:rPr>
              <w:t>0</w:t>
            </w:r>
          </w:p>
        </w:tc>
        <w:tc>
          <w:tcPr>
            <w:tcW w:w="469" w:type="dxa"/>
            <w:vAlign w:val="center"/>
          </w:tcPr>
          <w:p w14:paraId="653A2024">
            <w:pPr>
              <w:jc w:val="center"/>
              <w:rPr>
                <w:rFonts w:hint="eastAsia" w:ascii="Arial" w:eastAsia="宋体"/>
                <w:sz w:val="21"/>
                <w:lang w:val="en-US" w:eastAsia="zh-CN"/>
              </w:rPr>
            </w:pPr>
            <w:r>
              <w:rPr>
                <w:rFonts w:hint="eastAsia" w:eastAsia="宋体"/>
                <w:sz w:val="21"/>
                <w:lang w:val="en-US" w:eastAsia="zh-CN"/>
              </w:rPr>
              <w:t>0</w:t>
            </w:r>
          </w:p>
        </w:tc>
        <w:tc>
          <w:tcPr>
            <w:tcW w:w="472" w:type="dxa"/>
            <w:vAlign w:val="center"/>
          </w:tcPr>
          <w:p w14:paraId="5AD21C2A">
            <w:pPr>
              <w:jc w:val="center"/>
              <w:rPr>
                <w:rFonts w:hint="eastAsia" w:ascii="Arial" w:eastAsia="宋体"/>
                <w:sz w:val="21"/>
                <w:lang w:val="en-US" w:eastAsia="zh-CN"/>
              </w:rPr>
            </w:pPr>
            <w:r>
              <w:rPr>
                <w:rFonts w:hint="eastAsia" w:eastAsia="宋体"/>
                <w:sz w:val="21"/>
                <w:lang w:val="en-US" w:eastAsia="zh-CN"/>
              </w:rPr>
              <w:t>0</w:t>
            </w:r>
          </w:p>
        </w:tc>
      </w:tr>
    </w:tbl>
    <w:p w14:paraId="2A5A3A72">
      <w:pPr>
        <w:keepNext w:val="0"/>
        <w:keepLines w:val="0"/>
        <w:pageBreakBefore w:val="0"/>
        <w:wordWrap/>
        <w:overflowPunct/>
        <w:topLinePunct w:val="0"/>
        <w:bidi w:val="0"/>
        <w:spacing w:line="560" w:lineRule="exact"/>
        <w:ind w:right="0" w:firstLine="652" w:firstLineChars="200"/>
        <w:jc w:val="both"/>
        <w:rPr>
          <w:rFonts w:ascii="黑体" w:hAnsi="黑体" w:eastAsia="黑体" w:cs="黑体"/>
          <w:sz w:val="31"/>
          <w:szCs w:val="31"/>
        </w:rPr>
      </w:pPr>
      <w:r>
        <w:rPr>
          <w:rFonts w:ascii="黑体" w:hAnsi="黑体" w:eastAsia="黑体" w:cs="黑体"/>
          <w:spacing w:val="8"/>
          <w:sz w:val="31"/>
          <w:szCs w:val="31"/>
        </w:rPr>
        <w:t>五、存在的主要问题及改进情况</w:t>
      </w:r>
    </w:p>
    <w:p w14:paraId="19313FF8">
      <w:pPr>
        <w:keepNext w:val="0"/>
        <w:keepLines w:val="0"/>
        <w:pageBreakBefore w:val="0"/>
        <w:widowControl w:val="0"/>
        <w:kinsoku/>
        <w:wordWrap/>
        <w:overflowPunct/>
        <w:topLinePunct w:val="0"/>
        <w:autoSpaceDE/>
        <w:autoSpaceDN/>
        <w:bidi w:val="0"/>
        <w:adjustRightInd/>
        <w:snapToGrid/>
        <w:spacing w:line="560" w:lineRule="exact"/>
        <w:ind w:right="0" w:firstLine="643" w:firstLineChars="2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（一）存在的主要问题和困难</w:t>
      </w:r>
    </w:p>
    <w:p w14:paraId="1A69CE4E">
      <w:pPr>
        <w:keepNext w:val="0"/>
        <w:keepLines w:val="0"/>
        <w:pageBreakBefore w:val="0"/>
        <w:widowControl w:val="0"/>
        <w:kinsoku/>
        <w:wordWrap/>
        <w:overflowPunct/>
        <w:topLinePunct w:val="0"/>
        <w:autoSpaceDE/>
        <w:autoSpaceDN/>
        <w:bidi w:val="0"/>
        <w:adjustRightInd/>
        <w:snapToGrid/>
        <w:spacing w:line="560" w:lineRule="exact"/>
        <w:ind w:right="0" w:firstLine="608" w:firstLineChars="200"/>
        <w:jc w:val="both"/>
        <w:textAlignment w:val="auto"/>
        <w:rPr>
          <w:rFonts w:hint="eastAsia" w:ascii="仿宋" w:hAnsi="仿宋" w:eastAsia="仿宋" w:cs="仿宋"/>
          <w:i w:val="0"/>
          <w:iCs w:val="0"/>
          <w:caps w:val="0"/>
          <w:color w:val="000000"/>
          <w:spacing w:val="-8"/>
          <w:sz w:val="32"/>
          <w:szCs w:val="32"/>
          <w:bdr w:val="none" w:color="auto" w:sz="0" w:space="0"/>
          <w:shd w:val="clear" w:fill="FFFFFF"/>
        </w:rPr>
      </w:pPr>
      <w:r>
        <w:rPr>
          <w:rFonts w:ascii="仿宋" w:hAnsi="仿宋" w:eastAsia="仿宋" w:cs="仿宋"/>
          <w:i w:val="0"/>
          <w:iCs w:val="0"/>
          <w:caps w:val="0"/>
          <w:color w:val="000000"/>
          <w:spacing w:val="-8"/>
          <w:sz w:val="32"/>
          <w:szCs w:val="32"/>
          <w:bdr w:val="none" w:color="auto" w:sz="0" w:space="0"/>
          <w:shd w:val="clear" w:fill="FFFFFF"/>
        </w:rPr>
        <w:t>一是</w:t>
      </w:r>
      <w:r>
        <w:rPr>
          <w:rFonts w:hint="eastAsia" w:ascii="仿宋" w:hAnsi="仿宋" w:eastAsia="仿宋" w:cs="仿宋"/>
          <w:i w:val="0"/>
          <w:iCs w:val="0"/>
          <w:caps w:val="0"/>
          <w:color w:val="000000"/>
          <w:spacing w:val="-8"/>
          <w:sz w:val="32"/>
          <w:szCs w:val="32"/>
          <w:bdr w:val="none" w:color="auto" w:sz="0" w:space="0"/>
          <w:shd w:val="clear" w:fill="FFFFFF"/>
        </w:rPr>
        <w:t>信息公开的全面性、及时性有待提升，有关决策、规定、规划、计划、方案的草案公开、听取群众意见方面需要进一步加强。</w:t>
      </w:r>
    </w:p>
    <w:p w14:paraId="3B02810B">
      <w:pPr>
        <w:keepNext w:val="0"/>
        <w:keepLines w:val="0"/>
        <w:pageBreakBefore w:val="0"/>
        <w:widowControl w:val="0"/>
        <w:kinsoku/>
        <w:wordWrap/>
        <w:overflowPunct/>
        <w:topLinePunct w:val="0"/>
        <w:autoSpaceDE/>
        <w:autoSpaceDN/>
        <w:bidi w:val="0"/>
        <w:adjustRightInd/>
        <w:snapToGrid/>
        <w:spacing w:line="560" w:lineRule="exact"/>
        <w:ind w:right="0" w:firstLine="608" w:firstLineChars="200"/>
        <w:jc w:val="both"/>
        <w:textAlignment w:val="auto"/>
        <w:rPr>
          <w:rFonts w:hint="eastAsia" w:ascii="仿宋" w:hAnsi="仿宋" w:eastAsia="仿宋" w:cs="仿宋"/>
          <w:i w:val="0"/>
          <w:iCs w:val="0"/>
          <w:caps w:val="0"/>
          <w:color w:val="000000"/>
          <w:spacing w:val="-8"/>
          <w:sz w:val="32"/>
          <w:szCs w:val="32"/>
          <w:bdr w:val="none" w:color="auto" w:sz="0" w:space="0"/>
          <w:shd w:val="clear" w:fill="FFFFFF"/>
        </w:rPr>
      </w:pPr>
      <w:r>
        <w:rPr>
          <w:rFonts w:ascii="仿宋" w:hAnsi="仿宋" w:eastAsia="仿宋" w:cs="仿宋"/>
          <w:i w:val="0"/>
          <w:iCs w:val="0"/>
          <w:caps w:val="0"/>
          <w:color w:val="000000"/>
          <w:spacing w:val="-8"/>
          <w:sz w:val="32"/>
          <w:szCs w:val="32"/>
          <w:bdr w:val="none" w:color="auto" w:sz="0" w:space="0"/>
          <w:shd w:val="clear" w:fill="FFFFFF"/>
        </w:rPr>
        <w:t>二是</w:t>
      </w:r>
      <w:r>
        <w:rPr>
          <w:rFonts w:hint="eastAsia" w:ascii="仿宋" w:hAnsi="仿宋" w:eastAsia="仿宋" w:cs="仿宋"/>
          <w:i w:val="0"/>
          <w:iCs w:val="0"/>
          <w:caps w:val="0"/>
          <w:color w:val="000000"/>
          <w:spacing w:val="-8"/>
          <w:sz w:val="32"/>
          <w:szCs w:val="32"/>
          <w:bdr w:val="none" w:color="auto" w:sz="0" w:space="0"/>
          <w:shd w:val="clear" w:fill="FFFFFF"/>
        </w:rPr>
        <w:t>政务信息公开内容文字的准确性及审核方面有待加强;</w:t>
      </w:r>
    </w:p>
    <w:p w14:paraId="7997BAFE">
      <w:pPr>
        <w:keepNext w:val="0"/>
        <w:keepLines w:val="0"/>
        <w:pageBreakBefore w:val="0"/>
        <w:widowControl w:val="0"/>
        <w:kinsoku/>
        <w:wordWrap/>
        <w:overflowPunct/>
        <w:topLinePunct w:val="0"/>
        <w:autoSpaceDE/>
        <w:autoSpaceDN/>
        <w:bidi w:val="0"/>
        <w:adjustRightInd/>
        <w:snapToGrid/>
        <w:spacing w:line="560" w:lineRule="exact"/>
        <w:ind w:left="0" w:leftChars="0" w:right="0" w:firstLine="643" w:firstLineChars="2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（二）改进措施</w:t>
      </w:r>
    </w:p>
    <w:p w14:paraId="1CE70BD2">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一是</w:t>
      </w:r>
      <w:r>
        <w:rPr>
          <w:rFonts w:hint="eastAsia" w:ascii="仿宋_GB2312" w:hAnsi="仿宋_GB2312" w:eastAsia="仿宋_GB2312" w:cs="仿宋_GB2312"/>
          <w:sz w:val="32"/>
          <w:szCs w:val="32"/>
        </w:rPr>
        <w:t>进一步做好政府信息主动公开工作。坚持把主动公开作为一项常态工作，落实政府信息公开载体，进一步规范信息制作、发布流程，稳步拓展信息公开的深度和广度</w:t>
      </w:r>
      <w:r>
        <w:rPr>
          <w:rFonts w:hint="eastAsia" w:ascii="仿宋_GB2312" w:hAnsi="仿宋_GB2312" w:eastAsia="仿宋_GB2312" w:cs="仿宋_GB2312"/>
          <w:sz w:val="32"/>
          <w:szCs w:val="32"/>
          <w:lang w:eastAsia="zh-CN"/>
        </w:rPr>
        <w:t>。</w:t>
      </w:r>
    </w:p>
    <w:p w14:paraId="21E38AAE">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二是加强人员培训，通过思想培训强化工作人员的公开意识，通过业务培训强化工作人员的业务技能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完善政府信息公开工作制度和机制，继续推进信息制作、管理、审查、公开的规范化，稳步拓展信息公开的深度和广度</w:t>
      </w:r>
      <w:r>
        <w:rPr>
          <w:rFonts w:hint="eastAsia" w:ascii="仿宋_GB2312" w:hAnsi="仿宋_GB2312" w:eastAsia="仿宋_GB2312" w:cs="仿宋_GB2312"/>
          <w:sz w:val="32"/>
          <w:szCs w:val="32"/>
          <w:lang w:eastAsia="zh-CN"/>
        </w:rPr>
        <w:t>。</w:t>
      </w:r>
    </w:p>
    <w:p w14:paraId="3CCAE02D">
      <w:pPr>
        <w:keepNext w:val="0"/>
        <w:keepLines w:val="0"/>
        <w:pageBreakBefore w:val="0"/>
        <w:wordWrap/>
        <w:overflowPunct/>
        <w:topLinePunct w:val="0"/>
        <w:bidi w:val="0"/>
        <w:spacing w:line="560" w:lineRule="exact"/>
        <w:ind w:left="0" w:right="0" w:firstLine="648" w:firstLineChars="200"/>
        <w:jc w:val="both"/>
        <w:rPr>
          <w:rFonts w:ascii="黑体" w:hAnsi="黑体" w:eastAsia="黑体" w:cs="黑体"/>
          <w:sz w:val="31"/>
          <w:szCs w:val="31"/>
        </w:rPr>
      </w:pPr>
      <w:r>
        <w:rPr>
          <w:rFonts w:ascii="黑体" w:hAnsi="黑体" w:eastAsia="黑体" w:cs="黑体"/>
          <w:spacing w:val="7"/>
          <w:sz w:val="31"/>
          <w:szCs w:val="31"/>
        </w:rPr>
        <w:t>六、其他需要报告的事项</w:t>
      </w:r>
    </w:p>
    <w:p w14:paraId="4256DE3B">
      <w:pPr>
        <w:pStyle w:val="2"/>
        <w:keepNext w:val="0"/>
        <w:keepLines w:val="0"/>
        <w:pageBreakBefore w:val="0"/>
        <w:wordWrap/>
        <w:overflowPunct/>
        <w:topLinePunct w:val="0"/>
        <w:bidi w:val="0"/>
        <w:spacing w:line="560" w:lineRule="exact"/>
        <w:ind w:left="0" w:right="0" w:firstLine="620" w:firstLineChars="200"/>
        <w:jc w:val="both"/>
        <w:rPr>
          <w:rFonts w:hint="eastAsia"/>
          <w:lang w:eastAsia="zh-CN"/>
        </w:rPr>
      </w:pPr>
      <w:r>
        <w:rPr>
          <w:rFonts w:hint="eastAsia"/>
        </w:rPr>
        <w:t>无其他需要报告事项</w:t>
      </w:r>
      <w:r>
        <w:rPr>
          <w:rFonts w:hint="eastAsia"/>
          <w:lang w:eastAsia="zh-CN"/>
        </w:rPr>
        <w:t>。</w:t>
      </w:r>
    </w:p>
    <w:p w14:paraId="16A72155">
      <w:pPr>
        <w:pStyle w:val="2"/>
        <w:keepNext w:val="0"/>
        <w:keepLines w:val="0"/>
        <w:pageBreakBefore w:val="0"/>
        <w:wordWrap/>
        <w:overflowPunct/>
        <w:topLinePunct w:val="0"/>
        <w:bidi w:val="0"/>
        <w:spacing w:line="560" w:lineRule="exact"/>
        <w:ind w:left="0" w:right="0" w:firstLine="620" w:firstLineChars="200"/>
        <w:jc w:val="both"/>
        <w:rPr>
          <w:rFonts w:hint="eastAsia"/>
          <w:lang w:eastAsia="zh-CN"/>
        </w:rPr>
      </w:pPr>
    </w:p>
    <w:p w14:paraId="2408BAB0">
      <w:pPr>
        <w:pStyle w:val="2"/>
        <w:keepNext w:val="0"/>
        <w:keepLines w:val="0"/>
        <w:pageBreakBefore w:val="0"/>
        <w:wordWrap/>
        <w:overflowPunct/>
        <w:topLinePunct w:val="0"/>
        <w:bidi w:val="0"/>
        <w:spacing w:line="560" w:lineRule="exact"/>
        <w:ind w:left="0" w:right="0" w:firstLine="620" w:firstLineChars="200"/>
        <w:jc w:val="both"/>
        <w:rPr>
          <w:rFonts w:hint="eastAsia"/>
          <w:lang w:eastAsia="zh-CN"/>
        </w:rPr>
      </w:pPr>
    </w:p>
    <w:p w14:paraId="499CD18D">
      <w:pPr>
        <w:pStyle w:val="2"/>
        <w:keepNext w:val="0"/>
        <w:keepLines w:val="0"/>
        <w:pageBreakBefore w:val="0"/>
        <w:widowControl/>
        <w:kinsoku w:val="0"/>
        <w:wordWrap w:val="0"/>
        <w:overflowPunct/>
        <w:topLinePunct w:val="0"/>
        <w:autoSpaceDE w:val="0"/>
        <w:autoSpaceDN w:val="0"/>
        <w:bidi w:val="0"/>
        <w:adjustRightInd w:val="0"/>
        <w:snapToGrid w:val="0"/>
        <w:spacing w:line="560" w:lineRule="exact"/>
        <w:ind w:right="0"/>
        <w:jc w:val="right"/>
        <w:textAlignment w:val="baseline"/>
        <w:rPr>
          <w:rFonts w:hint="default"/>
          <w:lang w:val="en-US" w:eastAsia="zh-CN"/>
        </w:rPr>
      </w:pPr>
      <w:r>
        <w:rPr>
          <w:rFonts w:hint="eastAsia"/>
          <w:lang w:val="en-US" w:eastAsia="zh-CN"/>
        </w:rPr>
        <w:t xml:space="preserve">沙湾市老沙湾镇人民政府    </w:t>
      </w:r>
    </w:p>
    <w:p w14:paraId="3E10D172">
      <w:pPr>
        <w:pStyle w:val="2"/>
        <w:keepNext w:val="0"/>
        <w:keepLines w:val="0"/>
        <w:pageBreakBefore w:val="0"/>
        <w:widowControl/>
        <w:kinsoku w:val="0"/>
        <w:overflowPunct/>
        <w:topLinePunct w:val="0"/>
        <w:autoSpaceDE w:val="0"/>
        <w:autoSpaceDN w:val="0"/>
        <w:bidi w:val="0"/>
        <w:adjustRightInd w:val="0"/>
        <w:snapToGrid w:val="0"/>
        <w:spacing w:line="560" w:lineRule="exact"/>
        <w:ind w:right="0" w:firstLine="5580" w:firstLineChars="1800"/>
        <w:textAlignment w:val="baseline"/>
        <w:rPr>
          <w:rFonts w:hint="default"/>
          <w:lang w:val="en-US" w:eastAsia="zh-CN"/>
        </w:rPr>
      </w:pPr>
      <w:r>
        <w:rPr>
          <w:rFonts w:hint="eastAsia"/>
          <w:lang w:val="en-US" w:eastAsia="zh-CN"/>
        </w:rPr>
        <w:t>2025年1月23日</w:t>
      </w:r>
    </w:p>
    <w:sectPr>
      <w:footerReference r:id="rId5" w:type="default"/>
      <w:pgSz w:w="11907" w:h="16840"/>
      <w:pgMar w:top="1431" w:right="1434" w:bottom="1417" w:left="1531" w:header="0" w:footer="148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36184AA-C3F7-4F2B-BAE5-69F98B2F3153}"/>
  </w:font>
  <w:font w:name="黑体">
    <w:panose1 w:val="02010609060101010101"/>
    <w:charset w:val="86"/>
    <w:family w:val="auto"/>
    <w:pitch w:val="default"/>
    <w:sig w:usb0="800002BF" w:usb1="38CF7CFA" w:usb2="00000016" w:usb3="00000000" w:csb0="00040001" w:csb1="00000000"/>
    <w:embedRegular r:id="rId2" w:fontKey="{EBBEFAF7-AB0B-449F-80E8-1C7ED955DA3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_GB2312"/>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embedRegular r:id="rId3" w:fontKey="{EA84D7DE-F9E5-40E0-917E-6AEAB5C2D3BE}"/>
  </w:font>
  <w:font w:name="楷体">
    <w:panose1 w:val="02010609060101010101"/>
    <w:charset w:val="86"/>
    <w:family w:val="auto"/>
    <w:pitch w:val="default"/>
    <w:sig w:usb0="800002BF" w:usb1="38CF7CFA" w:usb2="00000016" w:usb3="00000000" w:csb0="00040001" w:csb1="00000000"/>
    <w:embedRegular r:id="rId4" w:fontKey="{123F1018-4557-49D5-A5C2-C283888076FE}"/>
  </w:font>
  <w:font w:name="仿宋_GB2312">
    <w:panose1 w:val="02010609030101010101"/>
    <w:charset w:val="86"/>
    <w:family w:val="auto"/>
    <w:pitch w:val="default"/>
    <w:sig w:usb0="00000001" w:usb1="080E0000" w:usb2="00000000" w:usb3="00000000" w:csb0="00040000" w:csb1="00000000"/>
    <w:embedRegular r:id="rId5" w:fontKey="{14A658B9-B24B-45CB-89B1-49CEC6373934}"/>
  </w:font>
  <w:font w:name="方正小标宋简体">
    <w:panose1 w:val="02000000000000000000"/>
    <w:charset w:val="86"/>
    <w:family w:val="auto"/>
    <w:pitch w:val="default"/>
    <w:sig w:usb0="00000001" w:usb1="08000000" w:usb2="00000000" w:usb3="00000000" w:csb0="00040000" w:csb1="00000000"/>
    <w:embedRegular r:id="rId6" w:fontKey="{097EDBA7-9D68-44E7-AE45-D30AF4EECEFE}"/>
  </w:font>
  <w:font w:name="楷体_GB2312">
    <w:panose1 w:val="02010609030101010101"/>
    <w:charset w:val="86"/>
    <w:family w:val="auto"/>
    <w:pitch w:val="default"/>
    <w:sig w:usb0="00000001" w:usb1="080E0000" w:usb2="00000000" w:usb3="00000000" w:csb0="00040000" w:csb1="00000000"/>
    <w:embedRegular r:id="rId7" w:fontKey="{3330DDFA-D8FB-4E9C-A25F-39F9DA438F9F}"/>
  </w:font>
  <w:font w:name="仿宋">
    <w:panose1 w:val="02010609060101010101"/>
    <w:charset w:val="86"/>
    <w:family w:val="auto"/>
    <w:pitch w:val="default"/>
    <w:sig w:usb0="800002BF" w:usb1="38CF7CFA" w:usb2="00000016" w:usb3="00000000" w:csb0="00040001" w:csb1="00000000"/>
    <w:embedRegular r:id="rId8" w:fontKey="{ED12F1CD-45E4-45DB-B1CB-B2098B7CFC27}"/>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FCB3D">
    <w:pPr>
      <w:spacing w:line="181" w:lineRule="auto"/>
      <w:rPr>
        <w:rFonts w:ascii="Times New Roman" w:hAnsi="Times New Roman" w:eastAsia="Times New Roman" w:cs="Times New Roman"/>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1E831D49"/>
    <w:rsid w:val="7F0C487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FangSong_GB2312" w:hAnsi="FangSong_GB2312" w:eastAsia="FangSong_GB2312" w:cs="FangSong_GB2312"/>
      <w:sz w:val="31"/>
      <w:szCs w:val="31"/>
      <w:lang w:val="en-US" w:eastAsia="en-US" w:bidi="ar-SA"/>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微软雅黑" w:hAnsi="微软雅黑" w:eastAsia="微软雅黑" w:cs="微软雅黑"/>
      <w:sz w:val="24"/>
      <w:szCs w:val="24"/>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Pages>
  <Words>501</Words>
  <Characters>555</Characters>
  <TotalTime>22</TotalTime>
  <ScaleCrop>false</ScaleCrop>
  <LinksUpToDate>false</LinksUpToDate>
  <CharactersWithSpaces>602</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2025-01-20T20:14:00Z</dcterms:created>
  <dc:creator>Sky123.Org</dc:creator>
  <cp:lastModifiedBy>sisi</cp:lastModifiedBy>
  <dcterms:modified xsi:type="dcterms:W3CDTF">2025-01-21T13:46:41Z</dcterms:modified>
  <dc:title>关于转发《国务院办公厅政府信息</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2025-01-21T20:37:25Z</vt:filetime>
  </property>
  <property fmtid="{D5CDD505-2E9C-101B-9397-08002B2CF9AE}" pid="4" name="KSOTemplateDocerSaveRecord">
    <vt:lpwstr>eyJoZGlkIjoiMTExZDgxZmMzNTVkYThlZTUwNzQ5YTAxZjhjMWYyNGYiLCJ1c2VySWQiOiIzMzU2NjIxODkifQ==</vt:lpwstr>
  </property>
  <property fmtid="{D5CDD505-2E9C-101B-9397-08002B2CF9AE}" pid="5" name="KSOProductBuildVer">
    <vt:lpwstr>2052-12.1.0.19770</vt:lpwstr>
  </property>
  <property fmtid="{D5CDD505-2E9C-101B-9397-08002B2CF9AE}" pid="6" name="ICV">
    <vt:lpwstr>15AB3E194D6A4CE5B01E87981B276EB5_12</vt:lpwstr>
  </property>
</Properties>
</file>