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6B17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226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222222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/>
          <w:color w:val="222222"/>
          <w:sz w:val="44"/>
          <w:szCs w:val="44"/>
          <w:shd w:val="clear" w:color="auto" w:fill="FFFFFF"/>
          <w:lang w:eastAsia="zh-CN"/>
        </w:rPr>
        <w:t>沙湾市商户地乡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222222"/>
          <w:sz w:val="44"/>
          <w:szCs w:val="44"/>
          <w:shd w:val="clear" w:color="auto" w:fill="FFFFFF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222222"/>
          <w:sz w:val="44"/>
          <w:szCs w:val="44"/>
          <w:shd w:val="clear" w:color="auto" w:fill="FFFFFF"/>
          <w:lang w:val="en-US" w:eastAsia="zh-CN"/>
        </w:rPr>
        <w:t>24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222222"/>
          <w:sz w:val="44"/>
          <w:szCs w:val="44"/>
          <w:shd w:val="clear" w:color="auto" w:fill="FFFFFF"/>
        </w:rPr>
        <w:t>年政府信息</w:t>
      </w:r>
    </w:p>
    <w:p w14:paraId="1B3192E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226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222222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222222"/>
          <w:sz w:val="44"/>
          <w:szCs w:val="44"/>
          <w:shd w:val="clear" w:color="auto" w:fill="FFFFFF"/>
        </w:rPr>
        <w:t>公开工作年度报告</w:t>
      </w:r>
    </w:p>
    <w:bookmarkEnd w:id="0"/>
    <w:p w14:paraId="52501C4D">
      <w:pPr>
        <w:rPr>
          <w:rFonts w:hint="eastAsia"/>
        </w:rPr>
      </w:pPr>
    </w:p>
    <w:p w14:paraId="3A701E9F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</w:pPr>
      <w:r>
        <w:t>窗体顶端</w:t>
      </w:r>
    </w:p>
    <w:p w14:paraId="7B750FE4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color w:val="00000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根据国务院办公厅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政府信息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公开工作年度报告编发指南（参考）》和《中华人民共和国政府信息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政府信息公开工作年度报告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格式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（国办公开办函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30号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）文件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我乡始终坚持以公开透明、公平公正为主线，以服务群众、方便群众为立足点，围绕贴近民生、强化措施，依法、及时、准确地公开了相关信息。本报告所涉及信息统计核定时间为202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年1月1日至202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年12月31日。</w:t>
      </w:r>
    </w:p>
    <w:p w14:paraId="357F57C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一、总体情况</w:t>
      </w:r>
    </w:p>
    <w:p w14:paraId="12614ACA">
      <w:pPr>
        <w:widowControl/>
        <w:shd w:val="clear" w:color="auto" w:fill="FFFFFF"/>
        <w:spacing w:line="520" w:lineRule="exact"/>
        <w:ind w:firstLine="640" w:firstLineChars="0"/>
        <w:jc w:val="left"/>
        <w:textAlignment w:val="baseline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商户地乡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以党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的二十大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精神为指导，深入贯彻落实国家和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自治区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地区、市关于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政府信息公开的有关要求，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认真贯彻落实《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中华人民共和国政府信息公开条例》，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切实把政府信息公开作为转变工作作风、提高行政效能的重要内容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保障公民民主权利的重要举措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我乡上一年度坚持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把政府信息公开作为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政府整体工作的重要组成部分，纳入日常工作安排部署，并纳入年终目标考核，促进信息公开工作常态化、规范化。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2023年我乡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未接到依申请公开办件，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同时，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按照政府信息依申请公开工作要求，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建立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信息依申请公开工作流程，公开信息公开申请接收渠道，列明各申请途径的具体接收方式，接收渠道指引内容明确。</w:t>
      </w:r>
    </w:p>
    <w:p w14:paraId="4E749622">
      <w:pPr>
        <w:widowControl/>
        <w:shd w:val="clear" w:color="auto" w:fill="FFFFFF"/>
        <w:spacing w:line="520" w:lineRule="exact"/>
        <w:ind w:firstLine="640" w:firstLineChars="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eastAsia="zh-CN"/>
        </w:rPr>
        <w:t>（一）主动公开方面。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年，我乡在市政府门户网站公开信息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条。在公开内容上，按照宜公开尽公开要求，认真落实《中华人民共和国政府信息公开条例》，由办公室牵头负责信息公开的审核与发布、严格把关宣传办编辑公开信息的质量。通过政府网站及政府信息公开平台及时向群众公布。</w:t>
      </w:r>
    </w:p>
    <w:p w14:paraId="39D286C4">
      <w:pPr>
        <w:widowControl/>
        <w:shd w:val="clear" w:color="auto" w:fill="FFFFFF"/>
        <w:spacing w:line="520" w:lineRule="exact"/>
        <w:ind w:firstLine="640" w:firstLineChars="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eastAsia="zh-CN"/>
        </w:rPr>
        <w:t>（二）依申请公开方面。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全面贯彻落实《条例》、国务院办公厅转发《关于政府信息公开工作年度若报告编发指南（参考）》和《沙湾市人民政府办公室关于印发&lt;沙湾市202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年政务公开要点&gt;的通知》等规定，规范政府信息公开申请办理程序，满足群众个性化合理信息需求。全年接收处理信息公开申请0件，公开 0件，不予公开0件，因政府信息依申请公开引起行政复议0件，行政诉讼0 件。</w:t>
      </w:r>
    </w:p>
    <w:p w14:paraId="754C1F48">
      <w:pPr>
        <w:widowControl/>
        <w:shd w:val="clear" w:color="auto" w:fill="FFFFFF"/>
        <w:spacing w:line="520" w:lineRule="exact"/>
        <w:ind w:firstLine="640" w:firstLineChars="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eastAsia="zh-CN"/>
        </w:rPr>
        <w:t>（三）政府信息管理方面。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按照新疆维吾尔自治区《关于做好政府信息公开工作年度报告编制工作的函》部署要求，对我乡政府规章和乡政府规范性文件开展了全面清理，并公开清理结果，及时对清理文件的有效性进行了调整。严格落实政府信息公开属性源头认定机制，认真筑牢信息审核纠错防线。</w:t>
      </w:r>
    </w:p>
    <w:p w14:paraId="761021BE">
      <w:pPr>
        <w:widowControl/>
        <w:shd w:val="clear" w:color="auto" w:fill="FFFFFF"/>
        <w:spacing w:line="520" w:lineRule="exact"/>
        <w:ind w:firstLine="640" w:firstLineChars="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eastAsia="zh-CN"/>
        </w:rPr>
        <w:t>（四）政府信息公开平台建设方面。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充分认识信息公开工作的重要性，把信息公开工作摆上重要议事日程，由主要领导亲自负责，根据工作情况设立兼职人员负责收集整理公开信息，达到了全覆盖。</w:t>
      </w:r>
    </w:p>
    <w:p w14:paraId="7A4C2224">
      <w:pPr>
        <w:widowControl/>
        <w:shd w:val="clear" w:color="auto" w:fill="FFFFFF"/>
        <w:spacing w:line="520" w:lineRule="exact"/>
        <w:ind w:firstLine="640" w:firstLineChars="0"/>
        <w:jc w:val="lef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shd w:val="clear" w:color="auto" w:fill="FFFFFF"/>
          <w:lang w:eastAsia="zh-CN"/>
        </w:rPr>
        <w:t>（五）监督保障方面。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修订政府信息公开实施办法、工作指引和答复模板，对年度政府信息公开工作情况进行通报，进一步总结经验教训、落实主体责任、完善工作机制。更加重视教育培训，两次在相关工作会议上对政府信息公开工作进行专题培训，将《中华人民共和国政府信息公开条例》解读应用课程列入商户地乡干部网络学院基层专区第一常设课程。</w:t>
      </w:r>
    </w:p>
    <w:p w14:paraId="56B1CF1B">
      <w:pPr>
        <w:spacing w:line="520" w:lineRule="exact"/>
        <w:ind w:firstLine="640" w:firstLineChars="200"/>
        <w:rPr>
          <w:rFonts w:ascii="Times New Roman" w:hAnsi="Times New Roman" w:eastAsia="黑体" w:cs="宋体"/>
          <w:sz w:val="32"/>
          <w:szCs w:val="32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二、主动公开政府信息情况</w:t>
      </w:r>
    </w:p>
    <w:p w14:paraId="6B9E63F3">
      <w:pPr>
        <w:pStyle w:val="6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该部分以表格形式报告。表格如下：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2289"/>
        <w:gridCol w:w="2126"/>
        <w:gridCol w:w="1924"/>
      </w:tblGrid>
      <w:tr w14:paraId="55954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8476" w:type="dxa"/>
            <w:gridSpan w:val="4"/>
            <w:noWrap/>
            <w:vAlign w:val="top"/>
          </w:tcPr>
          <w:p w14:paraId="562B60F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第二十条第（一）项</w:t>
            </w:r>
          </w:p>
        </w:tc>
      </w:tr>
      <w:tr w14:paraId="3A280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37" w:type="dxa"/>
            <w:noWrap/>
            <w:vAlign w:val="center"/>
          </w:tcPr>
          <w:p w14:paraId="4751ABDE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信息内容</w:t>
            </w:r>
          </w:p>
        </w:tc>
        <w:tc>
          <w:tcPr>
            <w:tcW w:w="2289" w:type="dxa"/>
            <w:noWrap/>
            <w:vAlign w:val="center"/>
          </w:tcPr>
          <w:p w14:paraId="147AAC7C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本年制发件数</w:t>
            </w:r>
          </w:p>
        </w:tc>
        <w:tc>
          <w:tcPr>
            <w:tcW w:w="2126" w:type="dxa"/>
            <w:noWrap w:val="0"/>
            <w:vAlign w:val="center"/>
          </w:tcPr>
          <w:p w14:paraId="6ACDCB1A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本年废止件数</w:t>
            </w:r>
          </w:p>
        </w:tc>
        <w:tc>
          <w:tcPr>
            <w:tcW w:w="1924" w:type="dxa"/>
            <w:noWrap/>
            <w:vAlign w:val="center"/>
          </w:tcPr>
          <w:p w14:paraId="68774739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现行有效件数</w:t>
            </w:r>
          </w:p>
        </w:tc>
      </w:tr>
      <w:tr w14:paraId="07FD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137" w:type="dxa"/>
            <w:noWrap/>
            <w:vAlign w:val="top"/>
          </w:tcPr>
          <w:p w14:paraId="2EEB3675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规章</w:t>
            </w:r>
          </w:p>
        </w:tc>
        <w:tc>
          <w:tcPr>
            <w:tcW w:w="2289" w:type="dxa"/>
            <w:noWrap/>
            <w:vAlign w:val="top"/>
          </w:tcPr>
          <w:p w14:paraId="03A52EE9">
            <w:pPr>
              <w:widowControl/>
              <w:spacing w:after="144" w:line="3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2126" w:type="dxa"/>
            <w:noWrap w:val="0"/>
            <w:vAlign w:val="top"/>
          </w:tcPr>
          <w:p w14:paraId="5A159C54">
            <w:pPr>
              <w:widowControl/>
              <w:spacing w:after="144" w:line="3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1924" w:type="dxa"/>
            <w:noWrap/>
            <w:vAlign w:val="top"/>
          </w:tcPr>
          <w:p w14:paraId="7AA24D71">
            <w:pPr>
              <w:widowControl/>
              <w:spacing w:after="144" w:line="3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</w:tr>
      <w:tr w14:paraId="7D121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137" w:type="dxa"/>
            <w:noWrap/>
            <w:vAlign w:val="top"/>
          </w:tcPr>
          <w:p w14:paraId="1D535130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规范性文件</w:t>
            </w:r>
          </w:p>
        </w:tc>
        <w:tc>
          <w:tcPr>
            <w:tcW w:w="2289" w:type="dxa"/>
            <w:noWrap/>
            <w:vAlign w:val="top"/>
          </w:tcPr>
          <w:p w14:paraId="74E00FDF">
            <w:pPr>
              <w:widowControl/>
              <w:spacing w:after="144" w:line="3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2126" w:type="dxa"/>
            <w:noWrap w:val="0"/>
            <w:vAlign w:val="top"/>
          </w:tcPr>
          <w:p w14:paraId="04C10BE2">
            <w:pPr>
              <w:widowControl/>
              <w:spacing w:after="144" w:line="3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1924" w:type="dxa"/>
            <w:noWrap/>
            <w:vAlign w:val="top"/>
          </w:tcPr>
          <w:p w14:paraId="3D1D32DA">
            <w:pPr>
              <w:widowControl/>
              <w:spacing w:after="144" w:line="3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</w:tr>
      <w:tr w14:paraId="6A6BE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476" w:type="dxa"/>
            <w:gridSpan w:val="4"/>
            <w:noWrap/>
            <w:vAlign w:val="top"/>
          </w:tcPr>
          <w:p w14:paraId="1ABD24D0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第二十条第（五）项</w:t>
            </w:r>
          </w:p>
        </w:tc>
      </w:tr>
      <w:tr w14:paraId="4953A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137" w:type="dxa"/>
            <w:noWrap/>
            <w:vAlign w:val="top"/>
          </w:tcPr>
          <w:p w14:paraId="75AF6A36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信息内容</w:t>
            </w:r>
          </w:p>
        </w:tc>
        <w:tc>
          <w:tcPr>
            <w:tcW w:w="6339" w:type="dxa"/>
            <w:gridSpan w:val="3"/>
            <w:noWrap/>
            <w:vAlign w:val="top"/>
          </w:tcPr>
          <w:p w14:paraId="14C2A388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本年处理决定数量</w:t>
            </w:r>
          </w:p>
        </w:tc>
      </w:tr>
      <w:tr w14:paraId="7DFC2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137" w:type="dxa"/>
            <w:noWrap/>
            <w:vAlign w:val="top"/>
          </w:tcPr>
          <w:p w14:paraId="7C78F4B6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行政许可</w:t>
            </w:r>
          </w:p>
        </w:tc>
        <w:tc>
          <w:tcPr>
            <w:tcW w:w="6339" w:type="dxa"/>
            <w:gridSpan w:val="3"/>
            <w:noWrap/>
            <w:vAlign w:val="top"/>
          </w:tcPr>
          <w:p w14:paraId="7307C010">
            <w:pPr>
              <w:widowControl/>
              <w:spacing w:after="144" w:line="3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</w:tr>
      <w:tr w14:paraId="7B4D4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476" w:type="dxa"/>
            <w:gridSpan w:val="4"/>
            <w:noWrap/>
            <w:vAlign w:val="top"/>
          </w:tcPr>
          <w:p w14:paraId="0076E3D9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第二十条第（六）项</w:t>
            </w:r>
          </w:p>
        </w:tc>
      </w:tr>
      <w:tr w14:paraId="32D8A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37" w:type="dxa"/>
            <w:noWrap/>
            <w:vAlign w:val="top"/>
          </w:tcPr>
          <w:p w14:paraId="7F31EA9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信息内容</w:t>
            </w:r>
          </w:p>
        </w:tc>
        <w:tc>
          <w:tcPr>
            <w:tcW w:w="6339" w:type="dxa"/>
            <w:gridSpan w:val="3"/>
            <w:noWrap/>
            <w:vAlign w:val="top"/>
          </w:tcPr>
          <w:p w14:paraId="70BDB2D3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本年处理决定数量</w:t>
            </w:r>
          </w:p>
        </w:tc>
      </w:tr>
      <w:tr w14:paraId="7BA1E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137" w:type="dxa"/>
            <w:noWrap/>
            <w:vAlign w:val="top"/>
          </w:tcPr>
          <w:p w14:paraId="6FE1F654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行政处罚</w:t>
            </w:r>
          </w:p>
        </w:tc>
        <w:tc>
          <w:tcPr>
            <w:tcW w:w="6339" w:type="dxa"/>
            <w:gridSpan w:val="3"/>
            <w:noWrap/>
            <w:vAlign w:val="top"/>
          </w:tcPr>
          <w:p w14:paraId="60FB3743">
            <w:pPr>
              <w:widowControl/>
              <w:spacing w:after="144" w:line="3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</w:tr>
      <w:tr w14:paraId="6F0C5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2137" w:type="dxa"/>
            <w:noWrap/>
            <w:vAlign w:val="top"/>
          </w:tcPr>
          <w:p w14:paraId="2199098B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行政强制</w:t>
            </w:r>
          </w:p>
        </w:tc>
        <w:tc>
          <w:tcPr>
            <w:tcW w:w="6339" w:type="dxa"/>
            <w:gridSpan w:val="3"/>
            <w:noWrap/>
            <w:vAlign w:val="top"/>
          </w:tcPr>
          <w:p w14:paraId="13C2DF3E">
            <w:pPr>
              <w:widowControl/>
              <w:spacing w:after="144" w:line="3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</w:tr>
      <w:tr w14:paraId="0DB8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476" w:type="dxa"/>
            <w:gridSpan w:val="4"/>
            <w:noWrap/>
            <w:vAlign w:val="top"/>
          </w:tcPr>
          <w:p w14:paraId="4F81FCFF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第二十条第（八）项</w:t>
            </w:r>
          </w:p>
        </w:tc>
      </w:tr>
      <w:tr w14:paraId="3D2FF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2137" w:type="dxa"/>
            <w:noWrap/>
            <w:vAlign w:val="top"/>
          </w:tcPr>
          <w:p w14:paraId="6A3FEF77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信息内容</w:t>
            </w:r>
          </w:p>
        </w:tc>
        <w:tc>
          <w:tcPr>
            <w:tcW w:w="6339" w:type="dxa"/>
            <w:gridSpan w:val="3"/>
            <w:noWrap/>
            <w:vAlign w:val="top"/>
          </w:tcPr>
          <w:p w14:paraId="2B9FB546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本年收费金额（单位：万元）</w:t>
            </w:r>
          </w:p>
        </w:tc>
      </w:tr>
      <w:tr w14:paraId="6772D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" w:hRule="atLeast"/>
          <w:jc w:val="center"/>
        </w:trPr>
        <w:tc>
          <w:tcPr>
            <w:tcW w:w="2137" w:type="dxa"/>
            <w:noWrap/>
            <w:vAlign w:val="top"/>
          </w:tcPr>
          <w:p w14:paraId="515F8FDD">
            <w:pPr>
              <w:widowControl/>
              <w:spacing w:after="144"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行政事业性收费</w:t>
            </w:r>
          </w:p>
        </w:tc>
        <w:tc>
          <w:tcPr>
            <w:tcW w:w="6339" w:type="dxa"/>
            <w:gridSpan w:val="3"/>
            <w:noWrap/>
            <w:vAlign w:val="top"/>
          </w:tcPr>
          <w:p w14:paraId="610A27F5">
            <w:pPr>
              <w:widowControl/>
              <w:spacing w:after="144" w:line="30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lang w:val="en-US" w:eastAsia="zh-CN"/>
              </w:rPr>
              <w:t>0</w:t>
            </w:r>
          </w:p>
        </w:tc>
      </w:tr>
    </w:tbl>
    <w:p w14:paraId="10DBD553">
      <w:pPr>
        <w:pStyle w:val="6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黑体" w:cs="宋体"/>
          <w:sz w:val="32"/>
          <w:szCs w:val="30"/>
        </w:rPr>
      </w:pPr>
      <w:r>
        <w:rPr>
          <w:rFonts w:hint="eastAsia" w:ascii="Times New Roman" w:hAnsi="Times New Roman" w:eastAsia="黑体" w:cs="宋体"/>
          <w:sz w:val="32"/>
          <w:szCs w:val="30"/>
        </w:rPr>
        <w:t>三、收到和处理政府信息公开申请情况</w:t>
      </w:r>
    </w:p>
    <w:p w14:paraId="0443B6C0">
      <w:pPr>
        <w:pStyle w:val="6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该部分以表格形式报告。表格如下：</w:t>
      </w:r>
    </w:p>
    <w:tbl>
      <w:tblPr>
        <w:tblStyle w:val="7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906"/>
        <w:gridCol w:w="30"/>
        <w:gridCol w:w="3377"/>
        <w:gridCol w:w="456"/>
        <w:gridCol w:w="707"/>
        <w:gridCol w:w="707"/>
        <w:gridCol w:w="706"/>
        <w:gridCol w:w="707"/>
        <w:gridCol w:w="465"/>
        <w:gridCol w:w="456"/>
      </w:tblGrid>
      <w:tr w14:paraId="18A34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5010" w:type="dxa"/>
            <w:gridSpan w:val="4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17FBCD3C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（本列数据的勾稽关系为：第一项加第二项之和，等于第三项加第四项之和）</w:t>
            </w:r>
          </w:p>
        </w:tc>
        <w:tc>
          <w:tcPr>
            <w:tcW w:w="4204" w:type="dxa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 w14:paraId="55103269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申请人情况</w:t>
            </w:r>
          </w:p>
        </w:tc>
      </w:tr>
      <w:tr w14:paraId="00FC0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4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BBAB875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E8CD542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自然人</w:t>
            </w:r>
          </w:p>
        </w:tc>
        <w:tc>
          <w:tcPr>
            <w:tcW w:w="3292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10DE9763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法人或其他组织</w:t>
            </w: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B7E87F6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总计</w:t>
            </w:r>
          </w:p>
        </w:tc>
      </w:tr>
      <w:tr w14:paraId="025D3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5010" w:type="dxa"/>
            <w:gridSpan w:val="4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8B9F8A5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C3EEF5D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0BB0FCF7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商业企业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0D2EE4B8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科研机构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72BC86D9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社会公益组织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0C32BED2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法律服务机构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18F6A727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其他</w:t>
            </w: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7138727">
            <w:pPr>
              <w:spacing w:line="26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14:paraId="04D44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5010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20F14383">
            <w:pPr>
              <w:widowControl/>
              <w:spacing w:after="144"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一、本年新收政府信息公开申请数量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1A8DAAD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6465DADB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14D8FCC3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0B53E9E0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5571A495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2AC65DB1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7911613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09A9F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694D12F3">
            <w:pPr>
              <w:widowControl/>
              <w:spacing w:after="144"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二、上年结转政府信息公开申请数量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6AC9CCF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57F7EC71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20BB5BC1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40F7DF69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044EE5E9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61B2BDDD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D99B5CF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62155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697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06763FEE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三、本年度办理结果</w:t>
            </w:r>
          </w:p>
        </w:tc>
        <w:tc>
          <w:tcPr>
            <w:tcW w:w="431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378203AA">
            <w:pPr>
              <w:widowControl/>
              <w:spacing w:after="144"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4"/>
              </w:rPr>
              <w:t>（一）予以公开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A3728CD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39212AD4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684045AB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6A8F17C3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7FB2E84F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42B71CE5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249FAD4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75DFB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26440A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26D7B000">
            <w:pPr>
              <w:widowControl/>
              <w:spacing w:after="144"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4"/>
              </w:rPr>
              <w:t>（二）部分公开（区分处理的，只计这一情形，不计其他情形）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A43861C">
            <w:pPr>
              <w:widowControl/>
              <w:spacing w:after="144" w:line="260" w:lineRule="exact"/>
              <w:jc w:val="center"/>
              <w:rPr>
                <w:rFonts w:hint="default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362991ED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63AD4987">
            <w:pPr>
              <w:widowControl/>
              <w:spacing w:after="144" w:line="26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7AA89E28">
            <w:pPr>
              <w:widowControl/>
              <w:spacing w:after="144" w:line="26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343A8606">
            <w:pPr>
              <w:widowControl/>
              <w:spacing w:after="144" w:line="260" w:lineRule="exact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204CA62E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85E1F91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74FD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43C89B0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3FD6CD6">
            <w:pPr>
              <w:widowControl/>
              <w:spacing w:after="144" w:line="260" w:lineRule="exac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（三）不予公开</w:t>
            </w: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 w14:paraId="28992767">
            <w:pPr>
              <w:widowControl/>
              <w:spacing w:after="144" w:line="260" w:lineRule="exac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1.属于国家秘密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7527B85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77E70D1F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4A0F8AE7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2F89F14A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0EA1D6E0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6B76A3A7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4D9AB53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079DE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D746C5E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0460632"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 w14:paraId="635837E1">
            <w:pPr>
              <w:widowControl/>
              <w:spacing w:after="144" w:line="260" w:lineRule="exac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2.其他法律行政法规禁止公开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CCDEEA3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7298E7C0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06480978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0D43D0EF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14CC11B1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7F013D02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1E2F79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76E37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023D28A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E845446"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 w14:paraId="56F8AB48">
            <w:pPr>
              <w:widowControl/>
              <w:spacing w:after="144" w:line="260" w:lineRule="exac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3.危及“三安全一稳定”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18B636E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055D773E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58BA5988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22940198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789A6BA8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04CE3A11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D515CB8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3C402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2FF73B0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CF8C9FF"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 w14:paraId="5C0B7E5B">
            <w:pPr>
              <w:widowControl/>
              <w:spacing w:after="144" w:line="260" w:lineRule="exac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4.保护第三方合法权益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01C00B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181B62C2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76174E96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62585314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617D7EFD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676A678C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49B6020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2E07D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A5BEAA5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1EE6C8E"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 w14:paraId="30447016">
            <w:pPr>
              <w:widowControl/>
              <w:spacing w:after="144" w:line="260" w:lineRule="exac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5.属于三类内部事务信息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2AAD468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33B7D47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324B3EFC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3DD0767D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5DD48A90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63E919E6">
            <w:pPr>
              <w:widowControl/>
              <w:spacing w:after="144" w:line="26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49C167A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685C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C7BE25D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A575651"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 w14:paraId="4D091727">
            <w:pPr>
              <w:widowControl/>
              <w:spacing w:after="144" w:line="260" w:lineRule="exac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6.属于四类过程性信息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0B4D33F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0E132F00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40AA6C09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30CA627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523A0B9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0E6DA4F6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125EB62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6039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81907FA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5906197"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 w14:paraId="78E5624C">
            <w:pPr>
              <w:widowControl/>
              <w:spacing w:after="144" w:line="260" w:lineRule="exac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7.属于行政执法案卷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AD969CE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7DEC12E7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2B774065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3D1126D9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676263D6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078AB4F8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595F442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308A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0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1682D54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6E189AC"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 w14:paraId="21817630">
            <w:pPr>
              <w:widowControl/>
              <w:spacing w:after="144" w:line="260" w:lineRule="exac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8.属于行政查询事项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300AF19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7028086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3D2B9219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5EA34848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03513310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08355EF3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F4D064D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5FCA1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ADEA601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2EF7424E">
            <w:pPr>
              <w:widowControl/>
              <w:spacing w:after="144" w:line="260" w:lineRule="exac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（四）无法提供</w:t>
            </w: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 w14:paraId="11558F1D">
            <w:pPr>
              <w:widowControl/>
              <w:spacing w:after="144" w:line="260" w:lineRule="exac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1.本机关不掌握相关政府信息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0FAC61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523DB948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06419086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4F11F085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4A735B79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5E463774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FB4BDB1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34565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89DDD62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59D831F"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 w14:paraId="21558EB8">
            <w:pPr>
              <w:widowControl/>
              <w:spacing w:after="144" w:line="260" w:lineRule="exac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2.没有现成信息需要另行制作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995FC86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281206A6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411DE668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2D5F00AF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12BCDC6E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37F940C2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280041D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3A757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BCB2B38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AAF84F7"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 w14:paraId="41F93746">
            <w:pPr>
              <w:widowControl/>
              <w:spacing w:after="144" w:line="260" w:lineRule="exac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3.补正后申请内容仍不明确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0939F9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5C5BAD0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0739060C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30C5DC2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704B600C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398E3858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23EFA54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2B2C3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7BE9CA5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3B254041">
            <w:pPr>
              <w:widowControl/>
              <w:spacing w:after="144" w:line="260" w:lineRule="exac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（五）不予处理</w:t>
            </w: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 w14:paraId="60C7EDD8">
            <w:pPr>
              <w:widowControl/>
              <w:spacing w:after="144" w:line="260" w:lineRule="exac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1.信访举报投诉类申请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0DD4CFC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2E97D474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52A85515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56F7256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0AD1359F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1324D66E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8F0DA96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66757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3FF53FC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8A766F7"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 w14:paraId="21AA9FCC"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2.重复申请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69A8865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4909BC4F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36EC3225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3ACA3D4E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6C204930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57FD589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39C6C8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3C449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0481048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A13457C"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 w14:paraId="2BAC1735"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3.要求提供公开出版物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5EA962A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07B8C15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743E4C86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113794C0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22B89E58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0754516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313C59F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444D2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52A21BE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25B2CDC2"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 w14:paraId="2FC091EA"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4.无正当理由大量反复申请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848EBF4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168E36AC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04597898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75559890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547E9D1C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7C5BEEF0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3ED1135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42FBE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7B20447D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36" w:type="dxa"/>
            <w:gridSpan w:val="2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6AEDCC0B">
            <w:pPr>
              <w:spacing w:line="260" w:lineRule="exact"/>
              <w:rPr>
                <w:rFonts w:hint="eastAsia" w:ascii="楷体_GB2312" w:hAnsi="Times New Roman" w:eastAsia="楷体_GB2312"/>
                <w:sz w:val="24"/>
              </w:rPr>
            </w:pPr>
          </w:p>
        </w:tc>
        <w:tc>
          <w:tcPr>
            <w:tcW w:w="3377" w:type="dxa"/>
            <w:noWrap w:val="0"/>
            <w:tcMar>
              <w:left w:w="108" w:type="dxa"/>
              <w:right w:w="108" w:type="dxa"/>
            </w:tcMar>
            <w:vAlign w:val="center"/>
          </w:tcPr>
          <w:p w14:paraId="696747DD"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5.要求行政机关确认或重新出具已获取信息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638AE80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435454BC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10E73E4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04C85955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3EDE6AE0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6F26CD45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8DA8653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19D0F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8D55BF2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4FF4E412"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（六）其他处理</w:t>
            </w:r>
          </w:p>
        </w:tc>
        <w:tc>
          <w:tcPr>
            <w:tcW w:w="340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2E71125C">
            <w:pPr>
              <w:spacing w:line="240" w:lineRule="exac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1.申请人无正当理由逾期不补正、行政机关不再处理其政府信息公开申请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F15853F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58A9C57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733F04C9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147EF67F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7605FCCC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29F0962F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29E748E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6C06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8E7B050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9C0B149"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 w:cs="楷体"/>
                <w:kern w:val="0"/>
                <w:sz w:val="24"/>
              </w:rPr>
            </w:pPr>
          </w:p>
        </w:tc>
        <w:tc>
          <w:tcPr>
            <w:tcW w:w="340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78542A24">
            <w:pPr>
              <w:widowControl/>
              <w:spacing w:line="24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421CEDD">
            <w:pPr>
              <w:widowControl/>
              <w:spacing w:after="144" w:line="260" w:lineRule="exact"/>
              <w:jc w:val="center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2C5F1C15">
            <w:pPr>
              <w:widowControl/>
              <w:spacing w:after="144" w:line="260" w:lineRule="exact"/>
              <w:jc w:val="center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7B8ACF5E">
            <w:pPr>
              <w:widowControl/>
              <w:spacing w:after="144" w:line="260" w:lineRule="exact"/>
              <w:jc w:val="center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5065DE70">
            <w:pPr>
              <w:widowControl/>
              <w:spacing w:after="144" w:line="260" w:lineRule="exact"/>
              <w:jc w:val="center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3CBFD42C">
            <w:pPr>
              <w:widowControl/>
              <w:spacing w:after="144" w:line="260" w:lineRule="exact"/>
              <w:jc w:val="center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36C3DFB3">
            <w:pPr>
              <w:widowControl/>
              <w:spacing w:after="144" w:line="260" w:lineRule="exact"/>
              <w:jc w:val="center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4575F5B3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31E1D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028BA1EB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9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E82B649"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 w:cs="楷体"/>
                <w:kern w:val="0"/>
                <w:sz w:val="24"/>
              </w:rPr>
            </w:pPr>
          </w:p>
        </w:tc>
        <w:tc>
          <w:tcPr>
            <w:tcW w:w="3407" w:type="dxa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 w14:paraId="5D93C622"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/>
                <w:sz w:val="24"/>
              </w:rPr>
              <w:t>3.其他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F199A4D">
            <w:pPr>
              <w:widowControl/>
              <w:spacing w:after="144" w:line="260" w:lineRule="exact"/>
              <w:jc w:val="center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70D92416">
            <w:pPr>
              <w:widowControl/>
              <w:spacing w:after="144" w:line="260" w:lineRule="exact"/>
              <w:jc w:val="center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569EFCC6">
            <w:pPr>
              <w:widowControl/>
              <w:spacing w:after="144" w:line="260" w:lineRule="exact"/>
              <w:jc w:val="center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238252CA">
            <w:pPr>
              <w:widowControl/>
              <w:spacing w:after="144" w:line="260" w:lineRule="exact"/>
              <w:jc w:val="center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73658793">
            <w:pPr>
              <w:widowControl/>
              <w:spacing w:after="144" w:line="260" w:lineRule="exact"/>
              <w:jc w:val="center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3EE10727">
            <w:pPr>
              <w:widowControl/>
              <w:spacing w:after="144" w:line="260" w:lineRule="exact"/>
              <w:jc w:val="center"/>
              <w:rPr>
                <w:rFonts w:ascii="Times New Roman" w:hAnsi="Times New Roman" w:cs="Calibri"/>
                <w:kern w:val="0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B0FDC26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Calibri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Calibri"/>
                <w:kern w:val="0"/>
                <w:sz w:val="24"/>
                <w:lang w:val="en-US" w:eastAsia="zh-CN"/>
              </w:rPr>
              <w:t>0</w:t>
            </w:r>
          </w:p>
        </w:tc>
      </w:tr>
      <w:tr w14:paraId="17F2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697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5E51C0B7">
            <w:pPr>
              <w:spacing w:line="26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13" w:type="dxa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 w14:paraId="62E7577A">
            <w:pPr>
              <w:widowControl/>
              <w:spacing w:after="144" w:line="260" w:lineRule="exact"/>
              <w:jc w:val="left"/>
              <w:rPr>
                <w:rFonts w:hint="eastAsia" w:ascii="楷体_GB2312" w:hAnsi="Times New Roman" w:eastAsia="楷体_GB2312"/>
                <w:sz w:val="24"/>
              </w:rPr>
            </w:pPr>
            <w:r>
              <w:rPr>
                <w:rFonts w:hint="eastAsia" w:ascii="楷体_GB2312" w:hAnsi="Times New Roman" w:eastAsia="楷体_GB2312" w:cs="楷体"/>
                <w:kern w:val="0"/>
                <w:sz w:val="24"/>
              </w:rPr>
              <w:t>（七）总计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8207136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46FAC8CA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7428DACD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1D6492D5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7B8521FB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796403E3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667297D7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 w14:paraId="3E95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10" w:type="dxa"/>
            <w:gridSpan w:val="4"/>
            <w:noWrap w:val="0"/>
            <w:tcMar>
              <w:left w:w="108" w:type="dxa"/>
              <w:right w:w="108" w:type="dxa"/>
            </w:tcMar>
            <w:vAlign w:val="center"/>
          </w:tcPr>
          <w:p w14:paraId="012CE398">
            <w:pPr>
              <w:widowControl/>
              <w:spacing w:after="144" w:line="26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四、结转下年度继续办理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D97711F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0280B59D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2CCE5590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723BEA1E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707" w:type="dxa"/>
            <w:noWrap w:val="0"/>
            <w:tcMar>
              <w:left w:w="108" w:type="dxa"/>
              <w:right w:w="108" w:type="dxa"/>
            </w:tcMar>
            <w:vAlign w:val="center"/>
          </w:tcPr>
          <w:p w14:paraId="24596B08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65" w:type="dxa"/>
            <w:noWrap w:val="0"/>
            <w:tcMar>
              <w:left w:w="108" w:type="dxa"/>
              <w:right w:w="108" w:type="dxa"/>
            </w:tcMar>
            <w:vAlign w:val="center"/>
          </w:tcPr>
          <w:p w14:paraId="5C0C1AB1">
            <w:pPr>
              <w:widowControl/>
              <w:spacing w:after="144" w:line="2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31E24BDB">
            <w:pPr>
              <w:spacing w:line="260" w:lineRule="exact"/>
              <w:jc w:val="center"/>
              <w:rPr>
                <w:rFonts w:hint="eastAsia" w:ascii="Times New Roman" w:hAnsi="Times New Roman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</w:tbl>
    <w:p w14:paraId="17C36A31">
      <w:pPr>
        <w:spacing w:line="520" w:lineRule="exact"/>
        <w:ind w:firstLine="636" w:firstLineChars="199"/>
        <w:rPr>
          <w:rFonts w:ascii="Times New Roman" w:hAnsi="Times New Roman" w:eastAsia="黑体" w:cs="宋体"/>
          <w:sz w:val="32"/>
          <w:szCs w:val="32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四、政府信息公开行政复议、行政诉讼情况</w:t>
      </w:r>
    </w:p>
    <w:p w14:paraId="0AE8B628">
      <w:pPr>
        <w:pStyle w:val="6"/>
        <w:widowControl/>
        <w:spacing w:before="0" w:beforeAutospacing="0" w:after="0" w:afterAutospacing="0" w:line="520" w:lineRule="exact"/>
        <w:ind w:firstLine="640" w:firstLineChars="200"/>
        <w:jc w:val="both"/>
        <w:rPr>
          <w:rFonts w:ascii="Times New Roman" w:hAnsi="Times New Roman" w:eastAsia="仿宋_GB2312" w:cs="宋体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</w:rPr>
        <w:t>该部分以表格形式报告。表格如下：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6"/>
        <w:gridCol w:w="851"/>
        <w:gridCol w:w="836"/>
        <w:gridCol w:w="706"/>
        <w:gridCol w:w="456"/>
        <w:gridCol w:w="706"/>
        <w:gridCol w:w="706"/>
        <w:gridCol w:w="711"/>
        <w:gridCol w:w="789"/>
        <w:gridCol w:w="456"/>
        <w:gridCol w:w="456"/>
        <w:gridCol w:w="527"/>
        <w:gridCol w:w="456"/>
        <w:gridCol w:w="469"/>
        <w:gridCol w:w="456"/>
      </w:tblGrid>
      <w:tr w14:paraId="61997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695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364ECF2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行政复议</w:t>
            </w:r>
          </w:p>
        </w:tc>
        <w:tc>
          <w:tcPr>
            <w:tcW w:w="5732" w:type="dxa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 w14:paraId="53CFAC9D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行政诉讼</w:t>
            </w:r>
          </w:p>
        </w:tc>
      </w:tr>
      <w:tr w14:paraId="7753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7703A4B2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结果维持</w:t>
            </w:r>
          </w:p>
        </w:tc>
        <w:tc>
          <w:tcPr>
            <w:tcW w:w="851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C773C40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结果纠正</w:t>
            </w:r>
          </w:p>
        </w:tc>
        <w:tc>
          <w:tcPr>
            <w:tcW w:w="83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EA10425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其他结果</w:t>
            </w:r>
          </w:p>
        </w:tc>
        <w:tc>
          <w:tcPr>
            <w:tcW w:w="70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6AA2666F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 w14:paraId="55988A2C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总计</w:t>
            </w:r>
          </w:p>
        </w:tc>
        <w:tc>
          <w:tcPr>
            <w:tcW w:w="3368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2CFEC062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未经复议直接起诉</w:t>
            </w:r>
          </w:p>
        </w:tc>
        <w:tc>
          <w:tcPr>
            <w:tcW w:w="2364" w:type="dxa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 w14:paraId="1DF45A6C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复议后起诉</w:t>
            </w:r>
          </w:p>
        </w:tc>
      </w:tr>
      <w:tr w14:paraId="69C6B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41E579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6E748AB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83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345BBAE2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4658EE52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 w14:paraId="141EEC38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61FCCB65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结果维持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0D966FDC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结果纠正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1FA620E6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其他结果</w:t>
            </w:r>
          </w:p>
        </w:tc>
        <w:tc>
          <w:tcPr>
            <w:tcW w:w="789" w:type="dxa"/>
            <w:noWrap w:val="0"/>
            <w:tcMar>
              <w:left w:w="108" w:type="dxa"/>
              <w:right w:w="108" w:type="dxa"/>
            </w:tcMar>
            <w:vAlign w:val="center"/>
          </w:tcPr>
          <w:p w14:paraId="3FFFEB40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A5B41BA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总计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E4CE21A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结果维持</w:t>
            </w:r>
          </w:p>
        </w:tc>
        <w:tc>
          <w:tcPr>
            <w:tcW w:w="527" w:type="dxa"/>
            <w:noWrap w:val="0"/>
            <w:tcMar>
              <w:left w:w="108" w:type="dxa"/>
              <w:right w:w="108" w:type="dxa"/>
            </w:tcMar>
            <w:vAlign w:val="center"/>
          </w:tcPr>
          <w:p w14:paraId="28B4D918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结果纠正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0E7AAA7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其他结果</w:t>
            </w:r>
          </w:p>
        </w:tc>
        <w:tc>
          <w:tcPr>
            <w:tcW w:w="469" w:type="dxa"/>
            <w:noWrap w:val="0"/>
            <w:tcMar>
              <w:left w:w="108" w:type="dxa"/>
              <w:right w:w="108" w:type="dxa"/>
            </w:tcMar>
            <w:vAlign w:val="center"/>
          </w:tcPr>
          <w:p w14:paraId="0A7D223E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尚未审结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F33CBE2">
            <w:pPr>
              <w:widowControl/>
              <w:spacing w:after="144" w:line="260" w:lineRule="exact"/>
              <w:jc w:val="center"/>
              <w:rPr>
                <w:rFonts w:ascii="Times New Roman" w:hAnsi="Times New Roman" w:cs="宋体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</w:rPr>
              <w:t>总计</w:t>
            </w:r>
          </w:p>
        </w:tc>
      </w:tr>
      <w:tr w14:paraId="0EC7A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46" w:type="dxa"/>
            <w:noWrap w:val="0"/>
            <w:tcMar>
              <w:left w:w="108" w:type="dxa"/>
              <w:right w:w="108" w:type="dxa"/>
            </w:tcMar>
            <w:vAlign w:val="center"/>
          </w:tcPr>
          <w:p w14:paraId="2BE904CF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51" w:type="dxa"/>
            <w:noWrap w:val="0"/>
            <w:tcMar>
              <w:left w:w="108" w:type="dxa"/>
              <w:right w:w="108" w:type="dxa"/>
            </w:tcMar>
            <w:vAlign w:val="center"/>
          </w:tcPr>
          <w:p w14:paraId="3EDDC107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36" w:type="dxa"/>
            <w:noWrap w:val="0"/>
            <w:tcMar>
              <w:left w:w="108" w:type="dxa"/>
              <w:right w:w="108" w:type="dxa"/>
            </w:tcMar>
            <w:vAlign w:val="center"/>
          </w:tcPr>
          <w:p w14:paraId="7BB92E0D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2B825171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07E09077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3A19A51E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06" w:type="dxa"/>
            <w:noWrap w:val="0"/>
            <w:tcMar>
              <w:left w:w="108" w:type="dxa"/>
              <w:right w:w="108" w:type="dxa"/>
            </w:tcMar>
            <w:vAlign w:val="center"/>
          </w:tcPr>
          <w:p w14:paraId="22145D50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11" w:type="dxa"/>
            <w:noWrap w:val="0"/>
            <w:tcMar>
              <w:left w:w="108" w:type="dxa"/>
              <w:right w:w="108" w:type="dxa"/>
            </w:tcMar>
            <w:vAlign w:val="center"/>
          </w:tcPr>
          <w:p w14:paraId="3350C421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89" w:type="dxa"/>
            <w:noWrap w:val="0"/>
            <w:tcMar>
              <w:left w:w="108" w:type="dxa"/>
              <w:right w:w="108" w:type="dxa"/>
            </w:tcMar>
            <w:vAlign w:val="center"/>
          </w:tcPr>
          <w:p w14:paraId="2CA52662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1B88FB70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724B2DDA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527" w:type="dxa"/>
            <w:noWrap w:val="0"/>
            <w:tcMar>
              <w:left w:w="108" w:type="dxa"/>
              <w:right w:w="108" w:type="dxa"/>
            </w:tcMar>
            <w:vAlign w:val="center"/>
          </w:tcPr>
          <w:p w14:paraId="566BCE56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2566D414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69" w:type="dxa"/>
            <w:noWrap w:val="0"/>
            <w:tcMar>
              <w:left w:w="108" w:type="dxa"/>
              <w:right w:w="108" w:type="dxa"/>
            </w:tcMar>
            <w:vAlign w:val="center"/>
          </w:tcPr>
          <w:p w14:paraId="5EC5D86B">
            <w:pPr>
              <w:widowControl/>
              <w:spacing w:after="144"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456" w:type="dxa"/>
            <w:noWrap w:val="0"/>
            <w:tcMar>
              <w:left w:w="108" w:type="dxa"/>
              <w:right w:w="108" w:type="dxa"/>
            </w:tcMar>
            <w:vAlign w:val="center"/>
          </w:tcPr>
          <w:p w14:paraId="564A1569">
            <w:pPr>
              <w:spacing w:line="260" w:lineRule="exact"/>
              <w:jc w:val="center"/>
              <w:rPr>
                <w:rFonts w:hint="eastAsia" w:ascii="Times New Roman" w:hAnsi="Times New Roman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宋体"/>
                <w:kern w:val="0"/>
                <w:sz w:val="24"/>
                <w:lang w:val="en-US" w:eastAsia="zh-CN"/>
              </w:rPr>
              <w:t>0</w:t>
            </w:r>
          </w:p>
        </w:tc>
      </w:tr>
    </w:tbl>
    <w:p w14:paraId="48FB439D">
      <w:pPr>
        <w:spacing w:line="520" w:lineRule="exact"/>
        <w:ind w:firstLine="636" w:firstLineChars="199"/>
        <w:rPr>
          <w:rFonts w:ascii="Times New Roman" w:hAnsi="Times New Roman" w:eastAsia="黑体" w:cs="宋体"/>
          <w:sz w:val="32"/>
          <w:szCs w:val="32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五、存在的主要问题及改进情况</w:t>
      </w:r>
    </w:p>
    <w:p w14:paraId="15C2876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outlineLvl w:val="9"/>
        <w:rPr>
          <w:rStyle w:val="11"/>
          <w:rFonts w:hint="eastAsia" w:cs="Times New Roman"/>
          <w:kern w:val="2"/>
          <w:sz w:val="32"/>
          <w:szCs w:val="24"/>
          <w:lang w:val="en-US" w:eastAsia="zh-CN" w:bidi="ar-SA"/>
        </w:rPr>
      </w:pPr>
      <w:r>
        <w:rPr>
          <w:rStyle w:val="11"/>
          <w:rFonts w:hint="eastAsia" w:cs="Times New Roman"/>
          <w:kern w:val="2"/>
          <w:sz w:val="32"/>
          <w:szCs w:val="24"/>
          <w:lang w:val="en-US" w:eastAsia="zh-CN" w:bidi="ar-SA"/>
        </w:rPr>
        <w:t>（一）存在问题</w:t>
      </w:r>
    </w:p>
    <w:p w14:paraId="6B506EB0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一是对《条例》和政府信息公开工作规定的学习还不够，信息公开工作队伍建设有待加强。主动公开政府信息的内容及查询了解的便捷程度与公众的需求尚存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差距，网上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政府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的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更新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与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维护待进一步加强。</w:t>
      </w:r>
    </w:p>
    <w:p w14:paraId="58A1A2E5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</w:p>
    <w:p w14:paraId="120C087A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二是公开政府信息内容还不够全面和规范。对一些与群众密切相关的重大事项、关注度高的政策法规、公共资金的使用、人事任免等方面的信息，还没做到充分及时公开。</w:t>
      </w:r>
    </w:p>
    <w:p w14:paraId="1C20BAB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Style w:val="11"/>
          <w:rFonts w:hint="default" w:cs="Times New Roman"/>
          <w:kern w:val="2"/>
          <w:sz w:val="32"/>
          <w:szCs w:val="24"/>
          <w:lang w:val="en-US" w:eastAsia="zh-CN" w:bidi="ar-SA"/>
        </w:rPr>
        <w:t>（二）改进措施</w:t>
      </w:r>
    </w:p>
    <w:p w14:paraId="51DF6188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一是加强宣传教育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进一步强化公开意识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加大宣传力度，提高政府信息公开相关政策的知晓度与参与率，不断提高工作人员的综合素质。提高信息公开时效。细化政府重点工作，把政府公开和服务分解到各站所和相关人员，强化职责，落实责任，提高采集数据的及时性、准确性，对于需要及时、根据实际公开的信息做到应公开尽公开，确保政府信息公开工作落到实处。</w:t>
      </w:r>
    </w:p>
    <w:p w14:paraId="37DC5C53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二是健全信息公开制度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加大政府信息主动公开力度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在确保不泄密的情况下，最大限度公开政府信息，特别是群众关注的民生问题，以群众需求为导向，努力打造成让群众知情、请群众参与、受群众监督、为群众服务的平台。加强政府信息内容建设和信息发布审核，健全信息公开、监督检查、审核发布等制度，提升政策宣传力度，及时公布重大决策事项及办理结果，确保信息公开工作依法有序地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。</w:t>
      </w:r>
    </w:p>
    <w:p w14:paraId="12905565">
      <w:pPr>
        <w:spacing w:line="520" w:lineRule="exact"/>
        <w:ind w:firstLine="636" w:firstLineChars="199"/>
        <w:rPr>
          <w:rFonts w:ascii="Times New Roman" w:hAnsi="Times New Roman" w:eastAsia="黑体" w:cs="宋体"/>
          <w:sz w:val="32"/>
          <w:szCs w:val="32"/>
        </w:rPr>
      </w:pPr>
      <w:r>
        <w:rPr>
          <w:rFonts w:hint="eastAsia" w:ascii="Times New Roman" w:hAnsi="Times New Roman" w:eastAsia="黑体" w:cs="宋体"/>
          <w:sz w:val="32"/>
          <w:szCs w:val="32"/>
        </w:rPr>
        <w:t>六、其他需要报告的事项</w:t>
      </w:r>
    </w:p>
    <w:p w14:paraId="5E6B96B9">
      <w:pPr>
        <w:spacing w:line="480" w:lineRule="exact"/>
        <w:ind w:firstLine="636" w:firstLineChars="199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宋体"/>
          <w:sz w:val="32"/>
          <w:szCs w:val="32"/>
          <w:lang w:val="en-US" w:eastAsia="zh-CN"/>
        </w:rPr>
        <w:t>按照《国务院办公厅关于印发〈政府信息公开信息处理费管理办法〉的通知》（国办函〔2020〕109号〕）规定的按件、按量收费标准，本年度没有产生信息公开处理费。</w:t>
      </w:r>
    </w:p>
    <w:p w14:paraId="1FC811C8"/>
    <w:sectPr>
      <w:headerReference r:id="rId3" w:type="default"/>
      <w:footerReference r:id="rId4" w:type="default"/>
      <w:footerReference r:id="rId5" w:type="even"/>
      <w:pgSz w:w="11907" w:h="16840"/>
      <w:pgMar w:top="1531" w:right="1531" w:bottom="1531" w:left="1531" w:header="851" w:footer="158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1E574">
    <w:pPr>
      <w:pStyle w:val="4"/>
      <w:framePr w:wrap="around" w:vAnchor="text" w:hAnchor="margin" w:xAlign="outside" w:y="1"/>
      <w:rPr>
        <w:rStyle w:val="9"/>
        <w:rFonts w:ascii="Times New Roman" w:hAnsi="Times New Roman"/>
        <w:sz w:val="28"/>
        <w:szCs w:val="28"/>
      </w:rPr>
    </w:pPr>
    <w:r>
      <w:rPr>
        <w:rStyle w:val="9"/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Style w:val="9"/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Style w:val="9"/>
        <w:rFonts w:ascii="Times New Roman" w:hAnsi="Times New Roman"/>
        <w:sz w:val="28"/>
        <w:szCs w:val="28"/>
      </w:rPr>
      <w:t>7</w:t>
    </w:r>
    <w:r>
      <w:rPr>
        <w:rFonts w:ascii="Times New Roman" w:hAnsi="Times New Roman"/>
        <w:sz w:val="28"/>
        <w:szCs w:val="28"/>
      </w:rPr>
      <w:fldChar w:fldCharType="end"/>
    </w:r>
    <w:r>
      <w:rPr>
        <w:rStyle w:val="9"/>
        <w:rFonts w:ascii="Times New Roman" w:hAnsi="Times New Roman"/>
        <w:sz w:val="28"/>
        <w:szCs w:val="28"/>
      </w:rPr>
      <w:t>—</w:t>
    </w:r>
  </w:p>
  <w:p w14:paraId="0222AA01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F91AB"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06C2E031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064D9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56FEE"/>
    <w:rsid w:val="16B37428"/>
    <w:rsid w:val="2F2B74F6"/>
    <w:rsid w:val="4F0A0A7E"/>
    <w:rsid w:val="5DC56FEE"/>
    <w:rsid w:val="7BC4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_GB2312"/>
      <w:b/>
    </w:rPr>
  </w:style>
  <w:style w:type="paragraph" w:styleId="3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page number"/>
    <w:basedOn w:val="8"/>
    <w:uiPriority w:val="0"/>
  </w:style>
  <w:style w:type="paragraph" w:customStyle="1" w:styleId="10">
    <w:name w:val="_Style 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1">
    <w:name w:val="标题 2 Char"/>
    <w:link w:val="2"/>
    <w:qFormat/>
    <w:uiPriority w:val="0"/>
    <w:rPr>
      <w:rFonts w:ascii="Arial" w:hAnsi="Arial" w:eastAsia="楷体_GB2312"/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2471</Words>
  <Characters>2517</Characters>
  <Lines>0</Lines>
  <Paragraphs>0</Paragraphs>
  <TotalTime>12</TotalTime>
  <ScaleCrop>false</ScaleCrop>
  <LinksUpToDate>false</LinksUpToDate>
  <CharactersWithSpaces>2519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2025-01-23T13:49:00Z</dcterms:created>
  <dc:creator>blue fleabane</dc:creator>
  <cp:lastModifiedBy>blue fleabane</cp:lastModifiedBy>
  <cp:lastPrinted>2025-01-24T04:29:55Z</cp:lastPrinted>
  <dcterms:modified xsi:type="dcterms:W3CDTF">2025-01-24T04:36:34Z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8BF7A0ED23144A0296AA5762217CEBE2_11</vt:lpwstr>
  </property>
  <property fmtid="{D5CDD505-2E9C-101B-9397-08002B2CF9AE}" pid="4" name="KSOTemplateDocerSaveRecord">
    <vt:lpwstr>eyJoZGlkIjoiNjE1Njk3ZmIwOTNlNjA5OTc3ZjQ3YTdmYjYzY2U5ODciLCJ1c2VySWQiOiI0MjI0NzA3NzUifQ==</vt:lpwstr>
  </property>
</Properties>
</file>