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沙湾市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住建局202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根据《关于做好沙湾市202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年政府信息公开工作年度报告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编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制工作的通知》（沙政办督字〔202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号）要求，现将住建局202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年度政府信息公开工作报告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沙湾市住建局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高度重视信息公开工作，紧紧围绕政府信息公开工作要点，结合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住房和城乡建设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工作实际，把政府信息公开工作作为服务基层群众、推进中心工作、建设服务型政府的重要手段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(一) 明确职责分工，加强组织领导。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沙湾市住建局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将政府信息公开工作作为一项重大政治任务，纳入重要议事日程，做到局主要领导亲自抓，分管领导具体抓，其他领导协助抓，明确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各科室和下属事业单位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主要负责人为政务公开工作的第一责任人，结合职能职责和工作实际，制定信息任务工作方案，细化责任分工，把政府信息公开工作和业务工作一同部署、一同检查、一同落实，致力把各项任务和措施落到实处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（二）加强培训，加大投入。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为更好地开展政府信息公开工作，我局积极动员和安排负责政府信息公开工作的人员参加业务培训，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组织各相关科室认真研读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《沙湾市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人民政府办公室关于印发〈沙湾市2024年政务公开要点〉的通知》（沙政办〔2024〕17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eastAsia="仿宋_GB2312" w:cs="宋体"/>
          <w:kern w:val="2"/>
          <w:sz w:val="32"/>
          <w:szCs w:val="32"/>
          <w:lang w:val="en-US" w:eastAsia="zh-CN" w:bidi="ar-SA"/>
        </w:rPr>
        <w:t>内容和附件格式要求，进一步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明确了职责、程序、公开方式和时限要求等，要求严格执行有关制度规定，不断提高相关工作人员的工作能力和业务水平，同时积极推进办公软件正版化工作，为正常开展工作提供有力的保障，确保政府信息公开工作稳步推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）严格政务公开监督保障。</w:t>
      </w:r>
      <w:r>
        <w:rPr>
          <w:rFonts w:hint="eastAsia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  <w:t>层层推动政府信息公开工作，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进一步明确了局主要领导任组长，负总责，亲自抓；分管领导为副组长，靠上抓；局机关科室、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下属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事业单位负责人为成员，协同抓；领导小组下设办公室，负责具体实施，形成政务公开齐抓共管工作合力，严格履行政务公开责任制，进一步分解、细化、量化政务公开的总体任务，明确具体落实到部门和人员，同时纳入全局年度重点工作任务与系统综合考核，深入推进政务公开规范化、常态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）严格保密审查，保障信息安全。</w:t>
      </w:r>
      <w:r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严格明确相关科室、人员在信息公开各环节的保密审查责任，公开的信息必须经科室负责人、办公室负责人、分管领导及主要领导依次进行保密审查后，方可由局办公室统一对外发布信息，切实做到了涉密不上网，上网不涉密，谁上网谁负责，谁审批谁负责，进一步保障了信息公开的安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本年制发件数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本年废止件数</w:t>
            </w:r>
          </w:p>
        </w:tc>
        <w:tc>
          <w:tcPr>
            <w:tcW w:w="1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行政许可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行政处罚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行政强制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行政事业性收费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2337.013147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黑体" w:cs="宋体"/>
          <w:sz w:val="32"/>
          <w:szCs w:val="30"/>
        </w:rPr>
      </w:pPr>
      <w:r>
        <w:rPr>
          <w:rFonts w:hint="eastAsia" w:ascii="Times New Roman" w:hAnsi="Times New Roman" w:eastAsia="黑体" w:cs="宋体"/>
          <w:sz w:val="32"/>
          <w:szCs w:val="30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06"/>
        <w:gridCol w:w="30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4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010" w:type="dxa"/>
            <w:gridSpan w:val="4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（六）其他处理</w:t>
            </w:r>
          </w:p>
        </w:tc>
        <w:tc>
          <w:tcPr>
            <w:tcW w:w="34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 w:cs="楷体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 w:cs="楷体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3.其他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199"/>
        <w:textAlignment w:val="auto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369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line="520" w:lineRule="exact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199"/>
        <w:textAlignment w:val="auto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虽然今年以来我局政务公开工作取得了一些成果，但对标新要求，我局在开展政务公开工作中还存在着差距和不足，主要表现在：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宋体"/>
          <w:sz w:val="32"/>
          <w:szCs w:val="32"/>
        </w:rPr>
        <w:t>主动公开的</w:t>
      </w:r>
      <w:r>
        <w:rPr>
          <w:rFonts w:hint="eastAsia" w:eastAsia="仿宋_GB2312" w:cs="宋体"/>
          <w:sz w:val="32"/>
          <w:szCs w:val="32"/>
          <w:lang w:eastAsia="zh-CN"/>
        </w:rPr>
        <w:t>工程质量监督、公共租赁住房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宋体"/>
          <w:sz w:val="32"/>
          <w:szCs w:val="32"/>
        </w:rPr>
        <w:t>与公众需求还存在一些差距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需要进一步提升</w:t>
      </w:r>
      <w:r>
        <w:rPr>
          <w:rFonts w:hint="eastAsia" w:ascii="Times New Roman" w:hAnsi="Times New Roman" w:eastAsia="仿宋_GB2312" w:cs="宋体"/>
          <w:sz w:val="32"/>
          <w:szCs w:val="32"/>
        </w:rPr>
        <w:t>；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宋体"/>
          <w:sz w:val="32"/>
          <w:szCs w:val="32"/>
        </w:rPr>
        <w:t>公开内容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的时限有待进一步提高，公开内容的质量</w:t>
      </w:r>
      <w:r>
        <w:rPr>
          <w:rFonts w:hint="eastAsia" w:ascii="Times New Roman" w:hAnsi="Times New Roman" w:eastAsia="仿宋_GB2312" w:cs="宋体"/>
          <w:sz w:val="32"/>
          <w:szCs w:val="32"/>
        </w:rPr>
        <w:t>需要进一步深化；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宋体"/>
          <w:sz w:val="32"/>
          <w:szCs w:val="32"/>
        </w:rPr>
        <w:t>政务公开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工作人员的业务水平和能力有待进一步提升，</w:t>
      </w:r>
      <w:r>
        <w:rPr>
          <w:rFonts w:hint="eastAsia" w:ascii="Times New Roman" w:hAnsi="Times New Roman" w:eastAsia="仿宋_GB2312" w:cs="宋体"/>
          <w:sz w:val="32"/>
          <w:szCs w:val="32"/>
        </w:rPr>
        <w:t>政务公开工作的宣传和引导工作还需要进一步加强。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针对上述问题，下一步我们将重点从以下四个方面加以改进：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宋体"/>
          <w:sz w:val="32"/>
          <w:szCs w:val="32"/>
        </w:rPr>
        <w:t>进一步加强学习，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加强对负责</w:t>
      </w:r>
      <w:r>
        <w:rPr>
          <w:rFonts w:hint="eastAsia" w:ascii="Times New Roman" w:hAnsi="Times New Roman" w:eastAsia="仿宋_GB2312" w:cs="宋体"/>
          <w:sz w:val="32"/>
          <w:szCs w:val="32"/>
        </w:rPr>
        <w:t>政务公开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的工作人员的培训，组织并</w:t>
      </w:r>
      <w:r>
        <w:rPr>
          <w:rFonts w:hint="eastAsia" w:ascii="Times New Roman" w:hAnsi="Times New Roman" w:eastAsia="仿宋_GB2312" w:cs="宋体"/>
          <w:sz w:val="32"/>
          <w:szCs w:val="32"/>
        </w:rPr>
        <w:t>认真研究学习政务公开有关文件精神，针对政务公开工作的新任务和新要求，不断提高工作的积极性和主动性。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宋体"/>
          <w:sz w:val="32"/>
          <w:szCs w:val="32"/>
        </w:rPr>
        <w:t>进一步建立健全工作机制，进一步完善政务公开工作各项规章制度。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宋体"/>
          <w:sz w:val="32"/>
          <w:szCs w:val="32"/>
        </w:rPr>
        <w:t>进一步加大宣传力度，努力营造审计政务公开的良好氛围。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仿宋_GB2312" w:cs="宋体"/>
          <w:sz w:val="32"/>
          <w:szCs w:val="32"/>
        </w:rPr>
        <w:t>进一步加强政务公开平台建设，及时更新内容。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199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无其他需要报告的事项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联系人：袁永怀；联系电话：15276306183。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0" w:firstLineChars="195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沙湾市住房和城乡建设局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0FF2"/>
    <w:rsid w:val="07433BAE"/>
    <w:rsid w:val="09F440BE"/>
    <w:rsid w:val="0E12192F"/>
    <w:rsid w:val="1C420FF2"/>
    <w:rsid w:val="1C921D80"/>
    <w:rsid w:val="45AB6579"/>
    <w:rsid w:val="574434CF"/>
    <w:rsid w:val="65B0691C"/>
    <w:rsid w:val="73A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2024-02-02T05:04:00Z</dcterms:created>
  <dc:creator>Administrator</dc:creator>
  <cp:lastModifiedBy>Administrator</cp:lastModifiedBy>
  <dcterms:modified xsi:type="dcterms:W3CDTF">2025-01-23T04:24:10Z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94325DD840C14D27A5EFE450E60B2988</vt:lpwstr>
  </property>
</Properties>
</file>